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color w:val="C69432"/>
          <w:sz w:val="22"/>
        </w:rPr>
        <w:t>PHASE 1 FINAL PROJECT REPORT</w:t>
      </w:r>
    </w:p>
    <w:p>
      <w:pPr>
        <w:spacing w:after="160"/>
        <w:jc w:val="center"/>
      </w:pPr>
      <w:r>
        <w:rPr>
          <w:rFonts w:ascii="Calibri" w:hAnsi="Calibri"/>
          <w:b/>
          <w:color w:val="16324F"/>
          <w:sz w:val="60"/>
        </w:rPr>
        <w:t>Financial Intelligence Engine</w:t>
      </w:r>
    </w:p>
    <w:p>
      <w:pPr>
        <w:spacing w:after="560"/>
        <w:jc w:val="center"/>
      </w:pPr>
      <w:r>
        <w:rPr>
          <w:rFonts w:ascii="Calibri" w:hAnsi="Calibri"/>
          <w:b w:val="0"/>
          <w:color w:val="167D8D"/>
          <w:sz w:val="30"/>
        </w:rPr>
        <w:t>Multi-Agent RAG and Machine Learning for Explainable Investment Decision Support</w:t>
      </w:r>
    </w:p>
    <w:p>
      <w:pPr>
        <w:spacing w:after="1200"/>
        <w:ind w:left="792" w:right="792"/>
        <w:jc w:val="center"/>
      </w:pPr>
      <w:r>
        <w:rPr>
          <w:rFonts w:ascii="Calibri" w:hAnsi="Calibri"/>
          <w:color w:val="263238"/>
          <w:sz w:val="23"/>
        </w:rPr>
        <w:t>A local-first, cloud-deployed academic prototype combining a 10,000-company universe, real market observations, SEC filing retrieval, trained risk and forecast models, multi-agent orchestration, and evidence-grounded GenAI.</w:t>
      </w:r>
    </w:p>
    <w:p>
      <w:pPr>
        <w:jc w:val="center"/>
      </w:pPr>
      <w:r>
        <w:rPr>
          <w:rFonts w:ascii="Calibri" w:hAnsi="Calibri"/>
          <w:b/>
          <w:color w:val="16324F"/>
          <w:sz w:val="24"/>
        </w:rPr>
        <w:t>Prepared by Sumeet Panda</w:t>
      </w:r>
    </w:p>
    <w:p>
      <w:pPr>
        <w:jc w:val="center"/>
      </w:pPr>
      <w:r>
        <w:rPr>
          <w:rFonts w:ascii="Calibri" w:hAnsi="Calibri"/>
          <w:color w:val="66727B"/>
          <w:sz w:val="20"/>
        </w:rPr>
        <w:t>Repository: sumeetpanda-source/Financial_Intelligence_Engine</w:t>
      </w:r>
    </w:p>
    <w:p>
      <w:r>
        <w:br w:type="page"/>
      </w:r>
    </w:p>
    <w:p>
      <w:pPr>
        <w:pStyle w:val="Heading1"/>
        <w:spacing w:before="0" w:after="80"/>
      </w:pPr>
      <w:r>
        <w:rPr>
          <w:rFonts w:ascii="Calibri" w:hAnsi="Calibri"/>
          <w:b/>
          <w:color w:val="16324F"/>
          <w:sz w:val="44"/>
        </w:rPr>
        <w:t>Executive Summary</w:t>
      </w:r>
    </w:p>
    <w:p>
      <w:pPr>
        <w:spacing w:after="280"/>
      </w:pPr>
      <w:r>
        <w:rPr>
          <w:rFonts w:ascii="Calibri" w:hAnsi="Calibri"/>
          <w:i/>
          <w:color w:val="167D8D"/>
          <w:sz w:val="23"/>
        </w:rPr>
        <w:t>What was built, why it matters, and what the evidence shows</w:t>
      </w:r>
    </w:p>
    <w:p>
      <w:pPr>
        <w:jc w:val="both"/>
      </w:pPr>
      <w:r>
        <w:rPr>
          <w:rFonts w:ascii="Calibri" w:hAnsi="Calibri"/>
          <w:color w:val="263238"/>
          <w:sz w:val="22"/>
        </w:rPr>
        <w:t>The Financial Intelligence Engine is an educational decision-support application that demonstrates how structured market data, unstructured financial documents, machine learning, retrieval-augmented generation (RAG), and specialized agents can be combined into one explainable workflow. A user asks a company or investment question; the system retrieves evidence, computes sentiment, risk, and forecast signals, combines the signals into a recommendation, and produces a cited explanation for the dashboard.</w:t>
      </w:r>
    </w:p>
    <w:tbl>
      <w:tblPr>
        <w:tblW w:type="dxa" w:w="9360"/>
        <w:tblLayout w:type="fixed"/>
        <w:tblLook w:firstColumn="1" w:firstRow="1" w:lastColumn="0" w:lastRow="0" w:noHBand="0" w:noVBand="1" w:val="04A0"/>
        <w:jc w:val="left"/>
        <w:tblInd w:w="120" w:type="dxa"/>
      </w:tblPr>
      <w:tblGrid>
        <w:gridCol w:w="9360"/>
      </w:tblGrid>
      <w:tr>
        <w:tc>
          <w:tcPr>
            <w:tcW w:type="dxa" w:w="9360"/>
            <w:tcMar>
              <w:top w:w="80" w:type="dxa"/>
              <w:start w:w="120" w:type="dxa"/>
              <w:bottom w:w="80" w:type="dxa"/>
              <w:end w:w="120" w:type="dxa"/>
            </w:tcMar>
            <w:shd w:fill="F7F1E5"/>
            <w:vAlign w:val="center"/>
          </w:tcPr>
          <w:p>
            <w:pPr>
              <w:spacing w:before="60" w:after="60"/>
            </w:pPr>
            <w:r>
              <w:rPr>
                <w:rFonts w:ascii="Calibri" w:hAnsi="Calibri"/>
                <w:b/>
                <w:color w:val="C69432"/>
                <w:sz w:val="21"/>
              </w:rPr>
              <w:t xml:space="preserve">Phase 1 thesis: </w:t>
            </w:r>
            <w:r>
              <w:rPr>
                <w:rFonts w:ascii="Calibri" w:hAnsi="Calibri"/>
                <w:color w:val="263238"/>
                <w:sz w:val="21"/>
              </w:rPr>
              <w:t>A credible financial AI prototype must show evidence provenance, model limitations, reproducible data flow, and a working interface - not only an LLM-generated answer.</w:t>
            </w:r>
          </w:p>
        </w:tc>
      </w:tr>
    </w:tbl>
    <w:p>
      <w:pPr>
        <w:spacing w:after="0"/>
      </w:pPr>
    </w:p>
    <w:tbl>
      <w:tblPr>
        <w:tblStyle w:val="TableGrid"/>
        <w:tblW w:type="dxa" w:w="9360"/>
        <w:tblLayout w:type="fixed"/>
        <w:tblLook w:firstColumn="1" w:firstRow="1" w:lastColumn="0" w:lastRow="0" w:noHBand="0" w:noVBand="1" w:val="04A0"/>
        <w:jc w:val="left"/>
        <w:tblInd w:w="120" w:type="dxa"/>
      </w:tblPr>
      <w:tblGrid>
        <w:gridCol w:w="2304"/>
        <w:gridCol w:w="7056"/>
      </w:tblGrid>
      <w:tr>
        <w:trPr>
          <w:tblHeader w:val="true"/>
        </w:trPr>
        <w:tc>
          <w:tcPr>
            <w:tcW w:type="dxa" w:w="2304"/>
            <w:tcMar>
              <w:top w:w="80" w:type="dxa"/>
              <w:start w:w="120" w:type="dxa"/>
              <w:bottom w:w="80" w:type="dxa"/>
              <w:end w:w="120" w:type="dxa"/>
            </w:tcMar>
            <w:shd w:fill="EEF3F5"/>
            <w:vAlign w:val="center"/>
          </w:tcPr>
          <w:p>
            <w:pPr>
              <w:spacing w:after="0"/>
              <w:jc w:val="center"/>
            </w:pPr>
            <w:r>
              <w:rPr>
                <w:rFonts w:ascii="Calibri" w:hAnsi="Calibri"/>
                <w:b/>
                <w:color w:val="16324F"/>
                <w:sz w:val="19"/>
              </w:rPr>
              <w:t>Evidence</w:t>
            </w:r>
          </w:p>
        </w:tc>
        <w:tc>
          <w:tcPr>
            <w:tcW w:type="dxa" w:w="7056"/>
            <w:tcMar>
              <w:top w:w="80" w:type="dxa"/>
              <w:start w:w="120" w:type="dxa"/>
              <w:bottom w:w="80" w:type="dxa"/>
              <w:end w:w="120" w:type="dxa"/>
            </w:tcMar>
            <w:shd w:fill="EEF3F5"/>
            <w:vAlign w:val="center"/>
          </w:tcPr>
          <w:p>
            <w:pPr>
              <w:spacing w:after="0"/>
              <w:jc w:val="center"/>
            </w:pPr>
            <w:r>
              <w:rPr>
                <w:rFonts w:ascii="Calibri" w:hAnsi="Calibri"/>
                <w:b/>
                <w:color w:val="16324F"/>
                <w:sz w:val="19"/>
              </w:rPr>
              <w:t>Verified Phase 1 result</w:t>
            </w:r>
          </w:p>
        </w:tc>
      </w:tr>
      <w:tr>
        <w:trPr>
          <w:cantSplit w:val="true"/>
        </w:trPr>
        <w:tc>
          <w:tcPr>
            <w:tcW w:type="dxa" w:w="2304"/>
            <w:vAlign w:val="center"/>
            <w:tcMar>
              <w:top w:w="80" w:type="dxa"/>
              <w:start w:w="120" w:type="dxa"/>
              <w:bottom w:w="80" w:type="dxa"/>
              <w:end w:w="120" w:type="dxa"/>
            </w:tcMar>
          </w:tcPr>
          <w:p>
            <w:pPr>
              <w:spacing w:after="0"/>
              <w:jc w:val="left"/>
            </w:pPr>
            <w:r>
              <w:rPr>
                <w:rFonts w:ascii="Calibri" w:hAnsi="Calibri"/>
                <w:color w:val="263238"/>
                <w:sz w:val="18"/>
              </w:rPr>
              <w:t>Universe</w:t>
            </w:r>
          </w:p>
        </w:tc>
        <w:tc>
          <w:tcPr>
            <w:tcW w:type="dxa" w:w="7056"/>
            <w:vAlign w:val="center"/>
            <w:tcMar>
              <w:top w:w="80" w:type="dxa"/>
              <w:start w:w="120" w:type="dxa"/>
              <w:bottom w:w="80" w:type="dxa"/>
              <w:end w:w="120" w:type="dxa"/>
            </w:tcMar>
          </w:tcPr>
          <w:p>
            <w:pPr>
              <w:spacing w:after="0"/>
              <w:jc w:val="left"/>
            </w:pPr>
            <w:r>
              <w:rPr>
                <w:rFonts w:ascii="Calibri" w:hAnsi="Calibri"/>
                <w:color w:val="263238"/>
                <w:sz w:val="18"/>
              </w:rPr>
              <w:t>10,000 US equity ticker/company metadata records</w:t>
            </w:r>
          </w:p>
        </w:tc>
      </w:tr>
      <w:tr>
        <w:trPr>
          <w:cantSplit w:val="true"/>
        </w:trPr>
        <w:tc>
          <w:tcPr>
            <w:tcW w:type="dxa" w:w="2304"/>
            <w:vAlign w:val="center"/>
            <w:tcMar>
              <w:top w:w="80" w:type="dxa"/>
              <w:start w:w="120" w:type="dxa"/>
              <w:bottom w:w="80" w:type="dxa"/>
              <w:end w:w="120" w:type="dxa"/>
            </w:tcMar>
          </w:tcPr>
          <w:p>
            <w:pPr>
              <w:spacing w:after="0"/>
              <w:jc w:val="left"/>
            </w:pPr>
            <w:r>
              <w:rPr>
                <w:rFonts w:ascii="Calibri" w:hAnsi="Calibri"/>
                <w:color w:val="263238"/>
                <w:sz w:val="18"/>
              </w:rPr>
              <w:t>Real history</w:t>
            </w:r>
          </w:p>
        </w:tc>
        <w:tc>
          <w:tcPr>
            <w:tcW w:type="dxa" w:w="7056"/>
            <w:vAlign w:val="center"/>
            <w:tcMar>
              <w:top w:w="80" w:type="dxa"/>
              <w:start w:w="120" w:type="dxa"/>
              <w:bottom w:w="80" w:type="dxa"/>
              <w:end w:w="120" w:type="dxa"/>
            </w:tcMar>
          </w:tcPr>
          <w:p>
            <w:pPr>
              <w:spacing w:after="0"/>
              <w:jc w:val="left"/>
            </w:pPr>
            <w:r>
              <w:rPr>
                <w:rFonts w:ascii="Calibri" w:hAnsi="Calibri"/>
                <w:color w:val="263238"/>
                <w:sz w:val="18"/>
              </w:rPr>
              <w:t>25,480 daily observations across 20 diversified companies</w:t>
            </w:r>
          </w:p>
        </w:tc>
      </w:tr>
      <w:tr>
        <w:trPr>
          <w:cantSplit w:val="true"/>
        </w:trPr>
        <w:tc>
          <w:tcPr>
            <w:tcW w:type="dxa" w:w="2304"/>
            <w:vAlign w:val="center"/>
            <w:tcMar>
              <w:top w:w="80" w:type="dxa"/>
              <w:start w:w="120" w:type="dxa"/>
              <w:bottom w:w="80" w:type="dxa"/>
              <w:end w:w="120" w:type="dxa"/>
            </w:tcMar>
          </w:tcPr>
          <w:p>
            <w:pPr>
              <w:spacing w:after="0"/>
              <w:jc w:val="left"/>
            </w:pPr>
            <w:r>
              <w:rPr>
                <w:rFonts w:ascii="Calibri" w:hAnsi="Calibri"/>
                <w:color w:val="263238"/>
                <w:sz w:val="18"/>
              </w:rPr>
              <w:t>Training set</w:t>
            </w:r>
          </w:p>
        </w:tc>
        <w:tc>
          <w:tcPr>
            <w:tcW w:type="dxa" w:w="7056"/>
            <w:vAlign w:val="center"/>
            <w:tcMar>
              <w:top w:w="80" w:type="dxa"/>
              <w:start w:w="120" w:type="dxa"/>
              <w:bottom w:w="80" w:type="dxa"/>
              <w:end w:w="120" w:type="dxa"/>
            </w:tcMar>
          </w:tcPr>
          <w:p>
            <w:pPr>
              <w:spacing w:after="0"/>
              <w:jc w:val="left"/>
            </w:pPr>
            <w:r>
              <w:rPr>
                <w:rFonts w:ascii="Calibri" w:hAnsi="Calibri"/>
                <w:color w:val="263238"/>
                <w:sz w:val="18"/>
              </w:rPr>
              <w:t>23,880 point-in-time rows with observed forward labels</w:t>
            </w:r>
          </w:p>
        </w:tc>
      </w:tr>
      <w:tr>
        <w:trPr>
          <w:cantSplit w:val="true"/>
        </w:trPr>
        <w:tc>
          <w:tcPr>
            <w:tcW w:type="dxa" w:w="2304"/>
            <w:vAlign w:val="center"/>
            <w:tcMar>
              <w:top w:w="80" w:type="dxa"/>
              <w:start w:w="120" w:type="dxa"/>
              <w:bottom w:w="80" w:type="dxa"/>
              <w:end w:w="120" w:type="dxa"/>
            </w:tcMar>
          </w:tcPr>
          <w:p>
            <w:pPr>
              <w:spacing w:after="0"/>
              <w:jc w:val="left"/>
            </w:pPr>
            <w:r>
              <w:rPr>
                <w:rFonts w:ascii="Calibri" w:hAnsi="Calibri"/>
                <w:color w:val="263238"/>
                <w:sz w:val="18"/>
              </w:rPr>
              <w:t>RAG</w:t>
            </w:r>
          </w:p>
        </w:tc>
        <w:tc>
          <w:tcPr>
            <w:tcW w:type="dxa" w:w="7056"/>
            <w:vAlign w:val="center"/>
            <w:tcMar>
              <w:top w:w="80" w:type="dxa"/>
              <w:start w:w="120" w:type="dxa"/>
              <w:bottom w:w="80" w:type="dxa"/>
              <w:end w:w="120" w:type="dxa"/>
            </w:tcMar>
          </w:tcPr>
          <w:p>
            <w:pPr>
              <w:spacing w:after="0"/>
              <w:jc w:val="left"/>
            </w:pPr>
            <w:r>
              <w:rPr>
                <w:rFonts w:ascii="Calibri" w:hAnsi="Calibri"/>
                <w:color w:val="263238"/>
                <w:sz w:val="18"/>
              </w:rPr>
              <w:t>ChromaDB with 511 source-aware chunks before live SEC bootstrap</w:t>
            </w:r>
          </w:p>
        </w:tc>
      </w:tr>
      <w:tr>
        <w:trPr>
          <w:cantSplit w:val="true"/>
        </w:trPr>
        <w:tc>
          <w:tcPr>
            <w:tcW w:type="dxa" w:w="2304"/>
            <w:vAlign w:val="center"/>
            <w:tcMar>
              <w:top w:w="80" w:type="dxa"/>
              <w:start w:w="120" w:type="dxa"/>
              <w:bottom w:w="80" w:type="dxa"/>
              <w:end w:w="120" w:type="dxa"/>
            </w:tcMar>
          </w:tcPr>
          <w:p>
            <w:pPr>
              <w:spacing w:after="0"/>
              <w:jc w:val="left"/>
            </w:pPr>
            <w:r>
              <w:rPr>
                <w:rFonts w:ascii="Calibri" w:hAnsi="Calibri"/>
                <w:color w:val="263238"/>
                <w:sz w:val="18"/>
              </w:rPr>
              <w:t>Agents</w:t>
            </w:r>
          </w:p>
        </w:tc>
        <w:tc>
          <w:tcPr>
            <w:tcW w:type="dxa" w:w="7056"/>
            <w:vAlign w:val="center"/>
            <w:tcMar>
              <w:top w:w="80" w:type="dxa"/>
              <w:start w:w="120" w:type="dxa"/>
              <w:bottom w:w="80" w:type="dxa"/>
              <w:end w:w="120" w:type="dxa"/>
            </w:tcMar>
          </w:tcPr>
          <w:p>
            <w:pPr>
              <w:spacing w:after="0"/>
              <w:jc w:val="left"/>
            </w:pPr>
            <w:r>
              <w:rPr>
                <w:rFonts w:ascii="Calibri" w:hAnsi="Calibri"/>
                <w:color w:val="263238"/>
                <w:sz w:val="18"/>
              </w:rPr>
              <w:t>Retriever, sentiment, risk, forecast, decision, explainability</w:t>
            </w:r>
          </w:p>
        </w:tc>
      </w:tr>
      <w:tr>
        <w:trPr>
          <w:cantSplit w:val="true"/>
        </w:trPr>
        <w:tc>
          <w:tcPr>
            <w:tcW w:type="dxa" w:w="2304"/>
            <w:vAlign w:val="center"/>
            <w:tcMar>
              <w:top w:w="80" w:type="dxa"/>
              <w:start w:w="120" w:type="dxa"/>
              <w:bottom w:w="80" w:type="dxa"/>
              <w:end w:w="120" w:type="dxa"/>
            </w:tcMar>
          </w:tcPr>
          <w:p>
            <w:pPr>
              <w:spacing w:after="0"/>
              <w:jc w:val="left"/>
            </w:pPr>
            <w:r>
              <w:rPr>
                <w:rFonts w:ascii="Calibri" w:hAnsi="Calibri"/>
                <w:color w:val="263238"/>
                <w:sz w:val="18"/>
              </w:rPr>
              <w:t>Quality</w:t>
            </w:r>
          </w:p>
        </w:tc>
        <w:tc>
          <w:tcPr>
            <w:tcW w:type="dxa" w:w="7056"/>
            <w:vAlign w:val="center"/>
            <w:tcMar>
              <w:top w:w="80" w:type="dxa"/>
              <w:start w:w="120" w:type="dxa"/>
              <w:bottom w:w="80" w:type="dxa"/>
              <w:end w:w="120" w:type="dxa"/>
            </w:tcMar>
          </w:tcPr>
          <w:p>
            <w:pPr>
              <w:spacing w:after="0"/>
              <w:jc w:val="left"/>
            </w:pPr>
            <w:r>
              <w:rPr>
                <w:rFonts w:ascii="Calibri" w:hAnsi="Calibri"/>
                <w:color w:val="263238"/>
                <w:sz w:val="18"/>
              </w:rPr>
              <w:t>14 automated tests passing and health/API verification</w:t>
            </w:r>
          </w:p>
        </w:tc>
      </w:tr>
      <w:tr>
        <w:trPr>
          <w:cantSplit w:val="true"/>
        </w:trPr>
        <w:tc>
          <w:tcPr>
            <w:tcW w:type="dxa" w:w="2304"/>
            <w:vAlign w:val="center"/>
            <w:tcMar>
              <w:top w:w="80" w:type="dxa"/>
              <w:start w:w="120" w:type="dxa"/>
              <w:bottom w:w="80" w:type="dxa"/>
              <w:end w:w="120" w:type="dxa"/>
            </w:tcMar>
          </w:tcPr>
          <w:p>
            <w:pPr>
              <w:spacing w:after="0"/>
              <w:jc w:val="left"/>
            </w:pPr>
            <w:r>
              <w:rPr>
                <w:rFonts w:ascii="Calibri" w:hAnsi="Calibri"/>
                <w:color w:val="263238"/>
                <w:sz w:val="18"/>
              </w:rPr>
              <w:t>Cloud</w:t>
            </w:r>
          </w:p>
        </w:tc>
        <w:tc>
          <w:tcPr>
            <w:tcW w:type="dxa" w:w="7056"/>
            <w:vAlign w:val="center"/>
            <w:tcMar>
              <w:top w:w="80" w:type="dxa"/>
              <w:start w:w="120" w:type="dxa"/>
              <w:bottom w:w="80" w:type="dxa"/>
              <w:end w:w="120" w:type="dxa"/>
            </w:tcMar>
          </w:tcPr>
          <w:p>
            <w:pPr>
              <w:spacing w:after="0"/>
              <w:jc w:val="left"/>
            </w:pPr>
            <w:r>
              <w:rPr>
                <w:rFonts w:ascii="Calibri" w:hAnsi="Calibri"/>
                <w:color w:val="263238"/>
                <w:sz w:val="18"/>
              </w:rPr>
              <w:t>Docker application deployed through GitHub to Render</w:t>
            </w:r>
          </w:p>
        </w:tc>
      </w:tr>
    </w:tbl>
    <w:p>
      <w:pPr>
        <w:spacing w:before="80" w:after="80"/>
      </w:pPr>
    </w:p>
    <w:p>
      <w:pPr>
        <w:jc w:val="both"/>
      </w:pPr>
      <w:r>
        <w:rPr>
          <w:rFonts w:ascii="Calibri" w:hAnsi="Calibri"/>
          <w:color w:val="263238"/>
          <w:sz w:val="22"/>
        </w:rPr>
        <w:t>The prototype is intentionally honest about its limits. The risk model adds signal above its majority baseline; the forecast model improves balanced accuracy over random but does not yet beat the majority-class accuracy baseline. Therefore, outputs are presented as educational decision support rather than financial advice.</w:t>
      </w:r>
    </w:p>
    <w:p>
      <w:r>
        <w:br w:type="page"/>
      </w:r>
    </w:p>
    <w:p>
      <w:pPr>
        <w:pStyle w:val="Heading1"/>
        <w:spacing w:before="0" w:after="80"/>
      </w:pPr>
      <w:r>
        <w:rPr>
          <w:rFonts w:ascii="Calibri" w:hAnsi="Calibri"/>
          <w:b/>
          <w:color w:val="16324F"/>
          <w:sz w:val="44"/>
        </w:rPr>
        <w:t>1. Problem, Purpose, and Scope</w:t>
      </w:r>
    </w:p>
    <w:p>
      <w:pPr>
        <w:jc w:val="both"/>
      </w:pPr>
      <w:r>
        <w:rPr>
          <w:rFonts w:ascii="Calibri" w:hAnsi="Calibri"/>
          <w:color w:val="263238"/>
          <w:sz w:val="22"/>
        </w:rPr>
        <w:t>Investment research requires analysts to combine price history, company fundamentals, news, regulatory filings, technical signals, and risk considerations. These inputs arrive in different formats and at different frequencies. Manual analysis is slow, difficult to reproduce, and vulnerable to missed evidence or unsupported conclusions.</w:t>
      </w:r>
    </w:p>
    <w:p>
      <w:pPr>
        <w:pStyle w:val="Heading2"/>
      </w:pPr>
      <w:r>
        <w:t>Project purpose</w:t>
      </w:r>
    </w:p>
    <w:p>
      <w:pPr>
        <w:pStyle w:val="ListBullet"/>
      </w:pPr>
      <w:r>
        <w:rPr>
          <w:rFonts w:ascii="Calibri" w:hAnsi="Calibri"/>
          <w:color w:val="263238"/>
          <w:sz w:val="22"/>
        </w:rPr>
        <w:t>Provide a single interface for company screening and investment research questions.</w:t>
      </w:r>
    </w:p>
    <w:p>
      <w:pPr>
        <w:pStyle w:val="ListBullet"/>
      </w:pPr>
      <w:r>
        <w:rPr>
          <w:rFonts w:ascii="Calibri" w:hAnsi="Calibri"/>
          <w:color w:val="263238"/>
          <w:sz w:val="22"/>
        </w:rPr>
        <w:t>Ground narrative answers in retrieved source evidence.</w:t>
      </w:r>
    </w:p>
    <w:p>
      <w:pPr>
        <w:pStyle w:val="ListBullet"/>
      </w:pPr>
      <w:r>
        <w:rPr>
          <w:rFonts w:ascii="Calibri" w:hAnsi="Calibri"/>
          <w:color w:val="263238"/>
          <w:sz w:val="22"/>
        </w:rPr>
        <w:t>Separate retrieval, analysis, decision, and explanation responsibilities.</w:t>
      </w:r>
    </w:p>
    <w:p>
      <w:pPr>
        <w:pStyle w:val="ListBullet"/>
      </w:pPr>
      <w:r>
        <w:rPr>
          <w:rFonts w:ascii="Calibri" w:hAnsi="Calibri"/>
          <w:color w:val="263238"/>
          <w:sz w:val="22"/>
        </w:rPr>
        <w:t>Train transparent baseline models before introducing deep learning.</w:t>
      </w:r>
    </w:p>
    <w:p>
      <w:pPr>
        <w:pStyle w:val="ListBullet"/>
      </w:pPr>
      <w:r>
        <w:rPr>
          <w:rFonts w:ascii="Calibri" w:hAnsi="Calibri"/>
          <w:color w:val="263238"/>
          <w:sz w:val="22"/>
        </w:rPr>
        <w:t>Expose confidence, citations, warnings, and limitations to the user.</w:t>
      </w:r>
    </w:p>
    <w:p>
      <w:pPr>
        <w:pStyle w:val="ListBullet"/>
      </w:pPr>
      <w:r>
        <w:rPr>
          <w:rFonts w:ascii="Calibri" w:hAnsi="Calibri"/>
          <w:color w:val="263238"/>
          <w:sz w:val="22"/>
        </w:rPr>
        <w:t>Create a foundation that can evolve from an academic project into a startup platform.</w:t>
      </w:r>
    </w:p>
    <w:p>
      <w:pPr>
        <w:pStyle w:val="Heading2"/>
      </w:pPr>
      <w:r>
        <w:t>Phase 1 boundary</w:t>
      </w:r>
    </w:p>
    <w:p>
      <w:pPr>
        <w:jc w:val="both"/>
      </w:pPr>
      <w:r>
        <w:rPr>
          <w:rFonts w:ascii="Calibri" w:hAnsi="Calibri"/>
          <w:color w:val="263238"/>
          <w:sz w:val="22"/>
        </w:rPr>
        <w:t>Phase 1 implements market-standard capabilities that can be demonstrated and evaluated now: local/cloud storage, a broad company universe, a real-data pilot, baseline machine learning, persistent vector retrieval, a multi-agent workflow, configurable GenAI, and a browser dashboard. Novel research features such as adaptive agent selection, contradiction detection, analyst memory, finance-specific embeddings, and advanced time-series models are reserved for Phase 2.</w:t>
      </w:r>
    </w:p>
    <w:tbl>
      <w:tblPr>
        <w:tblW w:type="dxa" w:w="9360"/>
        <w:tblLayout w:type="fixed"/>
        <w:tblLook w:firstColumn="1" w:firstRow="1" w:lastColumn="0" w:lastRow="0" w:noHBand="0" w:noVBand="1" w:val="04A0"/>
        <w:jc w:val="left"/>
        <w:tblInd w:w="120" w:type="dxa"/>
      </w:tblPr>
      <w:tblGrid>
        <w:gridCol w:w="9360"/>
      </w:tblGrid>
      <w:tr>
        <w:tc>
          <w:tcPr>
            <w:tcW w:type="dxa" w:w="9360"/>
            <w:tcMar>
              <w:top w:w="80" w:type="dxa"/>
              <w:start w:w="120" w:type="dxa"/>
              <w:bottom w:w="80" w:type="dxa"/>
              <w:end w:w="120" w:type="dxa"/>
            </w:tcMar>
            <w:shd w:fill="EEF3F5"/>
            <w:vAlign w:val="center"/>
          </w:tcPr>
          <w:p>
            <w:pPr>
              <w:spacing w:before="60" w:after="60"/>
            </w:pPr>
            <w:r>
              <w:rPr>
                <w:rFonts w:ascii="Calibri" w:hAnsi="Calibri"/>
                <w:b/>
                <w:color w:val="167D8D"/>
                <w:sz w:val="21"/>
              </w:rPr>
              <w:t xml:space="preserve">Audience: </w:t>
            </w:r>
            <w:r>
              <w:rPr>
                <w:rFonts w:ascii="Calibri" w:hAnsi="Calibri"/>
                <w:color w:val="263238"/>
                <w:sz w:val="21"/>
              </w:rPr>
              <w:t>The immediate audience is the academic examiner and mentor. The longer-term audience is an analyst, student, or retail investor who needs traceable research assistance rather than an opaque trading signal.</w:t>
            </w:r>
          </w:p>
        </w:tc>
      </w:tr>
    </w:tbl>
    <w:p>
      <w:pPr>
        <w:spacing w:after="0"/>
      </w:pPr>
    </w:p>
    <w:p>
      <w:r>
        <w:br w:type="page"/>
      </w:r>
    </w:p>
    <w:p>
      <w:pPr>
        <w:pStyle w:val="Heading1"/>
        <w:spacing w:before="0" w:after="80"/>
      </w:pPr>
      <w:r>
        <w:rPr>
          <w:rFonts w:ascii="Calibri" w:hAnsi="Calibri"/>
          <w:b/>
          <w:color w:val="16324F"/>
          <w:sz w:val="44"/>
        </w:rPr>
        <w:t>2. Research Foundation and Idea Origins</w:t>
      </w:r>
    </w:p>
    <w:p>
      <w:pPr>
        <w:jc w:val="both"/>
      </w:pPr>
      <w:r>
        <w:rPr>
          <w:rFonts w:ascii="Calibri" w:hAnsi="Calibri"/>
          <w:color w:val="263238"/>
          <w:sz w:val="22"/>
        </w:rPr>
        <w:t>The project is inspired by published work and open-source financial agent systems, but it is not a direct copy of one repository. The implementation adapts architectural ideas to a smaller, examiner-friendly Phase 1 scope.</w:t>
      </w:r>
    </w:p>
    <w:tbl>
      <w:tblPr>
        <w:tblStyle w:val="TableGrid"/>
        <w:tblW w:type="dxa" w:w="9360"/>
        <w:tblLayout w:type="fixed"/>
        <w:tblLook w:firstColumn="1" w:firstRow="1" w:lastColumn="0" w:lastRow="0" w:noHBand="0" w:noVBand="1" w:val="04A0"/>
        <w:jc w:val="left"/>
        <w:tblInd w:w="120" w:type="dxa"/>
      </w:tblPr>
      <w:tblGrid>
        <w:gridCol w:w="2232"/>
        <w:gridCol w:w="3240"/>
        <w:gridCol w:w="3888"/>
      </w:tblGrid>
      <w:tr>
        <w:trPr>
          <w:tblHeader w:val="true"/>
        </w:trPr>
        <w:tc>
          <w:tcPr>
            <w:tcW w:type="dxa" w:w="2232"/>
            <w:tcMar>
              <w:top w:w="80" w:type="dxa"/>
              <w:start w:w="120" w:type="dxa"/>
              <w:bottom w:w="80" w:type="dxa"/>
              <w:end w:w="120" w:type="dxa"/>
            </w:tcMar>
            <w:shd w:fill="EEF3F5"/>
            <w:vAlign w:val="center"/>
          </w:tcPr>
          <w:p>
            <w:pPr>
              <w:spacing w:after="0"/>
              <w:jc w:val="center"/>
            </w:pPr>
            <w:r>
              <w:rPr>
                <w:rFonts w:ascii="Calibri" w:hAnsi="Calibri"/>
                <w:b/>
                <w:color w:val="16324F"/>
                <w:sz w:val="19"/>
              </w:rPr>
              <w:t>Source</w:t>
            </w:r>
          </w:p>
        </w:tc>
        <w:tc>
          <w:tcPr>
            <w:tcW w:type="dxa" w:w="3240"/>
            <w:tcMar>
              <w:top w:w="80" w:type="dxa"/>
              <w:start w:w="120" w:type="dxa"/>
              <w:bottom w:w="80" w:type="dxa"/>
              <w:end w:w="120" w:type="dxa"/>
            </w:tcMar>
            <w:shd w:fill="EEF3F5"/>
            <w:vAlign w:val="center"/>
          </w:tcPr>
          <w:p>
            <w:pPr>
              <w:spacing w:after="0"/>
              <w:jc w:val="center"/>
            </w:pPr>
            <w:r>
              <w:rPr>
                <w:rFonts w:ascii="Calibri" w:hAnsi="Calibri"/>
                <w:b/>
                <w:color w:val="16324F"/>
                <w:sz w:val="19"/>
              </w:rPr>
              <w:t>Idea adopted</w:t>
            </w:r>
          </w:p>
        </w:tc>
        <w:tc>
          <w:tcPr>
            <w:tcW w:type="dxa" w:w="3888"/>
            <w:tcMar>
              <w:top w:w="80" w:type="dxa"/>
              <w:start w:w="120" w:type="dxa"/>
              <w:bottom w:w="80" w:type="dxa"/>
              <w:end w:w="120" w:type="dxa"/>
            </w:tcMar>
            <w:shd w:fill="EEF3F5"/>
            <w:vAlign w:val="center"/>
          </w:tcPr>
          <w:p>
            <w:pPr>
              <w:spacing w:after="0"/>
              <w:jc w:val="center"/>
            </w:pPr>
            <w:r>
              <w:rPr>
                <w:rFonts w:ascii="Calibri" w:hAnsi="Calibri"/>
                <w:b/>
                <w:color w:val="16324F"/>
                <w:sz w:val="19"/>
              </w:rPr>
              <w:t>How this project differs</w:t>
            </w:r>
          </w:p>
        </w:tc>
      </w:tr>
      <w:tr>
        <w:trPr>
          <w:cantSplit w:val="true"/>
        </w:trPr>
        <w:tc>
          <w:tcPr>
            <w:tcW w:type="dxa" w:w="2232"/>
            <w:vAlign w:val="center"/>
            <w:tcMar>
              <w:top w:w="80" w:type="dxa"/>
              <w:start w:w="120" w:type="dxa"/>
              <w:bottom w:w="80" w:type="dxa"/>
              <w:end w:w="120" w:type="dxa"/>
            </w:tcMar>
          </w:tcPr>
          <w:p>
            <w:pPr>
              <w:spacing w:after="0"/>
              <w:jc w:val="center"/>
            </w:pPr>
            <w:r>
              <w:rPr>
                <w:rFonts w:ascii="Calibri" w:hAnsi="Calibri"/>
                <w:color w:val="263238"/>
                <w:sz w:val="18"/>
              </w:rPr>
              <w:t>FinRobot (AI4Finance Foundation)</w:t>
            </w:r>
          </w:p>
        </w:tc>
        <w:tc>
          <w:tcPr>
            <w:tcW w:type="dxa" w:w="3240"/>
            <w:vAlign w:val="center"/>
            <w:tcMar>
              <w:top w:w="80" w:type="dxa"/>
              <w:start w:w="120" w:type="dxa"/>
              <w:bottom w:w="80" w:type="dxa"/>
              <w:end w:w="120" w:type="dxa"/>
            </w:tcMar>
          </w:tcPr>
          <w:p>
            <w:pPr>
              <w:spacing w:after="0"/>
              <w:jc w:val="left"/>
            </w:pPr>
            <w:r>
              <w:rPr>
                <w:rFonts w:ascii="Calibri" w:hAnsi="Calibri"/>
                <w:color w:val="263238"/>
                <w:sz w:val="18"/>
              </w:rPr>
              <w:t>Layered DataOps, financial agents, configurable LLMOps, report generation</w:t>
            </w:r>
          </w:p>
        </w:tc>
        <w:tc>
          <w:tcPr>
            <w:tcW w:type="dxa" w:w="3888"/>
            <w:vAlign w:val="center"/>
            <w:tcMar>
              <w:top w:w="80" w:type="dxa"/>
              <w:start w:w="120" w:type="dxa"/>
              <w:bottom w:w="80" w:type="dxa"/>
              <w:end w:w="120" w:type="dxa"/>
            </w:tcMar>
          </w:tcPr>
          <w:p>
            <w:pPr>
              <w:spacing w:after="0"/>
              <w:jc w:val="left"/>
            </w:pPr>
            <w:r>
              <w:rPr>
                <w:rFonts w:ascii="Calibri" w:hAnsi="Calibri"/>
                <w:color w:val="263238"/>
                <w:sz w:val="18"/>
              </w:rPr>
              <w:t>Uses a leaner local-first agent workflow and independent code contracts</w:t>
            </w:r>
          </w:p>
        </w:tc>
      </w:tr>
      <w:tr>
        <w:trPr>
          <w:cantSplit w:val="true"/>
        </w:trPr>
        <w:tc>
          <w:tcPr>
            <w:tcW w:type="dxa" w:w="2232"/>
            <w:vAlign w:val="center"/>
            <w:tcMar>
              <w:top w:w="80" w:type="dxa"/>
              <w:start w:w="120" w:type="dxa"/>
              <w:bottom w:w="80" w:type="dxa"/>
              <w:end w:w="120" w:type="dxa"/>
            </w:tcMar>
          </w:tcPr>
          <w:p>
            <w:pPr>
              <w:spacing w:after="0"/>
              <w:jc w:val="center"/>
            </w:pPr>
            <w:r>
              <w:rPr>
                <w:rFonts w:ascii="Calibri" w:hAnsi="Calibri"/>
                <w:color w:val="263238"/>
                <w:sz w:val="18"/>
              </w:rPr>
              <w:t>MimirRAG (Samuelsen et al., 2026)</w:t>
            </w:r>
          </w:p>
        </w:tc>
        <w:tc>
          <w:tcPr>
            <w:tcW w:type="dxa" w:w="3240"/>
            <w:vAlign w:val="center"/>
            <w:tcMar>
              <w:top w:w="80" w:type="dxa"/>
              <w:start w:w="120" w:type="dxa"/>
              <w:bottom w:w="80" w:type="dxa"/>
              <w:end w:w="120" w:type="dxa"/>
            </w:tcMar>
          </w:tcPr>
          <w:p>
            <w:pPr>
              <w:spacing w:after="0"/>
              <w:jc w:val="left"/>
            </w:pPr>
            <w:r>
              <w:rPr>
                <w:rFonts w:ascii="Calibri" w:hAnsi="Calibri"/>
                <w:color w:val="263238"/>
                <w:sz w:val="18"/>
              </w:rPr>
              <w:t>Metadata-aware financial retrieval and agentic RAG</w:t>
            </w:r>
          </w:p>
        </w:tc>
        <w:tc>
          <w:tcPr>
            <w:tcW w:type="dxa" w:w="3888"/>
            <w:vAlign w:val="center"/>
            <w:tcMar>
              <w:top w:w="80" w:type="dxa"/>
              <w:start w:w="120" w:type="dxa"/>
              <w:bottom w:w="80" w:type="dxa"/>
              <w:end w:w="120" w:type="dxa"/>
            </w:tcMar>
          </w:tcPr>
          <w:p>
            <w:pPr>
              <w:spacing w:after="0"/>
              <w:jc w:val="left"/>
            </w:pPr>
            <w:r>
              <w:rPr>
                <w:rFonts w:ascii="Calibri" w:hAnsi="Calibri"/>
                <w:color w:val="263238"/>
                <w:sz w:val="18"/>
              </w:rPr>
              <w:t>Implements hashing vectors plus lexical/metadata reranking; table-aware parsing remains future work</w:t>
            </w:r>
          </w:p>
        </w:tc>
      </w:tr>
      <w:tr>
        <w:trPr>
          <w:cantSplit w:val="true"/>
        </w:trPr>
        <w:tc>
          <w:tcPr>
            <w:tcW w:type="dxa" w:w="2232"/>
            <w:vAlign w:val="center"/>
            <w:tcMar>
              <w:top w:w="80" w:type="dxa"/>
              <w:start w:w="120" w:type="dxa"/>
              <w:bottom w:w="80" w:type="dxa"/>
              <w:end w:w="120" w:type="dxa"/>
            </w:tcMar>
          </w:tcPr>
          <w:p>
            <w:pPr>
              <w:spacing w:after="0"/>
              <w:jc w:val="center"/>
            </w:pPr>
            <w:r>
              <w:rPr>
                <w:rFonts w:ascii="Calibri" w:hAnsi="Calibri"/>
                <w:color w:val="263238"/>
                <w:sz w:val="18"/>
              </w:rPr>
              <w:t>FundaPod (Zhu et al., 2026)</w:t>
            </w:r>
          </w:p>
        </w:tc>
        <w:tc>
          <w:tcPr>
            <w:tcW w:type="dxa" w:w="3240"/>
            <w:vAlign w:val="center"/>
            <w:tcMar>
              <w:top w:w="80" w:type="dxa"/>
              <w:start w:w="120" w:type="dxa"/>
              <w:bottom w:w="80" w:type="dxa"/>
              <w:end w:w="120" w:type="dxa"/>
            </w:tcMar>
          </w:tcPr>
          <w:p>
            <w:pPr>
              <w:spacing w:after="0"/>
              <w:jc w:val="left"/>
            </w:pPr>
            <w:r>
              <w:rPr>
                <w:rFonts w:ascii="Calibri" w:hAnsi="Calibri"/>
                <w:color w:val="263238"/>
                <w:sz w:val="18"/>
              </w:rPr>
              <w:t>Evidence provenance and human-centered fundamental research</w:t>
            </w:r>
          </w:p>
        </w:tc>
        <w:tc>
          <w:tcPr>
            <w:tcW w:type="dxa" w:w="3888"/>
            <w:vAlign w:val="center"/>
            <w:tcMar>
              <w:top w:w="80" w:type="dxa"/>
              <w:start w:w="120" w:type="dxa"/>
              <w:bottom w:w="80" w:type="dxa"/>
              <w:end w:w="120" w:type="dxa"/>
            </w:tcMar>
          </w:tcPr>
          <w:p>
            <w:pPr>
              <w:spacing w:after="0"/>
              <w:jc w:val="left"/>
            </w:pPr>
            <w:r>
              <w:rPr>
                <w:rFonts w:ascii="Calibri" w:hAnsi="Calibri"/>
                <w:color w:val="263238"/>
                <w:sz w:val="18"/>
              </w:rPr>
              <w:t>Uses one converged decision report in Phase 1; persona debate and knowledge graphs are deferred</w:t>
            </w:r>
          </w:p>
        </w:tc>
      </w:tr>
      <w:tr>
        <w:trPr>
          <w:cantSplit w:val="true"/>
        </w:trPr>
        <w:tc>
          <w:tcPr>
            <w:tcW w:type="dxa" w:w="2232"/>
            <w:vAlign w:val="center"/>
            <w:tcMar>
              <w:top w:w="80" w:type="dxa"/>
              <w:start w:w="120" w:type="dxa"/>
              <w:bottom w:w="80" w:type="dxa"/>
              <w:end w:w="120" w:type="dxa"/>
            </w:tcMar>
          </w:tcPr>
          <w:p>
            <w:pPr>
              <w:spacing w:after="0"/>
              <w:jc w:val="center"/>
            </w:pPr>
            <w:r>
              <w:rPr>
                <w:rFonts w:ascii="Calibri" w:hAnsi="Calibri"/>
                <w:color w:val="263238"/>
                <w:sz w:val="18"/>
              </w:rPr>
              <w:t>Lewis et al. (2020)</w:t>
            </w:r>
          </w:p>
        </w:tc>
        <w:tc>
          <w:tcPr>
            <w:tcW w:type="dxa" w:w="3240"/>
            <w:vAlign w:val="center"/>
            <w:tcMar>
              <w:top w:w="80" w:type="dxa"/>
              <w:start w:w="120" w:type="dxa"/>
              <w:bottom w:w="80" w:type="dxa"/>
              <w:end w:w="120" w:type="dxa"/>
            </w:tcMar>
          </w:tcPr>
          <w:p>
            <w:pPr>
              <w:spacing w:after="0"/>
              <w:jc w:val="left"/>
            </w:pPr>
            <w:r>
              <w:rPr>
                <w:rFonts w:ascii="Calibri" w:hAnsi="Calibri"/>
                <w:color w:val="263238"/>
                <w:sz w:val="18"/>
              </w:rPr>
              <w:t>Retrieval-Augmented Generation pattern</w:t>
            </w:r>
          </w:p>
        </w:tc>
        <w:tc>
          <w:tcPr>
            <w:tcW w:type="dxa" w:w="3888"/>
            <w:vAlign w:val="center"/>
            <w:tcMar>
              <w:top w:w="80" w:type="dxa"/>
              <w:start w:w="120" w:type="dxa"/>
              <w:bottom w:w="80" w:type="dxa"/>
              <w:end w:w="120" w:type="dxa"/>
            </w:tcMar>
          </w:tcPr>
          <w:p>
            <w:pPr>
              <w:spacing w:after="0"/>
              <w:jc w:val="left"/>
            </w:pPr>
            <w:r>
              <w:rPr>
                <w:rFonts w:ascii="Calibri" w:hAnsi="Calibri"/>
                <w:color w:val="263238"/>
                <w:sz w:val="18"/>
              </w:rPr>
              <w:t>Applies RAG to project documents, research papers, and official SEC filings</w:t>
            </w:r>
          </w:p>
        </w:tc>
      </w:tr>
      <w:tr>
        <w:trPr>
          <w:cantSplit w:val="true"/>
        </w:trPr>
        <w:tc>
          <w:tcPr>
            <w:tcW w:type="dxa" w:w="2232"/>
            <w:vAlign w:val="center"/>
            <w:tcMar>
              <w:top w:w="80" w:type="dxa"/>
              <w:start w:w="120" w:type="dxa"/>
              <w:bottom w:w="80" w:type="dxa"/>
              <w:end w:w="120" w:type="dxa"/>
            </w:tcMar>
          </w:tcPr>
          <w:p>
            <w:pPr>
              <w:spacing w:after="0"/>
              <w:jc w:val="center"/>
            </w:pPr>
            <w:r>
              <w:rPr>
                <w:rFonts w:ascii="Calibri" w:hAnsi="Calibri"/>
                <w:color w:val="263238"/>
                <w:sz w:val="18"/>
              </w:rPr>
              <w:t>AI-Powered Sustainable Finance taxonomy (2026)</w:t>
            </w:r>
          </w:p>
        </w:tc>
        <w:tc>
          <w:tcPr>
            <w:tcW w:type="dxa" w:w="3240"/>
            <w:vAlign w:val="center"/>
            <w:tcMar>
              <w:top w:w="80" w:type="dxa"/>
              <w:start w:w="120" w:type="dxa"/>
              <w:bottom w:w="80" w:type="dxa"/>
              <w:end w:w="120" w:type="dxa"/>
            </w:tcMar>
          </w:tcPr>
          <w:p>
            <w:pPr>
              <w:spacing w:after="0"/>
              <w:jc w:val="left"/>
            </w:pPr>
            <w:r>
              <w:rPr>
                <w:rFonts w:ascii="Calibri" w:hAnsi="Calibri"/>
                <w:color w:val="263238"/>
                <w:sz w:val="18"/>
              </w:rPr>
              <w:t>Broader view of ML, NLP, optimization, and ESG decision support</w:t>
            </w:r>
          </w:p>
        </w:tc>
        <w:tc>
          <w:tcPr>
            <w:tcW w:type="dxa" w:w="3888"/>
            <w:vAlign w:val="center"/>
            <w:tcMar>
              <w:top w:w="80" w:type="dxa"/>
              <w:start w:w="120" w:type="dxa"/>
              <w:bottom w:w="80" w:type="dxa"/>
              <w:end w:w="120" w:type="dxa"/>
            </w:tcMar>
          </w:tcPr>
          <w:p>
            <w:pPr>
              <w:spacing w:after="0"/>
              <w:jc w:val="left"/>
            </w:pPr>
            <w:r>
              <w:rPr>
                <w:rFonts w:ascii="Calibri" w:hAnsi="Calibri"/>
                <w:color w:val="263238"/>
                <w:sz w:val="18"/>
              </w:rPr>
              <w:t>Current scope focuses on financial research architecture; ESG expansion is a future direction</w:t>
            </w:r>
          </w:p>
        </w:tc>
      </w:tr>
    </w:tbl>
    <w:p>
      <w:pPr>
        <w:spacing w:before="80" w:after="80"/>
      </w:pPr>
    </w:p>
    <w:p>
      <w:pPr>
        <w:jc w:val="both"/>
      </w:pPr>
      <w:r>
        <w:rPr>
          <w:rFonts w:ascii="Calibri" w:hAnsi="Calibri"/>
          <w:color w:val="263238"/>
          <w:sz w:val="22"/>
        </w:rPr>
        <w:t>FinRobot was especially useful as an architectural reference because it demonstrates the value of separating financial data operations, task-specific agents, LLM provider operations, and human-readable research output. The project preserves those boundaries while avoiding a large dependency on FinRobot internals.</w:t>
      </w:r>
    </w:p>
    <w:tbl>
      <w:tblPr>
        <w:tblW w:type="dxa" w:w="9360"/>
        <w:tblLayout w:type="fixed"/>
        <w:tblLook w:firstColumn="1" w:firstRow="1" w:lastColumn="0" w:lastRow="0" w:noHBand="0" w:noVBand="1" w:val="04A0"/>
        <w:jc w:val="left"/>
        <w:tblInd w:w="120" w:type="dxa"/>
      </w:tblPr>
      <w:tblGrid>
        <w:gridCol w:w="9360"/>
      </w:tblGrid>
      <w:tr>
        <w:tc>
          <w:tcPr>
            <w:tcW w:type="dxa" w:w="9360"/>
            <w:tcMar>
              <w:top w:w="80" w:type="dxa"/>
              <w:start w:w="120" w:type="dxa"/>
              <w:bottom w:w="80" w:type="dxa"/>
              <w:end w:w="120" w:type="dxa"/>
            </w:tcMar>
            <w:shd w:fill="F7F1E5"/>
            <w:vAlign w:val="center"/>
          </w:tcPr>
          <w:p>
            <w:pPr>
              <w:spacing w:before="60" w:after="60"/>
            </w:pPr>
            <w:r>
              <w:rPr>
                <w:rFonts w:ascii="Calibri" w:hAnsi="Calibri"/>
                <w:b/>
                <w:color w:val="C69432"/>
                <w:sz w:val="21"/>
              </w:rPr>
              <w:t xml:space="preserve">Academic attribution: </w:t>
            </w:r>
            <w:r>
              <w:rPr>
                <w:rFonts w:ascii="Calibri" w:hAnsi="Calibri"/>
                <w:color w:val="263238"/>
                <w:sz w:val="21"/>
              </w:rPr>
              <w:t>The report and repository identify external papers and repositories explicitly. Original project code connects the selected ideas through its own data contracts, storage layout, agents, frontend, tests, and deployment.</w:t>
            </w:r>
          </w:p>
        </w:tc>
      </w:tr>
    </w:tbl>
    <w:p>
      <w:pPr>
        <w:spacing w:after="0"/>
      </w:pPr>
    </w:p>
    <w:p>
      <w:r>
        <w:br w:type="page"/>
      </w:r>
    </w:p>
    <w:p>
      <w:pPr>
        <w:pStyle w:val="Heading1"/>
        <w:spacing w:before="0" w:after="80"/>
      </w:pPr>
      <w:r>
        <w:rPr>
          <w:rFonts w:ascii="Calibri" w:hAnsi="Calibri"/>
          <w:b/>
          <w:color w:val="16324F"/>
          <w:sz w:val="44"/>
        </w:rPr>
        <w:t>3. Design Requirements and Engineering Principles</w:t>
      </w:r>
    </w:p>
    <w:p>
      <w:pPr>
        <w:pStyle w:val="ListNumber"/>
      </w:pPr>
      <w:r>
        <w:rPr>
          <w:rFonts w:ascii="Calibri" w:hAnsi="Calibri"/>
          <w:color w:val="263238"/>
          <w:sz w:val="22"/>
        </w:rPr>
        <w:t>Scale the discovery universe to at least 10,000 US equity records.</w:t>
      </w:r>
    </w:p>
    <w:p>
      <w:pPr>
        <w:pStyle w:val="ListNumber"/>
      </w:pPr>
      <w:r>
        <w:rPr>
          <w:rFonts w:ascii="Calibri" w:hAnsi="Calibri"/>
          <w:color w:val="263238"/>
          <w:sz w:val="22"/>
        </w:rPr>
        <w:t>Keep local development functional without paid API keys.</w:t>
      </w:r>
    </w:p>
    <w:p>
      <w:pPr>
        <w:pStyle w:val="ListNumber"/>
      </w:pPr>
      <w:r>
        <w:rPr>
          <w:rFonts w:ascii="Calibri" w:hAnsi="Calibri"/>
          <w:color w:val="263238"/>
          <w:sz w:val="22"/>
        </w:rPr>
        <w:t>Use persistent retrieval so indexing does not repeat for every query.</w:t>
      </w:r>
    </w:p>
    <w:p>
      <w:pPr>
        <w:pStyle w:val="ListNumber"/>
      </w:pPr>
      <w:r>
        <w:rPr>
          <w:rFonts w:ascii="Calibri" w:hAnsi="Calibri"/>
          <w:color w:val="263238"/>
          <w:sz w:val="22"/>
        </w:rPr>
        <w:t>Ground generated explanations in retrieved evidence and structured model outputs.</w:t>
      </w:r>
    </w:p>
    <w:p>
      <w:pPr>
        <w:pStyle w:val="ListNumber"/>
      </w:pPr>
      <w:r>
        <w:rPr>
          <w:rFonts w:ascii="Calibri" w:hAnsi="Calibri"/>
          <w:color w:val="263238"/>
          <w:sz w:val="22"/>
        </w:rPr>
        <w:t>Train models on observed time-based outcomes and prevent future-label leakage.</w:t>
      </w:r>
    </w:p>
    <w:p>
      <w:pPr>
        <w:pStyle w:val="ListNumber"/>
      </w:pPr>
      <w:r>
        <w:rPr>
          <w:rFonts w:ascii="Calibri" w:hAnsi="Calibri"/>
          <w:color w:val="263238"/>
          <w:sz w:val="22"/>
        </w:rPr>
        <w:t>Keep every agent output structured, inspectable, and suitable for JSON APIs.</w:t>
      </w:r>
    </w:p>
    <w:p>
      <w:pPr>
        <w:pStyle w:val="ListNumber"/>
      </w:pPr>
      <w:r>
        <w:rPr>
          <w:rFonts w:ascii="Calibri" w:hAnsi="Calibri"/>
          <w:color w:val="263238"/>
          <w:sz w:val="22"/>
        </w:rPr>
        <w:t>Provide graceful fallbacks when market data, SEC, vector, model, or GenAI services are unavailable.</w:t>
      </w:r>
    </w:p>
    <w:p>
      <w:pPr>
        <w:pStyle w:val="ListNumber"/>
      </w:pPr>
      <w:r>
        <w:rPr>
          <w:rFonts w:ascii="Calibri" w:hAnsi="Calibri"/>
          <w:color w:val="263238"/>
          <w:sz w:val="22"/>
        </w:rPr>
        <w:t>Run the same application locally and in the cloud through environment-driven paths.</w:t>
      </w:r>
    </w:p>
    <w:p>
      <w:pPr>
        <w:pStyle w:val="Heading2"/>
      </w:pPr>
      <w:r>
        <w:t>Complexity that an examiner can inspect</w:t>
      </w:r>
    </w:p>
    <w:p>
      <w:pPr>
        <w:jc w:val="both"/>
      </w:pPr>
      <w:r>
        <w:rPr>
          <w:rFonts w:ascii="Calibri" w:hAnsi="Calibri"/>
          <w:color w:val="263238"/>
          <w:sz w:val="22"/>
        </w:rPr>
        <w:t>Complexity comes from integration rather than an unnecessary number of frameworks. The application combines multiple data sources, time-series feature engineering, persistent vector storage, retrieval reranking, model persistence, agent coordination, confidence propagation, source citations, an HTTP API, a responsive frontend, containerization, cloud secrets, and automated tests.</w:t>
      </w:r>
    </w:p>
    <w:tbl>
      <w:tblPr>
        <w:tblStyle w:val="TableGrid"/>
        <w:tblW w:type="dxa" w:w="9360"/>
        <w:tblLayout w:type="fixed"/>
        <w:tblLook w:firstColumn="1" w:firstRow="1" w:lastColumn="0" w:lastRow="0" w:noHBand="0" w:noVBand="1" w:val="04A0"/>
        <w:jc w:val="left"/>
        <w:tblInd w:w="120" w:type="dxa"/>
      </w:tblPr>
      <w:tblGrid>
        <w:gridCol w:w="2880"/>
        <w:gridCol w:w="6480"/>
      </w:tblGrid>
      <w:tr>
        <w:trPr>
          <w:tblHeader w:val="true"/>
        </w:trPr>
        <w:tc>
          <w:tcPr>
            <w:tcW w:type="dxa" w:w="2880"/>
            <w:tcMar>
              <w:top w:w="80" w:type="dxa"/>
              <w:start w:w="120" w:type="dxa"/>
              <w:bottom w:w="80" w:type="dxa"/>
              <w:end w:w="120" w:type="dxa"/>
            </w:tcMar>
            <w:shd w:fill="EEF3F5"/>
            <w:vAlign w:val="center"/>
          </w:tcPr>
          <w:p>
            <w:pPr>
              <w:spacing w:after="0"/>
              <w:jc w:val="center"/>
            </w:pPr>
            <w:r>
              <w:rPr>
                <w:rFonts w:ascii="Calibri" w:hAnsi="Calibri"/>
                <w:b/>
                <w:color w:val="16324F"/>
                <w:sz w:val="19"/>
              </w:rPr>
              <w:t>Engineering concern</w:t>
            </w:r>
          </w:p>
        </w:tc>
        <w:tc>
          <w:tcPr>
            <w:tcW w:type="dxa" w:w="6480"/>
            <w:tcMar>
              <w:top w:w="80" w:type="dxa"/>
              <w:start w:w="120" w:type="dxa"/>
              <w:bottom w:w="80" w:type="dxa"/>
              <w:end w:w="120" w:type="dxa"/>
            </w:tcMar>
            <w:shd w:fill="EEF3F5"/>
            <w:vAlign w:val="center"/>
          </w:tcPr>
          <w:p>
            <w:pPr>
              <w:spacing w:after="0"/>
              <w:jc w:val="center"/>
            </w:pPr>
            <w:r>
              <w:rPr>
                <w:rFonts w:ascii="Calibri" w:hAnsi="Calibri"/>
                <w:b/>
                <w:color w:val="16324F"/>
                <w:sz w:val="19"/>
              </w:rPr>
              <w:t>Phase 1 treatment</w:t>
            </w:r>
          </w:p>
        </w:tc>
      </w:tr>
      <w:tr>
        <w:trPr>
          <w:cantSplit w:val="true"/>
        </w:trPr>
        <w:tc>
          <w:tcPr>
            <w:tcW w:type="dxa" w:w="2880"/>
            <w:vAlign w:val="center"/>
            <w:tcMar>
              <w:top w:w="80" w:type="dxa"/>
              <w:start w:w="120" w:type="dxa"/>
              <w:bottom w:w="80" w:type="dxa"/>
              <w:end w:w="120" w:type="dxa"/>
            </w:tcMar>
          </w:tcPr>
          <w:p>
            <w:pPr>
              <w:spacing w:after="0"/>
              <w:jc w:val="left"/>
            </w:pPr>
            <w:r>
              <w:rPr>
                <w:rFonts w:ascii="Calibri" w:hAnsi="Calibri"/>
                <w:color w:val="263238"/>
                <w:sz w:val="18"/>
              </w:rPr>
              <w:t>Reproducibility</w:t>
            </w:r>
          </w:p>
        </w:tc>
        <w:tc>
          <w:tcPr>
            <w:tcW w:type="dxa" w:w="6480"/>
            <w:vAlign w:val="center"/>
            <w:tcMar>
              <w:top w:w="80" w:type="dxa"/>
              <w:start w:w="120" w:type="dxa"/>
              <w:bottom w:w="80" w:type="dxa"/>
              <w:end w:w="120" w:type="dxa"/>
            </w:tcMar>
          </w:tcPr>
          <w:p>
            <w:pPr>
              <w:spacing w:after="0"/>
              <w:jc w:val="left"/>
            </w:pPr>
            <w:r>
              <w:rPr>
                <w:rFonts w:ascii="Calibri" w:hAnsi="Calibri"/>
                <w:color w:val="263238"/>
                <w:sz w:val="18"/>
              </w:rPr>
              <w:t>Cached raw/processed/features/models and deterministic proxy fallback</w:t>
            </w:r>
          </w:p>
        </w:tc>
      </w:tr>
      <w:tr>
        <w:trPr>
          <w:cantSplit w:val="true"/>
        </w:trPr>
        <w:tc>
          <w:tcPr>
            <w:tcW w:type="dxa" w:w="2880"/>
            <w:vAlign w:val="center"/>
            <w:tcMar>
              <w:top w:w="80" w:type="dxa"/>
              <w:start w:w="120" w:type="dxa"/>
              <w:bottom w:w="80" w:type="dxa"/>
              <w:end w:w="120" w:type="dxa"/>
            </w:tcMar>
          </w:tcPr>
          <w:p>
            <w:pPr>
              <w:spacing w:after="0"/>
              <w:jc w:val="left"/>
            </w:pPr>
            <w:r>
              <w:rPr>
                <w:rFonts w:ascii="Calibri" w:hAnsi="Calibri"/>
                <w:color w:val="263238"/>
                <w:sz w:val="18"/>
              </w:rPr>
              <w:t>Data leakage</w:t>
            </w:r>
          </w:p>
        </w:tc>
        <w:tc>
          <w:tcPr>
            <w:tcW w:type="dxa" w:w="6480"/>
            <w:vAlign w:val="center"/>
            <w:tcMar>
              <w:top w:w="80" w:type="dxa"/>
              <w:start w:w="120" w:type="dxa"/>
              <w:bottom w:w="80" w:type="dxa"/>
              <w:end w:w="120" w:type="dxa"/>
            </w:tcMar>
          </w:tcPr>
          <w:p>
            <w:pPr>
              <w:spacing w:after="0"/>
              <w:jc w:val="left"/>
            </w:pPr>
            <w:r>
              <w:rPr>
                <w:rFonts w:ascii="Calibri" w:hAnsi="Calibri"/>
                <w:color w:val="263238"/>
                <w:sz w:val="18"/>
              </w:rPr>
              <w:t>Chronological 80/20 split; future labels excluded from inference</w:t>
            </w:r>
          </w:p>
        </w:tc>
      </w:tr>
      <w:tr>
        <w:trPr>
          <w:cantSplit w:val="true"/>
        </w:trPr>
        <w:tc>
          <w:tcPr>
            <w:tcW w:type="dxa" w:w="2880"/>
            <w:vAlign w:val="center"/>
            <w:tcMar>
              <w:top w:w="80" w:type="dxa"/>
              <w:start w:w="120" w:type="dxa"/>
              <w:bottom w:w="80" w:type="dxa"/>
              <w:end w:w="120" w:type="dxa"/>
            </w:tcMar>
          </w:tcPr>
          <w:p>
            <w:pPr>
              <w:spacing w:after="0"/>
              <w:jc w:val="left"/>
            </w:pPr>
            <w:r>
              <w:rPr>
                <w:rFonts w:ascii="Calibri" w:hAnsi="Calibri"/>
                <w:color w:val="263238"/>
                <w:sz w:val="18"/>
              </w:rPr>
              <w:t>Reliability</w:t>
            </w:r>
          </w:p>
        </w:tc>
        <w:tc>
          <w:tcPr>
            <w:tcW w:type="dxa" w:w="6480"/>
            <w:vAlign w:val="center"/>
            <w:tcMar>
              <w:top w:w="80" w:type="dxa"/>
              <w:start w:w="120" w:type="dxa"/>
              <w:bottom w:w="80" w:type="dxa"/>
              <w:end w:w="120" w:type="dxa"/>
            </w:tcMar>
          </w:tcPr>
          <w:p>
            <w:pPr>
              <w:spacing w:after="0"/>
              <w:jc w:val="left"/>
            </w:pPr>
            <w:r>
              <w:rPr>
                <w:rFonts w:ascii="Calibri" w:hAnsi="Calibri"/>
                <w:color w:val="263238"/>
                <w:sz w:val="18"/>
              </w:rPr>
              <w:t>Fallbacks plus health and capability checks</w:t>
            </w:r>
          </w:p>
        </w:tc>
      </w:tr>
      <w:tr>
        <w:trPr>
          <w:cantSplit w:val="true"/>
        </w:trPr>
        <w:tc>
          <w:tcPr>
            <w:tcW w:type="dxa" w:w="2880"/>
            <w:vAlign w:val="center"/>
            <w:tcMar>
              <w:top w:w="80" w:type="dxa"/>
              <w:start w:w="120" w:type="dxa"/>
              <w:bottom w:w="80" w:type="dxa"/>
              <w:end w:w="120" w:type="dxa"/>
            </w:tcMar>
          </w:tcPr>
          <w:p>
            <w:pPr>
              <w:spacing w:after="0"/>
              <w:jc w:val="left"/>
            </w:pPr>
            <w:r>
              <w:rPr>
                <w:rFonts w:ascii="Calibri" w:hAnsi="Calibri"/>
                <w:color w:val="263238"/>
                <w:sz w:val="18"/>
              </w:rPr>
              <w:t>Explainability</w:t>
            </w:r>
          </w:p>
        </w:tc>
        <w:tc>
          <w:tcPr>
            <w:tcW w:type="dxa" w:w="6480"/>
            <w:vAlign w:val="center"/>
            <w:tcMar>
              <w:top w:w="80" w:type="dxa"/>
              <w:start w:w="120" w:type="dxa"/>
              <w:bottom w:w="80" w:type="dxa"/>
              <w:end w:w="120" w:type="dxa"/>
            </w:tcMar>
          </w:tcPr>
          <w:p>
            <w:pPr>
              <w:spacing w:after="0"/>
              <w:jc w:val="left"/>
            </w:pPr>
            <w:r>
              <w:rPr>
                <w:rFonts w:ascii="Calibri" w:hAnsi="Calibri"/>
                <w:color w:val="263238"/>
                <w:sz w:val="18"/>
              </w:rPr>
              <w:t>Driver scores, model probabilities, evidence snippets, limitations</w:t>
            </w:r>
          </w:p>
        </w:tc>
      </w:tr>
      <w:tr>
        <w:trPr>
          <w:cantSplit w:val="true"/>
        </w:trPr>
        <w:tc>
          <w:tcPr>
            <w:tcW w:type="dxa" w:w="2880"/>
            <w:vAlign w:val="center"/>
            <w:tcMar>
              <w:top w:w="80" w:type="dxa"/>
              <w:start w:w="120" w:type="dxa"/>
              <w:bottom w:w="80" w:type="dxa"/>
              <w:end w:w="120" w:type="dxa"/>
            </w:tcMar>
          </w:tcPr>
          <w:p>
            <w:pPr>
              <w:spacing w:after="0"/>
              <w:jc w:val="left"/>
            </w:pPr>
            <w:r>
              <w:rPr>
                <w:rFonts w:ascii="Calibri" w:hAnsi="Calibri"/>
                <w:color w:val="263238"/>
                <w:sz w:val="18"/>
              </w:rPr>
              <w:t>Security</w:t>
            </w:r>
          </w:p>
        </w:tc>
        <w:tc>
          <w:tcPr>
            <w:tcW w:type="dxa" w:w="6480"/>
            <w:vAlign w:val="center"/>
            <w:tcMar>
              <w:top w:w="80" w:type="dxa"/>
              <w:start w:w="120" w:type="dxa"/>
              <w:bottom w:w="80" w:type="dxa"/>
              <w:end w:w="120" w:type="dxa"/>
            </w:tcMar>
          </w:tcPr>
          <w:p>
            <w:pPr>
              <w:spacing w:after="0"/>
              <w:jc w:val="left"/>
            </w:pPr>
            <w:r>
              <w:rPr>
                <w:rFonts w:ascii="Calibri" w:hAnsi="Calibri"/>
                <w:color w:val="263238"/>
                <w:sz w:val="18"/>
              </w:rPr>
              <w:t>Secrets in environment variables; no API key committed</w:t>
            </w:r>
          </w:p>
        </w:tc>
      </w:tr>
      <w:tr>
        <w:trPr>
          <w:cantSplit w:val="true"/>
        </w:trPr>
        <w:tc>
          <w:tcPr>
            <w:tcW w:type="dxa" w:w="2880"/>
            <w:vAlign w:val="center"/>
            <w:tcMar>
              <w:top w:w="80" w:type="dxa"/>
              <w:start w:w="120" w:type="dxa"/>
              <w:bottom w:w="80" w:type="dxa"/>
              <w:end w:w="120" w:type="dxa"/>
            </w:tcMar>
          </w:tcPr>
          <w:p>
            <w:pPr>
              <w:spacing w:after="0"/>
              <w:jc w:val="left"/>
            </w:pPr>
            <w:r>
              <w:rPr>
                <w:rFonts w:ascii="Calibri" w:hAnsi="Calibri"/>
                <w:color w:val="263238"/>
                <w:sz w:val="18"/>
              </w:rPr>
              <w:t>Scalability</w:t>
            </w:r>
          </w:p>
        </w:tc>
        <w:tc>
          <w:tcPr>
            <w:tcW w:type="dxa" w:w="6480"/>
            <w:vAlign w:val="center"/>
            <w:tcMar>
              <w:top w:w="80" w:type="dxa"/>
              <w:start w:w="120" w:type="dxa"/>
              <w:bottom w:w="80" w:type="dxa"/>
              <w:end w:w="120" w:type="dxa"/>
            </w:tcMar>
          </w:tcPr>
          <w:p>
            <w:pPr>
              <w:spacing w:after="0"/>
              <w:jc w:val="left"/>
            </w:pPr>
            <w:r>
              <w:rPr>
                <w:rFonts w:ascii="Calibri" w:hAnsi="Calibri"/>
                <w:color w:val="263238"/>
                <w:sz w:val="18"/>
              </w:rPr>
              <w:t>Broad metadata universe, limited real-data cohort, batch-ready modules</w:t>
            </w:r>
          </w:p>
        </w:tc>
      </w:tr>
    </w:tbl>
    <w:p>
      <w:pPr>
        <w:spacing w:before="80" w:after="80"/>
      </w:pPr>
    </w:p>
    <w:p>
      <w:r>
        <w:br w:type="page"/>
      </w:r>
    </w:p>
    <w:p>
      <w:pPr>
        <w:pStyle w:val="Heading1"/>
        <w:spacing w:before="0" w:after="80"/>
      </w:pPr>
      <w:r>
        <w:rPr>
          <w:rFonts w:ascii="Calibri" w:hAnsi="Calibri"/>
          <w:b/>
          <w:color w:val="16324F"/>
          <w:sz w:val="44"/>
        </w:rPr>
        <w:t>4. System Architecture</w:t>
      </w:r>
    </w:p>
    <w:p>
      <w:pPr>
        <w:spacing w:after="80"/>
        <w:jc w:val="center"/>
      </w:pPr>
      <w:r>
        <w:drawing>
          <wp:inline xmlns:a="http://schemas.openxmlformats.org/drawingml/2006/main" xmlns:pic="http://schemas.openxmlformats.org/drawingml/2006/picture">
            <wp:extent cx="5715000" cy="1476375"/>
            <wp:docPr id="1" name="Picture 1" title="Architecture" descr="Figure 1. Layered architecture from data acquisition to the user-facing report."/>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15000" cy="1476375"/>
                    </a:xfrm>
                    <a:prstGeom prst="rect"/>
                  </pic:spPr>
                </pic:pic>
              </a:graphicData>
            </a:graphic>
          </wp:inline>
        </w:drawing>
      </w:r>
    </w:p>
    <w:p>
      <w:pPr>
        <w:spacing w:before="0" w:after="160"/>
        <w:jc w:val="center"/>
      </w:pPr>
      <w:r>
        <w:rPr>
          <w:rFonts w:ascii="Calibri" w:hAnsi="Calibri"/>
          <w:i/>
          <w:color w:val="66727B"/>
          <w:sz w:val="18"/>
        </w:rPr>
        <w:t>Figure 1. Layered architecture from data acquisition to the user-facing report.</w:t>
      </w:r>
    </w:p>
    <w:p>
      <w:pPr>
        <w:jc w:val="both"/>
      </w:pPr>
      <w:r>
        <w:rPr>
          <w:rFonts w:ascii="Calibri" w:hAnsi="Calibri"/>
          <w:color w:val="263238"/>
          <w:sz w:val="22"/>
        </w:rPr>
        <w:t>The system is divided into replaceable layers. Data acquisition and storage do not depend on the frontend. The RAG layer can change its embedding or vector backend without changing agent contracts. Models expose a stable predict/predict_proba interface. The orchestrator consumes structured results and passes them to the decision and explainability stages.</w:t>
      </w:r>
    </w:p>
    <w:tbl>
      <w:tblPr>
        <w:tblStyle w:val="TableGrid"/>
        <w:tblW w:type="dxa" w:w="9360"/>
        <w:tblLayout w:type="fixed"/>
        <w:tblLook w:firstColumn="1" w:firstRow="1" w:lastColumn="0" w:lastRow="0" w:noHBand="0" w:noVBand="1" w:val="04A0"/>
        <w:jc w:val="left"/>
        <w:tblInd w:w="120" w:type="dxa"/>
      </w:tblPr>
      <w:tblGrid>
        <w:gridCol w:w="1656"/>
        <w:gridCol w:w="3384"/>
        <w:gridCol w:w="4320"/>
      </w:tblGrid>
      <w:tr>
        <w:trPr>
          <w:tblHeader w:val="true"/>
        </w:trPr>
        <w:tc>
          <w:tcPr>
            <w:tcW w:type="dxa" w:w="1656"/>
            <w:tcMar>
              <w:top w:w="80" w:type="dxa"/>
              <w:start w:w="120" w:type="dxa"/>
              <w:bottom w:w="80" w:type="dxa"/>
              <w:end w:w="120" w:type="dxa"/>
            </w:tcMar>
            <w:shd w:fill="EEF3F5"/>
            <w:vAlign w:val="center"/>
          </w:tcPr>
          <w:p>
            <w:pPr>
              <w:spacing w:after="0"/>
              <w:jc w:val="center"/>
            </w:pPr>
            <w:r>
              <w:rPr>
                <w:rFonts w:ascii="Calibri" w:hAnsi="Calibri"/>
                <w:b/>
                <w:color w:val="16324F"/>
                <w:sz w:val="19"/>
              </w:rPr>
              <w:t>Layer</w:t>
            </w:r>
          </w:p>
        </w:tc>
        <w:tc>
          <w:tcPr>
            <w:tcW w:type="dxa" w:w="3384"/>
            <w:tcMar>
              <w:top w:w="80" w:type="dxa"/>
              <w:start w:w="120" w:type="dxa"/>
              <w:bottom w:w="80" w:type="dxa"/>
              <w:end w:w="120" w:type="dxa"/>
            </w:tcMar>
            <w:shd w:fill="EEF3F5"/>
            <w:vAlign w:val="center"/>
          </w:tcPr>
          <w:p>
            <w:pPr>
              <w:spacing w:after="0"/>
              <w:jc w:val="center"/>
            </w:pPr>
            <w:r>
              <w:rPr>
                <w:rFonts w:ascii="Calibri" w:hAnsi="Calibri"/>
                <w:b/>
                <w:color w:val="16324F"/>
                <w:sz w:val="19"/>
              </w:rPr>
              <w:t>Primary modules</w:t>
            </w:r>
          </w:p>
        </w:tc>
        <w:tc>
          <w:tcPr>
            <w:tcW w:type="dxa" w:w="4320"/>
            <w:tcMar>
              <w:top w:w="80" w:type="dxa"/>
              <w:start w:w="120" w:type="dxa"/>
              <w:bottom w:w="80" w:type="dxa"/>
              <w:end w:w="120" w:type="dxa"/>
            </w:tcMar>
            <w:shd w:fill="EEF3F5"/>
            <w:vAlign w:val="center"/>
          </w:tcPr>
          <w:p>
            <w:pPr>
              <w:spacing w:after="0"/>
              <w:jc w:val="center"/>
            </w:pPr>
            <w:r>
              <w:rPr>
                <w:rFonts w:ascii="Calibri" w:hAnsi="Calibri"/>
                <w:b/>
                <w:color w:val="16324F"/>
                <w:sz w:val="19"/>
              </w:rPr>
              <w:t>Responsibility</w:t>
            </w:r>
          </w:p>
        </w:tc>
      </w:tr>
      <w:tr>
        <w:trPr>
          <w:cantSplit w:val="true"/>
        </w:trPr>
        <w:tc>
          <w:tcPr>
            <w:tcW w:type="dxa" w:w="1656"/>
            <w:vAlign w:val="center"/>
            <w:tcMar>
              <w:top w:w="80" w:type="dxa"/>
              <w:start w:w="120" w:type="dxa"/>
              <w:bottom w:w="80" w:type="dxa"/>
              <w:end w:w="120" w:type="dxa"/>
            </w:tcMar>
          </w:tcPr>
          <w:p>
            <w:pPr>
              <w:spacing w:after="0"/>
              <w:jc w:val="center"/>
            </w:pPr>
            <w:r>
              <w:rPr>
                <w:rFonts w:ascii="Calibri" w:hAnsi="Calibri"/>
                <w:color w:val="263238"/>
                <w:sz w:val="18"/>
              </w:rPr>
              <w:t>Configuration</w:t>
            </w:r>
          </w:p>
        </w:tc>
        <w:tc>
          <w:tcPr>
            <w:tcW w:type="dxa" w:w="3384"/>
            <w:vAlign w:val="center"/>
            <w:tcMar>
              <w:top w:w="80" w:type="dxa"/>
              <w:start w:w="120" w:type="dxa"/>
              <w:bottom w:w="80" w:type="dxa"/>
              <w:end w:w="120" w:type="dxa"/>
            </w:tcMar>
          </w:tcPr>
          <w:p>
            <w:pPr>
              <w:spacing w:after="0"/>
              <w:jc w:val="left"/>
            </w:pPr>
            <w:r>
              <w:rPr>
                <w:rFonts w:ascii="Calibri" w:hAnsi="Calibri"/>
                <w:color w:val="263238"/>
                <w:sz w:val="18"/>
              </w:rPr>
              <w:t>config/settings.py</w:t>
            </w:r>
          </w:p>
        </w:tc>
        <w:tc>
          <w:tcPr>
            <w:tcW w:type="dxa" w:w="4320"/>
            <w:vAlign w:val="center"/>
            <w:tcMar>
              <w:top w:w="80" w:type="dxa"/>
              <w:start w:w="120" w:type="dxa"/>
              <w:bottom w:w="80" w:type="dxa"/>
              <w:end w:w="120" w:type="dxa"/>
            </w:tcMar>
          </w:tcPr>
          <w:p>
            <w:pPr>
              <w:spacing w:after="0"/>
              <w:jc w:val="left"/>
            </w:pPr>
            <w:r>
              <w:rPr>
                <w:rFonts w:ascii="Calibri" w:hAnsi="Calibri"/>
                <w:color w:val="263238"/>
                <w:sz w:val="18"/>
              </w:rPr>
              <w:t>Environment, data roots, providers, ports, secrets</w:t>
            </w:r>
          </w:p>
        </w:tc>
      </w:tr>
      <w:tr>
        <w:trPr>
          <w:cantSplit w:val="true"/>
        </w:trPr>
        <w:tc>
          <w:tcPr>
            <w:tcW w:type="dxa" w:w="1656"/>
            <w:vAlign w:val="center"/>
            <w:tcMar>
              <w:top w:w="80" w:type="dxa"/>
              <w:start w:w="120" w:type="dxa"/>
              <w:bottom w:w="80" w:type="dxa"/>
              <w:end w:w="120" w:type="dxa"/>
            </w:tcMar>
          </w:tcPr>
          <w:p>
            <w:pPr>
              <w:spacing w:after="0"/>
              <w:jc w:val="center"/>
            </w:pPr>
            <w:r>
              <w:rPr>
                <w:rFonts w:ascii="Calibri" w:hAnsi="Calibri"/>
                <w:color w:val="263238"/>
                <w:sz w:val="18"/>
              </w:rPr>
              <w:t>Storage</w:t>
            </w:r>
          </w:p>
        </w:tc>
        <w:tc>
          <w:tcPr>
            <w:tcW w:type="dxa" w:w="3384"/>
            <w:vAlign w:val="center"/>
            <w:tcMar>
              <w:top w:w="80" w:type="dxa"/>
              <w:start w:w="120" w:type="dxa"/>
              <w:bottom w:w="80" w:type="dxa"/>
              <w:end w:w="120" w:type="dxa"/>
            </w:tcMar>
          </w:tcPr>
          <w:p>
            <w:pPr>
              <w:spacing w:after="0"/>
              <w:jc w:val="left"/>
            </w:pPr>
            <w:r>
              <w:rPr>
                <w:rFonts w:ascii="Calibri" w:hAnsi="Calibri"/>
                <w:color w:val="263238"/>
                <w:sz w:val="18"/>
              </w:rPr>
              <w:t>storage/data_store.py</w:t>
            </w:r>
          </w:p>
        </w:tc>
        <w:tc>
          <w:tcPr>
            <w:tcW w:type="dxa" w:w="4320"/>
            <w:vAlign w:val="center"/>
            <w:tcMar>
              <w:top w:w="80" w:type="dxa"/>
              <w:start w:w="120" w:type="dxa"/>
              <w:bottom w:w="80" w:type="dxa"/>
              <w:end w:w="120" w:type="dxa"/>
            </w:tcMar>
          </w:tcPr>
          <w:p>
            <w:pPr>
              <w:spacing w:after="0"/>
              <w:jc w:val="left"/>
            </w:pPr>
            <w:r>
              <w:rPr>
                <w:rFonts w:ascii="Calibri" w:hAnsi="Calibri"/>
                <w:color w:val="263238"/>
                <w:sz w:val="18"/>
              </w:rPr>
              <w:t>Raw, processed, feature, vector, model, report paths</w:t>
            </w:r>
          </w:p>
        </w:tc>
      </w:tr>
      <w:tr>
        <w:trPr>
          <w:cantSplit w:val="true"/>
        </w:trPr>
        <w:tc>
          <w:tcPr>
            <w:tcW w:type="dxa" w:w="1656"/>
            <w:vAlign w:val="center"/>
            <w:tcMar>
              <w:top w:w="80" w:type="dxa"/>
              <w:start w:w="120" w:type="dxa"/>
              <w:bottom w:w="80" w:type="dxa"/>
              <w:end w:w="120" w:type="dxa"/>
            </w:tcMar>
          </w:tcPr>
          <w:p>
            <w:pPr>
              <w:spacing w:after="0"/>
              <w:jc w:val="center"/>
            </w:pPr>
            <w:r>
              <w:rPr>
                <w:rFonts w:ascii="Calibri" w:hAnsi="Calibri"/>
                <w:color w:val="263238"/>
                <w:sz w:val="18"/>
              </w:rPr>
              <w:t>Data</w:t>
            </w:r>
          </w:p>
        </w:tc>
        <w:tc>
          <w:tcPr>
            <w:tcW w:type="dxa" w:w="3384"/>
            <w:vAlign w:val="center"/>
            <w:tcMar>
              <w:top w:w="80" w:type="dxa"/>
              <w:start w:w="120" w:type="dxa"/>
              <w:bottom w:w="80" w:type="dxa"/>
              <w:end w:w="120" w:type="dxa"/>
            </w:tcMar>
          </w:tcPr>
          <w:p>
            <w:pPr>
              <w:spacing w:after="0"/>
              <w:jc w:val="left"/>
            </w:pPr>
            <w:r>
              <w:rPr>
                <w:rFonts w:ascii="Calibri" w:hAnsi="Calibri"/>
                <w:color w:val="263238"/>
                <w:sz w:val="18"/>
              </w:rPr>
              <w:t>data_layer/*</w:t>
            </w:r>
          </w:p>
        </w:tc>
        <w:tc>
          <w:tcPr>
            <w:tcW w:type="dxa" w:w="4320"/>
            <w:vAlign w:val="center"/>
            <w:tcMar>
              <w:top w:w="80" w:type="dxa"/>
              <w:start w:w="120" w:type="dxa"/>
              <w:bottom w:w="80" w:type="dxa"/>
              <w:end w:w="120" w:type="dxa"/>
            </w:tcMar>
          </w:tcPr>
          <w:p>
            <w:pPr>
              <w:spacing w:after="0"/>
              <w:jc w:val="left"/>
            </w:pPr>
            <w:r>
              <w:rPr>
                <w:rFonts w:ascii="Calibri" w:hAnsi="Calibri"/>
                <w:color w:val="263238"/>
                <w:sz w:val="18"/>
              </w:rPr>
              <w:t>Universe, market history, fundamentals, feature engineering</w:t>
            </w:r>
          </w:p>
        </w:tc>
      </w:tr>
      <w:tr>
        <w:trPr>
          <w:cantSplit w:val="true"/>
        </w:trPr>
        <w:tc>
          <w:tcPr>
            <w:tcW w:type="dxa" w:w="1656"/>
            <w:vAlign w:val="center"/>
            <w:tcMar>
              <w:top w:w="80" w:type="dxa"/>
              <w:start w:w="120" w:type="dxa"/>
              <w:bottom w:w="80" w:type="dxa"/>
              <w:end w:w="120" w:type="dxa"/>
            </w:tcMar>
          </w:tcPr>
          <w:p>
            <w:pPr>
              <w:spacing w:after="0"/>
              <w:jc w:val="center"/>
            </w:pPr>
            <w:r>
              <w:rPr>
                <w:rFonts w:ascii="Calibri" w:hAnsi="Calibri"/>
                <w:color w:val="263238"/>
                <w:sz w:val="18"/>
              </w:rPr>
              <w:t>RAG</w:t>
            </w:r>
          </w:p>
        </w:tc>
        <w:tc>
          <w:tcPr>
            <w:tcW w:type="dxa" w:w="3384"/>
            <w:vAlign w:val="center"/>
            <w:tcMar>
              <w:top w:w="80" w:type="dxa"/>
              <w:start w:w="120" w:type="dxa"/>
              <w:bottom w:w="80" w:type="dxa"/>
              <w:end w:w="120" w:type="dxa"/>
            </w:tcMar>
          </w:tcPr>
          <w:p>
            <w:pPr>
              <w:spacing w:after="0"/>
              <w:jc w:val="left"/>
            </w:pPr>
            <w:r>
              <w:rPr>
                <w:rFonts w:ascii="Calibri" w:hAnsi="Calibri"/>
                <w:color w:val="263238"/>
                <w:sz w:val="18"/>
              </w:rPr>
              <w:t>rag_layer/*</w:t>
            </w:r>
          </w:p>
        </w:tc>
        <w:tc>
          <w:tcPr>
            <w:tcW w:type="dxa" w:w="4320"/>
            <w:vAlign w:val="center"/>
            <w:tcMar>
              <w:top w:w="80" w:type="dxa"/>
              <w:start w:w="120" w:type="dxa"/>
              <w:bottom w:w="80" w:type="dxa"/>
              <w:end w:w="120" w:type="dxa"/>
            </w:tcMar>
          </w:tcPr>
          <w:p>
            <w:pPr>
              <w:spacing w:after="0"/>
              <w:jc w:val="left"/>
            </w:pPr>
            <w:r>
              <w:rPr>
                <w:rFonts w:ascii="Calibri" w:hAnsi="Calibri"/>
                <w:color w:val="263238"/>
                <w:sz w:val="18"/>
              </w:rPr>
              <w:t>Parsing, chunking, embeddings, ChromaDB, SEC ingestion</w:t>
            </w:r>
          </w:p>
        </w:tc>
      </w:tr>
      <w:tr>
        <w:trPr>
          <w:cantSplit w:val="true"/>
        </w:trPr>
        <w:tc>
          <w:tcPr>
            <w:tcW w:type="dxa" w:w="1656"/>
            <w:vAlign w:val="center"/>
            <w:tcMar>
              <w:top w:w="80" w:type="dxa"/>
              <w:start w:w="120" w:type="dxa"/>
              <w:bottom w:w="80" w:type="dxa"/>
              <w:end w:w="120" w:type="dxa"/>
            </w:tcMar>
          </w:tcPr>
          <w:p>
            <w:pPr>
              <w:spacing w:after="0"/>
              <w:jc w:val="center"/>
            </w:pPr>
            <w:r>
              <w:rPr>
                <w:rFonts w:ascii="Calibri" w:hAnsi="Calibri"/>
                <w:color w:val="263238"/>
                <w:sz w:val="18"/>
              </w:rPr>
              <w:t>ML</w:t>
            </w:r>
          </w:p>
        </w:tc>
        <w:tc>
          <w:tcPr>
            <w:tcW w:type="dxa" w:w="3384"/>
            <w:vAlign w:val="center"/>
            <w:tcMar>
              <w:top w:w="80" w:type="dxa"/>
              <w:start w:w="120" w:type="dxa"/>
              <w:bottom w:w="80" w:type="dxa"/>
              <w:end w:w="120" w:type="dxa"/>
            </w:tcMar>
          </w:tcPr>
          <w:p>
            <w:pPr>
              <w:spacing w:after="0"/>
              <w:jc w:val="left"/>
            </w:pPr>
            <w:r>
              <w:rPr>
                <w:rFonts w:ascii="Calibri" w:hAnsi="Calibri"/>
                <w:color w:val="263238"/>
                <w:sz w:val="18"/>
              </w:rPr>
              <w:t>ml_models/*</w:t>
            </w:r>
          </w:p>
        </w:tc>
        <w:tc>
          <w:tcPr>
            <w:tcW w:type="dxa" w:w="4320"/>
            <w:vAlign w:val="center"/>
            <w:tcMar>
              <w:top w:w="80" w:type="dxa"/>
              <w:start w:w="120" w:type="dxa"/>
              <w:bottom w:w="80" w:type="dxa"/>
              <w:end w:w="120" w:type="dxa"/>
            </w:tcMar>
          </w:tcPr>
          <w:p>
            <w:pPr>
              <w:spacing w:after="0"/>
              <w:jc w:val="left"/>
            </w:pPr>
            <w:r>
              <w:rPr>
                <w:rFonts w:ascii="Calibri" w:hAnsi="Calibri"/>
                <w:color w:val="263238"/>
                <w:sz w:val="18"/>
              </w:rPr>
              <w:t>Risk/forecast training, persistence, probability inference</w:t>
            </w:r>
          </w:p>
        </w:tc>
      </w:tr>
      <w:tr>
        <w:trPr>
          <w:cantSplit w:val="true"/>
        </w:trPr>
        <w:tc>
          <w:tcPr>
            <w:tcW w:type="dxa" w:w="1656"/>
            <w:vAlign w:val="center"/>
            <w:tcMar>
              <w:top w:w="80" w:type="dxa"/>
              <w:start w:w="120" w:type="dxa"/>
              <w:bottom w:w="80" w:type="dxa"/>
              <w:end w:w="120" w:type="dxa"/>
            </w:tcMar>
          </w:tcPr>
          <w:p>
            <w:pPr>
              <w:spacing w:after="0"/>
              <w:jc w:val="center"/>
            </w:pPr>
            <w:r>
              <w:rPr>
                <w:rFonts w:ascii="Calibri" w:hAnsi="Calibri"/>
                <w:color w:val="263238"/>
                <w:sz w:val="18"/>
              </w:rPr>
              <w:t>Agents</w:t>
            </w:r>
          </w:p>
        </w:tc>
        <w:tc>
          <w:tcPr>
            <w:tcW w:type="dxa" w:w="3384"/>
            <w:vAlign w:val="center"/>
            <w:tcMar>
              <w:top w:w="80" w:type="dxa"/>
              <w:start w:w="120" w:type="dxa"/>
              <w:bottom w:w="80" w:type="dxa"/>
              <w:end w:w="120" w:type="dxa"/>
            </w:tcMar>
          </w:tcPr>
          <w:p>
            <w:pPr>
              <w:spacing w:after="0"/>
              <w:jc w:val="left"/>
            </w:pPr>
            <w:r>
              <w:rPr>
                <w:rFonts w:ascii="Calibri" w:hAnsi="Calibri"/>
                <w:color w:val="263238"/>
                <w:sz w:val="18"/>
              </w:rPr>
              <w:t>agents/*</w:t>
            </w:r>
          </w:p>
        </w:tc>
        <w:tc>
          <w:tcPr>
            <w:tcW w:type="dxa" w:w="4320"/>
            <w:vAlign w:val="center"/>
            <w:tcMar>
              <w:top w:w="80" w:type="dxa"/>
              <w:start w:w="120" w:type="dxa"/>
              <w:bottom w:w="80" w:type="dxa"/>
              <w:end w:w="120" w:type="dxa"/>
            </w:tcMar>
          </w:tcPr>
          <w:p>
            <w:pPr>
              <w:spacing w:after="0"/>
              <w:jc w:val="left"/>
            </w:pPr>
            <w:r>
              <w:rPr>
                <w:rFonts w:ascii="Calibri" w:hAnsi="Calibri"/>
                <w:color w:val="263238"/>
                <w:sz w:val="18"/>
              </w:rPr>
              <w:t>Retrieve, analyze, decide, explain</w:t>
            </w:r>
          </w:p>
        </w:tc>
      </w:tr>
      <w:tr>
        <w:trPr>
          <w:cantSplit w:val="true"/>
        </w:trPr>
        <w:tc>
          <w:tcPr>
            <w:tcW w:type="dxa" w:w="1656"/>
            <w:vAlign w:val="center"/>
            <w:tcMar>
              <w:top w:w="80" w:type="dxa"/>
              <w:start w:w="120" w:type="dxa"/>
              <w:bottom w:w="80" w:type="dxa"/>
              <w:end w:w="120" w:type="dxa"/>
            </w:tcMar>
          </w:tcPr>
          <w:p>
            <w:pPr>
              <w:spacing w:after="0"/>
              <w:jc w:val="center"/>
            </w:pPr>
            <w:r>
              <w:rPr>
                <w:rFonts w:ascii="Calibri" w:hAnsi="Calibri"/>
                <w:color w:val="263238"/>
                <w:sz w:val="18"/>
              </w:rPr>
              <w:t>Presentation</w:t>
            </w:r>
          </w:p>
        </w:tc>
        <w:tc>
          <w:tcPr>
            <w:tcW w:type="dxa" w:w="3384"/>
            <w:vAlign w:val="center"/>
            <w:tcMar>
              <w:top w:w="80" w:type="dxa"/>
              <w:start w:w="120" w:type="dxa"/>
              <w:bottom w:w="80" w:type="dxa"/>
              <w:end w:w="120" w:type="dxa"/>
            </w:tcMar>
          </w:tcPr>
          <w:p>
            <w:pPr>
              <w:spacing w:after="0"/>
              <w:jc w:val="left"/>
            </w:pPr>
            <w:r>
              <w:rPr>
                <w:rFonts w:ascii="Calibri" w:hAnsi="Calibri"/>
                <w:color w:val="263238"/>
                <w:sz w:val="18"/>
              </w:rPr>
              <w:t>frontend/*</w:t>
            </w:r>
          </w:p>
        </w:tc>
        <w:tc>
          <w:tcPr>
            <w:tcW w:type="dxa" w:w="4320"/>
            <w:vAlign w:val="center"/>
            <w:tcMar>
              <w:top w:w="80" w:type="dxa"/>
              <w:start w:w="120" w:type="dxa"/>
              <w:bottom w:w="80" w:type="dxa"/>
              <w:end w:w="120" w:type="dxa"/>
            </w:tcMar>
          </w:tcPr>
          <w:p>
            <w:pPr>
              <w:spacing w:after="0"/>
              <w:jc w:val="left"/>
            </w:pPr>
            <w:r>
              <w:rPr>
                <w:rFonts w:ascii="Calibri" w:hAnsi="Calibri"/>
                <w:color w:val="263238"/>
                <w:sz w:val="18"/>
              </w:rPr>
              <w:t>Dashboard, API, output routes, health endpoints</w:t>
            </w:r>
          </w:p>
        </w:tc>
      </w:tr>
    </w:tbl>
    <w:p>
      <w:pPr>
        <w:spacing w:before="80" w:after="80"/>
      </w:pPr>
    </w:p>
    <w:p>
      <w:r>
        <w:br w:type="page"/>
      </w:r>
    </w:p>
    <w:p>
      <w:pPr>
        <w:pStyle w:val="Heading1"/>
        <w:spacing w:before="0" w:after="80"/>
      </w:pPr>
      <w:r>
        <w:rPr>
          <w:rFonts w:ascii="Calibri" w:hAnsi="Calibri"/>
          <w:b/>
          <w:color w:val="16324F"/>
          <w:sz w:val="44"/>
        </w:rPr>
        <w:t>5. Data Layer, Storage, and Scale</w:t>
      </w:r>
    </w:p>
    <w:p>
      <w:pPr>
        <w:spacing w:after="80"/>
        <w:jc w:val="center"/>
      </w:pPr>
      <w:r>
        <w:drawing>
          <wp:inline xmlns:a="http://schemas.openxmlformats.org/drawingml/2006/main" xmlns:pic="http://schemas.openxmlformats.org/drawingml/2006/picture">
            <wp:extent cx="5715000" cy="1476375"/>
            <wp:docPr id="2" name="Picture 2" title="Data Pipeline" descr="Figure 2. Real-data feature and training pipeline with chronological separation."/>
            <wp:cNvGraphicFramePr>
              <a:graphicFrameLocks noChangeAspect="1"/>
            </wp:cNvGraphicFramePr>
            <a:graphic>
              <a:graphicData uri="http://schemas.openxmlformats.org/drawingml/2006/picture">
                <pic:pic>
                  <pic:nvPicPr>
                    <pic:cNvPr id="0" name="data_pipeline.png"/>
                    <pic:cNvPicPr/>
                  </pic:nvPicPr>
                  <pic:blipFill>
                    <a:blip r:embed="rId13"/>
                    <a:stretch>
                      <a:fillRect/>
                    </a:stretch>
                  </pic:blipFill>
                  <pic:spPr>
                    <a:xfrm>
                      <a:off x="0" y="0"/>
                      <a:ext cx="5715000" cy="1476375"/>
                    </a:xfrm>
                    <a:prstGeom prst="rect"/>
                  </pic:spPr>
                </pic:pic>
              </a:graphicData>
            </a:graphic>
          </wp:inline>
        </w:drawing>
      </w:r>
    </w:p>
    <w:p>
      <w:pPr>
        <w:spacing w:before="0" w:after="160"/>
        <w:jc w:val="center"/>
      </w:pPr>
      <w:r>
        <w:rPr>
          <w:rFonts w:ascii="Calibri" w:hAnsi="Calibri"/>
          <w:i/>
          <w:color w:val="66727B"/>
          <w:sz w:val="18"/>
        </w:rPr>
        <w:t>Figure 2. Real-data feature and training pipeline with chronological separation.</w:t>
      </w:r>
    </w:p>
    <w:p>
      <w:pPr>
        <w:jc w:val="both"/>
      </w:pPr>
      <w:r>
        <w:rPr>
          <w:rFonts w:ascii="Calibri" w:hAnsi="Calibri"/>
          <w:color w:val="263238"/>
          <w:sz w:val="22"/>
        </w:rPr>
        <w:t>The application maintains two complementary scales. The discovery universe contains 10,000 real ticker and company metadata records from Nasdaq/SEC files. A diversified 20-company cohort supplies real OHLCV and selected fundamentals for model training. This distinction avoids claiming that synthetic proxy features are real market history for all 10,000 companies.</w:t>
      </w:r>
    </w:p>
    <w:tbl>
      <w:tblPr>
        <w:tblStyle w:val="TableGrid"/>
        <w:tblW w:type="dxa" w:w="9360"/>
        <w:tblLayout w:type="fixed"/>
        <w:tblLook w:firstColumn="1" w:firstRow="1" w:lastColumn="0" w:lastRow="0" w:noHBand="0" w:noVBand="1" w:val="04A0"/>
        <w:jc w:val="left"/>
        <w:tblInd w:w="120" w:type="dxa"/>
      </w:tblPr>
      <w:tblGrid>
        <w:gridCol w:w="1728"/>
        <w:gridCol w:w="3816"/>
        <w:gridCol w:w="3816"/>
      </w:tblGrid>
      <w:tr>
        <w:trPr>
          <w:tblHeader w:val="true"/>
        </w:trPr>
        <w:tc>
          <w:tcPr>
            <w:tcW w:type="dxa" w:w="1728"/>
            <w:tcMar>
              <w:top w:w="80" w:type="dxa"/>
              <w:start w:w="120" w:type="dxa"/>
              <w:bottom w:w="80" w:type="dxa"/>
              <w:end w:w="120" w:type="dxa"/>
            </w:tcMar>
            <w:shd w:fill="EEF3F5"/>
            <w:vAlign w:val="center"/>
          </w:tcPr>
          <w:p>
            <w:pPr>
              <w:spacing w:after="0"/>
              <w:jc w:val="center"/>
            </w:pPr>
            <w:r>
              <w:rPr>
                <w:rFonts w:ascii="Calibri" w:hAnsi="Calibri"/>
                <w:b/>
                <w:color w:val="16324F"/>
                <w:sz w:val="19"/>
              </w:rPr>
              <w:t>Storage area</w:t>
            </w:r>
          </w:p>
        </w:tc>
        <w:tc>
          <w:tcPr>
            <w:tcW w:type="dxa" w:w="3816"/>
            <w:tcMar>
              <w:top w:w="80" w:type="dxa"/>
              <w:start w:w="120" w:type="dxa"/>
              <w:bottom w:w="80" w:type="dxa"/>
              <w:end w:w="120" w:type="dxa"/>
            </w:tcMar>
            <w:shd w:fill="EEF3F5"/>
            <w:vAlign w:val="center"/>
          </w:tcPr>
          <w:p>
            <w:pPr>
              <w:spacing w:after="0"/>
              <w:jc w:val="center"/>
            </w:pPr>
            <w:r>
              <w:rPr>
                <w:rFonts w:ascii="Calibri" w:hAnsi="Calibri"/>
                <w:b/>
                <w:color w:val="16324F"/>
                <w:sz w:val="19"/>
              </w:rPr>
              <w:t>Content</w:t>
            </w:r>
          </w:p>
        </w:tc>
        <w:tc>
          <w:tcPr>
            <w:tcW w:type="dxa" w:w="3816"/>
            <w:tcMar>
              <w:top w:w="80" w:type="dxa"/>
              <w:start w:w="120" w:type="dxa"/>
              <w:bottom w:w="80" w:type="dxa"/>
              <w:end w:w="120" w:type="dxa"/>
            </w:tcMar>
            <w:shd w:fill="EEF3F5"/>
            <w:vAlign w:val="center"/>
          </w:tcPr>
          <w:p>
            <w:pPr>
              <w:spacing w:after="0"/>
              <w:jc w:val="center"/>
            </w:pPr>
            <w:r>
              <w:rPr>
                <w:rFonts w:ascii="Calibri" w:hAnsi="Calibri"/>
                <w:b/>
                <w:color w:val="16324F"/>
                <w:sz w:val="19"/>
              </w:rPr>
              <w:t>Example</w:t>
            </w:r>
          </w:p>
        </w:tc>
      </w:tr>
      <w:tr>
        <w:trPr>
          <w:cantSplit w:val="true"/>
        </w:trPr>
        <w:tc>
          <w:tcPr>
            <w:tcW w:type="dxa" w:w="1728"/>
            <w:vAlign w:val="center"/>
            <w:tcMar>
              <w:top w:w="80" w:type="dxa"/>
              <w:start w:w="120" w:type="dxa"/>
              <w:bottom w:w="80" w:type="dxa"/>
              <w:end w:w="120" w:type="dxa"/>
            </w:tcMar>
          </w:tcPr>
          <w:p>
            <w:pPr>
              <w:spacing w:after="0"/>
              <w:jc w:val="center"/>
            </w:pPr>
            <w:r>
              <w:rPr>
                <w:rFonts w:ascii="Calibri" w:hAnsi="Calibri"/>
                <w:color w:val="263238"/>
                <w:sz w:val="18"/>
              </w:rPr>
              <w:t>data/raw</w:t>
            </w:r>
          </w:p>
        </w:tc>
        <w:tc>
          <w:tcPr>
            <w:tcW w:type="dxa" w:w="3816"/>
            <w:vAlign w:val="center"/>
            <w:tcMar>
              <w:top w:w="80" w:type="dxa"/>
              <w:start w:w="120" w:type="dxa"/>
              <w:bottom w:w="80" w:type="dxa"/>
              <w:end w:w="120" w:type="dxa"/>
            </w:tcMar>
          </w:tcPr>
          <w:p>
            <w:pPr>
              <w:spacing w:after="0"/>
              <w:jc w:val="left"/>
            </w:pPr>
            <w:r>
              <w:rPr>
                <w:rFonts w:ascii="Calibri" w:hAnsi="Calibri"/>
                <w:color w:val="263238"/>
                <w:sz w:val="18"/>
              </w:rPr>
              <w:t>Original downloaded/cached sources</w:t>
            </w:r>
          </w:p>
        </w:tc>
        <w:tc>
          <w:tcPr>
            <w:tcW w:type="dxa" w:w="3816"/>
            <w:vAlign w:val="center"/>
            <w:tcMar>
              <w:top w:w="80" w:type="dxa"/>
              <w:start w:w="120" w:type="dxa"/>
              <w:bottom w:w="80" w:type="dxa"/>
              <w:end w:w="120" w:type="dxa"/>
            </w:tcMar>
          </w:tcPr>
          <w:p>
            <w:pPr>
              <w:spacing w:after="0"/>
              <w:jc w:val="left"/>
            </w:pPr>
            <w:r>
              <w:rPr>
                <w:rFonts w:ascii="Calibri" w:hAnsi="Calibri"/>
                <w:color w:val="263238"/>
                <w:sz w:val="18"/>
              </w:rPr>
              <w:t>Ticker files, yfinance caches, SEC filing text</w:t>
            </w:r>
          </w:p>
        </w:tc>
      </w:tr>
      <w:tr>
        <w:trPr>
          <w:cantSplit w:val="true"/>
        </w:trPr>
        <w:tc>
          <w:tcPr>
            <w:tcW w:type="dxa" w:w="1728"/>
            <w:vAlign w:val="center"/>
            <w:tcMar>
              <w:top w:w="80" w:type="dxa"/>
              <w:start w:w="120" w:type="dxa"/>
              <w:bottom w:w="80" w:type="dxa"/>
              <w:end w:w="120" w:type="dxa"/>
            </w:tcMar>
          </w:tcPr>
          <w:p>
            <w:pPr>
              <w:spacing w:after="0"/>
              <w:jc w:val="center"/>
            </w:pPr>
            <w:r>
              <w:rPr>
                <w:rFonts w:ascii="Calibri" w:hAnsi="Calibri"/>
                <w:color w:val="263238"/>
                <w:sz w:val="18"/>
              </w:rPr>
              <w:t>data/processed</w:t>
            </w:r>
          </w:p>
        </w:tc>
        <w:tc>
          <w:tcPr>
            <w:tcW w:type="dxa" w:w="3816"/>
            <w:vAlign w:val="center"/>
            <w:tcMar>
              <w:top w:w="80" w:type="dxa"/>
              <w:start w:w="120" w:type="dxa"/>
              <w:bottom w:w="80" w:type="dxa"/>
              <w:end w:w="120" w:type="dxa"/>
            </w:tcMar>
          </w:tcPr>
          <w:p>
            <w:pPr>
              <w:spacing w:after="0"/>
              <w:jc w:val="left"/>
            </w:pPr>
            <w:r>
              <w:rPr>
                <w:rFonts w:ascii="Calibri" w:hAnsi="Calibri"/>
                <w:color w:val="263238"/>
                <w:sz w:val="18"/>
              </w:rPr>
              <w:t>Clean analysis-ready tables</w:t>
            </w:r>
          </w:p>
        </w:tc>
        <w:tc>
          <w:tcPr>
            <w:tcW w:type="dxa" w:w="3816"/>
            <w:vAlign w:val="center"/>
            <w:tcMar>
              <w:top w:w="80" w:type="dxa"/>
              <w:start w:w="120" w:type="dxa"/>
              <w:bottom w:w="80" w:type="dxa"/>
              <w:end w:w="120" w:type="dxa"/>
            </w:tcMar>
          </w:tcPr>
          <w:p>
            <w:pPr>
              <w:spacing w:after="0"/>
              <w:jc w:val="left"/>
            </w:pPr>
            <w:r>
              <w:rPr>
                <w:rFonts w:ascii="Calibri" w:hAnsi="Calibri"/>
                <w:color w:val="263238"/>
                <w:sz w:val="18"/>
              </w:rPr>
              <w:t>Universe, real market history, summaries</w:t>
            </w:r>
          </w:p>
        </w:tc>
      </w:tr>
      <w:tr>
        <w:trPr>
          <w:cantSplit w:val="true"/>
        </w:trPr>
        <w:tc>
          <w:tcPr>
            <w:tcW w:type="dxa" w:w="1728"/>
            <w:vAlign w:val="center"/>
            <w:tcMar>
              <w:top w:w="80" w:type="dxa"/>
              <w:start w:w="120" w:type="dxa"/>
              <w:bottom w:w="80" w:type="dxa"/>
              <w:end w:w="120" w:type="dxa"/>
            </w:tcMar>
          </w:tcPr>
          <w:p>
            <w:pPr>
              <w:spacing w:after="0"/>
              <w:jc w:val="center"/>
            </w:pPr>
            <w:r>
              <w:rPr>
                <w:rFonts w:ascii="Calibri" w:hAnsi="Calibri"/>
                <w:color w:val="263238"/>
                <w:sz w:val="18"/>
              </w:rPr>
              <w:t>data/features</w:t>
            </w:r>
          </w:p>
        </w:tc>
        <w:tc>
          <w:tcPr>
            <w:tcW w:type="dxa" w:w="3816"/>
            <w:vAlign w:val="center"/>
            <w:tcMar>
              <w:top w:w="80" w:type="dxa"/>
              <w:start w:w="120" w:type="dxa"/>
              <w:bottom w:w="80" w:type="dxa"/>
              <w:end w:w="120" w:type="dxa"/>
            </w:tcMar>
          </w:tcPr>
          <w:p>
            <w:pPr>
              <w:spacing w:after="0"/>
              <w:jc w:val="left"/>
            </w:pPr>
            <w:r>
              <w:rPr>
                <w:rFonts w:ascii="Calibri" w:hAnsi="Calibri"/>
                <w:color w:val="263238"/>
                <w:sz w:val="18"/>
              </w:rPr>
              <w:t>ML-ready point-in-time rows</w:t>
            </w:r>
          </w:p>
        </w:tc>
        <w:tc>
          <w:tcPr>
            <w:tcW w:type="dxa" w:w="3816"/>
            <w:vAlign w:val="center"/>
            <w:tcMar>
              <w:top w:w="80" w:type="dxa"/>
              <w:start w:w="120" w:type="dxa"/>
              <w:bottom w:w="80" w:type="dxa"/>
              <w:end w:w="120" w:type="dxa"/>
            </w:tcMar>
          </w:tcPr>
          <w:p>
            <w:pPr>
              <w:spacing w:after="0"/>
              <w:jc w:val="left"/>
            </w:pPr>
            <w:r>
              <w:rPr>
                <w:rFonts w:ascii="Calibri" w:hAnsi="Calibri"/>
                <w:color w:val="263238"/>
                <w:sz w:val="18"/>
              </w:rPr>
              <w:t>Training and latest inference features</w:t>
            </w:r>
          </w:p>
        </w:tc>
      </w:tr>
      <w:tr>
        <w:trPr>
          <w:cantSplit w:val="true"/>
        </w:trPr>
        <w:tc>
          <w:tcPr>
            <w:tcW w:type="dxa" w:w="1728"/>
            <w:vAlign w:val="center"/>
            <w:tcMar>
              <w:top w:w="80" w:type="dxa"/>
              <w:start w:w="120" w:type="dxa"/>
              <w:bottom w:w="80" w:type="dxa"/>
              <w:end w:w="120" w:type="dxa"/>
            </w:tcMar>
          </w:tcPr>
          <w:p>
            <w:pPr>
              <w:spacing w:after="0"/>
              <w:jc w:val="center"/>
            </w:pPr>
            <w:r>
              <w:rPr>
                <w:rFonts w:ascii="Calibri" w:hAnsi="Calibri"/>
                <w:color w:val="263238"/>
                <w:sz w:val="18"/>
              </w:rPr>
              <w:t>data/vectors</w:t>
            </w:r>
          </w:p>
        </w:tc>
        <w:tc>
          <w:tcPr>
            <w:tcW w:type="dxa" w:w="3816"/>
            <w:vAlign w:val="center"/>
            <w:tcMar>
              <w:top w:w="80" w:type="dxa"/>
              <w:start w:w="120" w:type="dxa"/>
              <w:bottom w:w="80" w:type="dxa"/>
              <w:end w:w="120" w:type="dxa"/>
            </w:tcMar>
          </w:tcPr>
          <w:p>
            <w:pPr>
              <w:spacing w:after="0"/>
              <w:jc w:val="left"/>
            </w:pPr>
            <w:r>
              <w:rPr>
                <w:rFonts w:ascii="Calibri" w:hAnsi="Calibri"/>
                <w:color w:val="263238"/>
                <w:sz w:val="18"/>
              </w:rPr>
              <w:t>Persistent retrieval index</w:t>
            </w:r>
          </w:p>
        </w:tc>
        <w:tc>
          <w:tcPr>
            <w:tcW w:type="dxa" w:w="3816"/>
            <w:vAlign w:val="center"/>
            <w:tcMar>
              <w:top w:w="80" w:type="dxa"/>
              <w:start w:w="120" w:type="dxa"/>
              <w:bottom w:w="80" w:type="dxa"/>
              <w:end w:w="120" w:type="dxa"/>
            </w:tcMar>
          </w:tcPr>
          <w:p>
            <w:pPr>
              <w:spacing w:after="0"/>
              <w:jc w:val="left"/>
            </w:pPr>
            <w:r>
              <w:rPr>
                <w:rFonts w:ascii="Calibri" w:hAnsi="Calibri"/>
                <w:color w:val="263238"/>
                <w:sz w:val="18"/>
              </w:rPr>
              <w:t>Chroma SQLite and vector segments</w:t>
            </w:r>
          </w:p>
        </w:tc>
      </w:tr>
      <w:tr>
        <w:trPr>
          <w:cantSplit w:val="true"/>
        </w:trPr>
        <w:tc>
          <w:tcPr>
            <w:tcW w:type="dxa" w:w="1728"/>
            <w:vAlign w:val="center"/>
            <w:tcMar>
              <w:top w:w="80" w:type="dxa"/>
              <w:start w:w="120" w:type="dxa"/>
              <w:bottom w:w="80" w:type="dxa"/>
              <w:end w:w="120" w:type="dxa"/>
            </w:tcMar>
          </w:tcPr>
          <w:p>
            <w:pPr>
              <w:spacing w:after="0"/>
              <w:jc w:val="center"/>
            </w:pPr>
            <w:r>
              <w:rPr>
                <w:rFonts w:ascii="Calibri" w:hAnsi="Calibri"/>
                <w:color w:val="263238"/>
                <w:sz w:val="18"/>
              </w:rPr>
              <w:t>models</w:t>
            </w:r>
          </w:p>
        </w:tc>
        <w:tc>
          <w:tcPr>
            <w:tcW w:type="dxa" w:w="3816"/>
            <w:vAlign w:val="center"/>
            <w:tcMar>
              <w:top w:w="80" w:type="dxa"/>
              <w:start w:w="120" w:type="dxa"/>
              <w:bottom w:w="80" w:type="dxa"/>
              <w:end w:w="120" w:type="dxa"/>
            </w:tcMar>
          </w:tcPr>
          <w:p>
            <w:pPr>
              <w:spacing w:after="0"/>
              <w:jc w:val="left"/>
            </w:pPr>
            <w:r>
              <w:rPr>
                <w:rFonts w:ascii="Calibri" w:hAnsi="Calibri"/>
                <w:color w:val="263238"/>
                <w:sz w:val="18"/>
              </w:rPr>
              <w:t>Serialized trained models and metrics</w:t>
            </w:r>
          </w:p>
        </w:tc>
        <w:tc>
          <w:tcPr>
            <w:tcW w:type="dxa" w:w="3816"/>
            <w:vAlign w:val="center"/>
            <w:tcMar>
              <w:top w:w="80" w:type="dxa"/>
              <w:start w:w="120" w:type="dxa"/>
              <w:bottom w:w="80" w:type="dxa"/>
              <w:end w:w="120" w:type="dxa"/>
            </w:tcMar>
          </w:tcPr>
          <w:p>
            <w:pPr>
              <w:spacing w:after="0"/>
              <w:jc w:val="left"/>
            </w:pPr>
            <w:r>
              <w:rPr>
                <w:rFonts w:ascii="Calibri" w:hAnsi="Calibri"/>
                <w:color w:val="263238"/>
                <w:sz w:val="18"/>
              </w:rPr>
              <w:t>Risk/forecast pickle files</w:t>
            </w:r>
          </w:p>
        </w:tc>
      </w:tr>
      <w:tr>
        <w:trPr>
          <w:cantSplit w:val="true"/>
        </w:trPr>
        <w:tc>
          <w:tcPr>
            <w:tcW w:type="dxa" w:w="1728"/>
            <w:vAlign w:val="center"/>
            <w:tcMar>
              <w:top w:w="80" w:type="dxa"/>
              <w:start w:w="120" w:type="dxa"/>
              <w:bottom w:w="80" w:type="dxa"/>
              <w:end w:w="120" w:type="dxa"/>
            </w:tcMar>
          </w:tcPr>
          <w:p>
            <w:pPr>
              <w:spacing w:after="0"/>
              <w:jc w:val="center"/>
            </w:pPr>
            <w:r>
              <w:rPr>
                <w:rFonts w:ascii="Calibri" w:hAnsi="Calibri"/>
                <w:color w:val="263238"/>
                <w:sz w:val="18"/>
              </w:rPr>
              <w:t>reports</w:t>
            </w:r>
          </w:p>
        </w:tc>
        <w:tc>
          <w:tcPr>
            <w:tcW w:type="dxa" w:w="3816"/>
            <w:vAlign w:val="center"/>
            <w:tcMar>
              <w:top w:w="80" w:type="dxa"/>
              <w:start w:w="120" w:type="dxa"/>
              <w:bottom w:w="80" w:type="dxa"/>
              <w:end w:w="120" w:type="dxa"/>
            </w:tcMar>
          </w:tcPr>
          <w:p>
            <w:pPr>
              <w:spacing w:after="0"/>
              <w:jc w:val="left"/>
            </w:pPr>
            <w:r>
              <w:rPr>
                <w:rFonts w:ascii="Calibri" w:hAnsi="Calibri"/>
                <w:color w:val="263238"/>
                <w:sz w:val="18"/>
              </w:rPr>
              <w:t>Human-readable output</w:t>
            </w:r>
          </w:p>
        </w:tc>
        <w:tc>
          <w:tcPr>
            <w:tcW w:type="dxa" w:w="3816"/>
            <w:vAlign w:val="center"/>
            <w:tcMar>
              <w:top w:w="80" w:type="dxa"/>
              <w:start w:w="120" w:type="dxa"/>
              <w:bottom w:w="80" w:type="dxa"/>
              <w:end w:w="120" w:type="dxa"/>
            </w:tcMar>
          </w:tcPr>
          <w:p>
            <w:pPr>
              <w:spacing w:after="0"/>
              <w:jc w:val="left"/>
            </w:pPr>
            <w:r>
              <w:rPr>
                <w:rFonts w:ascii="Calibri" w:hAnsi="Calibri"/>
                <w:color w:val="263238"/>
                <w:sz w:val="18"/>
              </w:rPr>
              <w:t>Agent Markdown report</w:t>
            </w:r>
          </w:p>
        </w:tc>
      </w:tr>
    </w:tbl>
    <w:p>
      <w:pPr>
        <w:spacing w:before="80" w:after="80"/>
      </w:pPr>
    </w:p>
    <w:p>
      <w:pPr>
        <w:pStyle w:val="Heading2"/>
      </w:pPr>
      <w:r>
        <w:t>Use of Pandas and NumPy</w:t>
      </w:r>
    </w:p>
    <w:p>
      <w:pPr>
        <w:jc w:val="both"/>
      </w:pPr>
      <w:r>
        <w:rPr>
          <w:rFonts w:ascii="Calibri" w:hAnsi="Calibri"/>
          <w:color w:val="263238"/>
          <w:sz w:val="22"/>
        </w:rPr>
        <w:t>Pandas performs CSV ingestion, cleaning, grouping, rolling windows, time alignment, tabular persistence, and API response preparation. NumPy supports returns, volatility, drawdown, RSI calculations, deterministic proxy generation, probability operations, and the dependency-light centroid fallback.</w:t>
      </w:r>
    </w:p>
    <w:p>
      <w:r>
        <w:br w:type="page"/>
      </w:r>
    </w:p>
    <w:p>
      <w:pPr>
        <w:pStyle w:val="Heading1"/>
        <w:spacing w:before="0" w:after="80"/>
      </w:pPr>
      <w:r>
        <w:rPr>
          <w:rFonts w:ascii="Calibri" w:hAnsi="Calibri"/>
          <w:b/>
          <w:color w:val="16324F"/>
          <w:sz w:val="44"/>
        </w:rPr>
        <w:t>6. Retrieval-Augmented Generation and SEC Ingestion</w:t>
      </w:r>
    </w:p>
    <w:p>
      <w:pPr>
        <w:spacing w:after="80"/>
        <w:jc w:val="center"/>
      </w:pPr>
      <w:r>
        <w:drawing>
          <wp:inline xmlns:a="http://schemas.openxmlformats.org/drawingml/2006/main" xmlns:pic="http://schemas.openxmlformats.org/drawingml/2006/picture">
            <wp:extent cx="5715000" cy="1476375"/>
            <wp:docPr id="3" name="Picture 3" title="Rag Flow" descr="Figure 3. Persistent hybrid RAG path used by direct queries and the Retriever Agent."/>
            <wp:cNvGraphicFramePr>
              <a:graphicFrameLocks noChangeAspect="1"/>
            </wp:cNvGraphicFramePr>
            <a:graphic>
              <a:graphicData uri="http://schemas.openxmlformats.org/drawingml/2006/picture">
                <pic:pic>
                  <pic:nvPicPr>
                    <pic:cNvPr id="0" name="rag_flow.png"/>
                    <pic:cNvPicPr/>
                  </pic:nvPicPr>
                  <pic:blipFill>
                    <a:blip r:embed="rId14"/>
                    <a:stretch>
                      <a:fillRect/>
                    </a:stretch>
                  </pic:blipFill>
                  <pic:spPr>
                    <a:xfrm>
                      <a:off x="0" y="0"/>
                      <a:ext cx="5715000" cy="1476375"/>
                    </a:xfrm>
                    <a:prstGeom prst="rect"/>
                  </pic:spPr>
                </pic:pic>
              </a:graphicData>
            </a:graphic>
          </wp:inline>
        </w:drawing>
      </w:r>
    </w:p>
    <w:p>
      <w:pPr>
        <w:spacing w:before="0" w:after="160"/>
        <w:jc w:val="center"/>
      </w:pPr>
      <w:r>
        <w:rPr>
          <w:rFonts w:ascii="Calibri" w:hAnsi="Calibri"/>
          <w:i/>
          <w:color w:val="66727B"/>
          <w:sz w:val="18"/>
        </w:rPr>
        <w:t>Figure 3. Persistent hybrid RAG path used by direct queries and the Retriever Agent.</w:t>
      </w:r>
    </w:p>
    <w:p>
      <w:pPr>
        <w:jc w:val="both"/>
      </w:pPr>
      <w:r>
        <w:rPr>
          <w:rFonts w:ascii="Calibri" w:hAnsi="Calibri"/>
          <w:color w:val="263238"/>
          <w:sz w:val="22"/>
        </w:rPr>
        <w:t>Documents are parsed into overlapping 900-character chunks. A deterministic 384-dimensional hashing embedder creates local vectors without a model download. ChromaDB stores the chunks and metadata persistently. At query time the retriever obtains vector candidates and reranks them using 55% vector similarity, 35% lexical query coverage, and 10% metadata overlap.</w:t>
      </w:r>
    </w:p>
    <w:tbl>
      <w:tblPr>
        <w:tblStyle w:val="TableGrid"/>
        <w:tblW w:type="dxa" w:w="9360"/>
        <w:tblLayout w:type="fixed"/>
        <w:tblLook w:firstColumn="1" w:firstRow="1" w:lastColumn="0" w:lastRow="0" w:noHBand="0" w:noVBand="1" w:val="04A0"/>
        <w:jc w:val="left"/>
        <w:tblInd w:w="120" w:type="dxa"/>
      </w:tblPr>
      <w:tblGrid>
        <w:gridCol w:w="1872"/>
        <w:gridCol w:w="3528"/>
        <w:gridCol w:w="3960"/>
      </w:tblGrid>
      <w:tr>
        <w:trPr>
          <w:tblHeader w:val="true"/>
        </w:trPr>
        <w:tc>
          <w:tcPr>
            <w:tcW w:type="dxa" w:w="1872"/>
            <w:tcMar>
              <w:top w:w="80" w:type="dxa"/>
              <w:start w:w="120" w:type="dxa"/>
              <w:bottom w:w="80" w:type="dxa"/>
              <w:end w:w="120" w:type="dxa"/>
            </w:tcMar>
            <w:shd w:fill="EEF3F5"/>
            <w:vAlign w:val="center"/>
          </w:tcPr>
          <w:p>
            <w:pPr>
              <w:spacing w:after="0"/>
              <w:jc w:val="center"/>
            </w:pPr>
            <w:r>
              <w:rPr>
                <w:rFonts w:ascii="Calibri" w:hAnsi="Calibri"/>
                <w:b/>
                <w:color w:val="16324F"/>
                <w:sz w:val="19"/>
              </w:rPr>
              <w:t>RAG component</w:t>
            </w:r>
          </w:p>
        </w:tc>
        <w:tc>
          <w:tcPr>
            <w:tcW w:type="dxa" w:w="3528"/>
            <w:tcMar>
              <w:top w:w="80" w:type="dxa"/>
              <w:start w:w="120" w:type="dxa"/>
              <w:bottom w:w="80" w:type="dxa"/>
              <w:end w:w="120" w:type="dxa"/>
            </w:tcMar>
            <w:shd w:fill="EEF3F5"/>
            <w:vAlign w:val="center"/>
          </w:tcPr>
          <w:p>
            <w:pPr>
              <w:spacing w:after="0"/>
              <w:jc w:val="center"/>
            </w:pPr>
            <w:r>
              <w:rPr>
                <w:rFonts w:ascii="Calibri" w:hAnsi="Calibri"/>
                <w:b/>
                <w:color w:val="16324F"/>
                <w:sz w:val="19"/>
              </w:rPr>
              <w:t>Implementation</w:t>
            </w:r>
          </w:p>
        </w:tc>
        <w:tc>
          <w:tcPr>
            <w:tcW w:type="dxa" w:w="3960"/>
            <w:tcMar>
              <w:top w:w="80" w:type="dxa"/>
              <w:start w:w="120" w:type="dxa"/>
              <w:bottom w:w="80" w:type="dxa"/>
              <w:end w:w="120" w:type="dxa"/>
            </w:tcMar>
            <w:shd w:fill="EEF3F5"/>
            <w:vAlign w:val="center"/>
          </w:tcPr>
          <w:p>
            <w:pPr>
              <w:spacing w:after="0"/>
              <w:jc w:val="center"/>
            </w:pPr>
            <w:r>
              <w:rPr>
                <w:rFonts w:ascii="Calibri" w:hAnsi="Calibri"/>
                <w:b/>
                <w:color w:val="16324F"/>
                <w:sz w:val="19"/>
              </w:rPr>
              <w:t>Reason</w:t>
            </w:r>
          </w:p>
        </w:tc>
      </w:tr>
      <w:tr>
        <w:trPr>
          <w:cantSplit w:val="true"/>
        </w:trPr>
        <w:tc>
          <w:tcPr>
            <w:tcW w:type="dxa" w:w="1872"/>
            <w:vAlign w:val="center"/>
            <w:tcMar>
              <w:top w:w="80" w:type="dxa"/>
              <w:start w:w="120" w:type="dxa"/>
              <w:bottom w:w="80" w:type="dxa"/>
              <w:end w:w="120" w:type="dxa"/>
            </w:tcMar>
          </w:tcPr>
          <w:p>
            <w:pPr>
              <w:spacing w:after="0"/>
              <w:jc w:val="center"/>
            </w:pPr>
            <w:r>
              <w:rPr>
                <w:rFonts w:ascii="Calibri" w:hAnsi="Calibri"/>
                <w:color w:val="263238"/>
                <w:sz w:val="18"/>
              </w:rPr>
              <w:t>Vector database</w:t>
            </w:r>
          </w:p>
        </w:tc>
        <w:tc>
          <w:tcPr>
            <w:tcW w:type="dxa" w:w="3528"/>
            <w:vAlign w:val="center"/>
            <w:tcMar>
              <w:top w:w="80" w:type="dxa"/>
              <w:start w:w="120" w:type="dxa"/>
              <w:bottom w:w="80" w:type="dxa"/>
              <w:end w:w="120" w:type="dxa"/>
            </w:tcMar>
          </w:tcPr>
          <w:p>
            <w:pPr>
              <w:spacing w:after="0"/>
              <w:jc w:val="left"/>
            </w:pPr>
            <w:r>
              <w:rPr>
                <w:rFonts w:ascii="Calibri" w:hAnsi="Calibri"/>
                <w:color w:val="263238"/>
                <w:sz w:val="18"/>
              </w:rPr>
              <w:t>ChromaDB PersistentClient</w:t>
            </w:r>
          </w:p>
        </w:tc>
        <w:tc>
          <w:tcPr>
            <w:tcW w:type="dxa" w:w="3960"/>
            <w:vAlign w:val="center"/>
            <w:tcMar>
              <w:top w:w="80" w:type="dxa"/>
              <w:start w:w="120" w:type="dxa"/>
              <w:bottom w:w="80" w:type="dxa"/>
              <w:end w:w="120" w:type="dxa"/>
            </w:tcMar>
          </w:tcPr>
          <w:p>
            <w:pPr>
              <w:spacing w:after="0"/>
              <w:jc w:val="left"/>
            </w:pPr>
            <w:r>
              <w:rPr>
                <w:rFonts w:ascii="Calibri" w:hAnsi="Calibri"/>
                <w:color w:val="263238"/>
                <w:sz w:val="18"/>
              </w:rPr>
              <w:t>Local persistence and simple cloud packaging</w:t>
            </w:r>
          </w:p>
        </w:tc>
      </w:tr>
      <w:tr>
        <w:trPr>
          <w:cantSplit w:val="true"/>
        </w:trPr>
        <w:tc>
          <w:tcPr>
            <w:tcW w:type="dxa" w:w="1872"/>
            <w:vAlign w:val="center"/>
            <w:tcMar>
              <w:top w:w="80" w:type="dxa"/>
              <w:start w:w="120" w:type="dxa"/>
              <w:bottom w:w="80" w:type="dxa"/>
              <w:end w:w="120" w:type="dxa"/>
            </w:tcMar>
          </w:tcPr>
          <w:p>
            <w:pPr>
              <w:spacing w:after="0"/>
              <w:jc w:val="center"/>
            </w:pPr>
            <w:r>
              <w:rPr>
                <w:rFonts w:ascii="Calibri" w:hAnsi="Calibri"/>
                <w:color w:val="263238"/>
                <w:sz w:val="18"/>
              </w:rPr>
              <w:t>Embeddings</w:t>
            </w:r>
          </w:p>
        </w:tc>
        <w:tc>
          <w:tcPr>
            <w:tcW w:type="dxa" w:w="3528"/>
            <w:vAlign w:val="center"/>
            <w:tcMar>
              <w:top w:w="80" w:type="dxa"/>
              <w:start w:w="120" w:type="dxa"/>
              <w:bottom w:w="80" w:type="dxa"/>
              <w:end w:w="120" w:type="dxa"/>
            </w:tcMar>
          </w:tcPr>
          <w:p>
            <w:pPr>
              <w:spacing w:after="0"/>
              <w:jc w:val="left"/>
            </w:pPr>
            <w:r>
              <w:rPr>
                <w:rFonts w:ascii="Calibri" w:hAnsi="Calibri"/>
                <w:color w:val="263238"/>
                <w:sz w:val="18"/>
              </w:rPr>
              <w:t>384-d hashing vectors</w:t>
            </w:r>
          </w:p>
        </w:tc>
        <w:tc>
          <w:tcPr>
            <w:tcW w:type="dxa" w:w="3960"/>
            <w:vAlign w:val="center"/>
            <w:tcMar>
              <w:top w:w="80" w:type="dxa"/>
              <w:start w:w="120" w:type="dxa"/>
              <w:bottom w:w="80" w:type="dxa"/>
              <w:end w:w="120" w:type="dxa"/>
            </w:tcMar>
          </w:tcPr>
          <w:p>
            <w:pPr>
              <w:spacing w:after="0"/>
              <w:jc w:val="left"/>
            </w:pPr>
            <w:r>
              <w:rPr>
                <w:rFonts w:ascii="Calibri" w:hAnsi="Calibri"/>
                <w:color w:val="263238"/>
                <w:sz w:val="18"/>
              </w:rPr>
              <w:t>Deterministic, offline, inexpensive Phase 1 baseline</w:t>
            </w:r>
          </w:p>
        </w:tc>
      </w:tr>
      <w:tr>
        <w:trPr>
          <w:cantSplit w:val="true"/>
        </w:trPr>
        <w:tc>
          <w:tcPr>
            <w:tcW w:type="dxa" w:w="1872"/>
            <w:vAlign w:val="center"/>
            <w:tcMar>
              <w:top w:w="80" w:type="dxa"/>
              <w:start w:w="120" w:type="dxa"/>
              <w:bottom w:w="80" w:type="dxa"/>
              <w:end w:w="120" w:type="dxa"/>
            </w:tcMar>
          </w:tcPr>
          <w:p>
            <w:pPr>
              <w:spacing w:after="0"/>
              <w:jc w:val="center"/>
            </w:pPr>
            <w:r>
              <w:rPr>
                <w:rFonts w:ascii="Calibri" w:hAnsi="Calibri"/>
                <w:color w:val="263238"/>
                <w:sz w:val="18"/>
              </w:rPr>
              <w:t>Metadata</w:t>
            </w:r>
          </w:p>
        </w:tc>
        <w:tc>
          <w:tcPr>
            <w:tcW w:type="dxa" w:w="3528"/>
            <w:vAlign w:val="center"/>
            <w:tcMar>
              <w:top w:w="80" w:type="dxa"/>
              <w:start w:w="120" w:type="dxa"/>
              <w:bottom w:w="80" w:type="dxa"/>
              <w:end w:w="120" w:type="dxa"/>
            </w:tcMar>
          </w:tcPr>
          <w:p>
            <w:pPr>
              <w:spacing w:after="0"/>
              <w:jc w:val="left"/>
            </w:pPr>
            <w:r>
              <w:rPr>
                <w:rFonts w:ascii="Calibri" w:hAnsi="Calibri"/>
                <w:color w:val="263238"/>
                <w:sz w:val="18"/>
              </w:rPr>
              <w:t>Source, type, page, ticker, date, year</w:t>
            </w:r>
          </w:p>
        </w:tc>
        <w:tc>
          <w:tcPr>
            <w:tcW w:type="dxa" w:w="3960"/>
            <w:vAlign w:val="center"/>
            <w:tcMar>
              <w:top w:w="80" w:type="dxa"/>
              <w:start w:w="120" w:type="dxa"/>
              <w:bottom w:w="80" w:type="dxa"/>
              <w:end w:w="120" w:type="dxa"/>
            </w:tcMar>
          </w:tcPr>
          <w:p>
            <w:pPr>
              <w:spacing w:after="0"/>
              <w:jc w:val="left"/>
            </w:pPr>
            <w:r>
              <w:rPr>
                <w:rFonts w:ascii="Calibri" w:hAnsi="Calibri"/>
                <w:color w:val="263238"/>
                <w:sz w:val="18"/>
              </w:rPr>
              <w:t>Traceability and query-specific reranking</w:t>
            </w:r>
          </w:p>
        </w:tc>
      </w:tr>
      <w:tr>
        <w:trPr>
          <w:cantSplit w:val="true"/>
        </w:trPr>
        <w:tc>
          <w:tcPr>
            <w:tcW w:type="dxa" w:w="1872"/>
            <w:vAlign w:val="center"/>
            <w:tcMar>
              <w:top w:w="80" w:type="dxa"/>
              <w:start w:w="120" w:type="dxa"/>
              <w:bottom w:w="80" w:type="dxa"/>
              <w:end w:w="120" w:type="dxa"/>
            </w:tcMar>
          </w:tcPr>
          <w:p>
            <w:pPr>
              <w:spacing w:after="0"/>
              <w:jc w:val="center"/>
            </w:pPr>
            <w:r>
              <w:rPr>
                <w:rFonts w:ascii="Calibri" w:hAnsi="Calibri"/>
                <w:color w:val="263238"/>
                <w:sz w:val="18"/>
              </w:rPr>
              <w:t>Generation</w:t>
            </w:r>
          </w:p>
        </w:tc>
        <w:tc>
          <w:tcPr>
            <w:tcW w:type="dxa" w:w="3528"/>
            <w:vAlign w:val="center"/>
            <w:tcMar>
              <w:top w:w="80" w:type="dxa"/>
              <w:start w:w="120" w:type="dxa"/>
              <w:bottom w:w="80" w:type="dxa"/>
              <w:end w:w="120" w:type="dxa"/>
            </w:tcMar>
          </w:tcPr>
          <w:p>
            <w:pPr>
              <w:spacing w:after="0"/>
              <w:jc w:val="left"/>
            </w:pPr>
            <w:r>
              <w:rPr>
                <w:rFonts w:ascii="Calibri" w:hAnsi="Calibri"/>
                <w:color w:val="263238"/>
                <w:sz w:val="18"/>
              </w:rPr>
              <w:t>Local extractive or OpenAI Responses API</w:t>
            </w:r>
          </w:p>
        </w:tc>
        <w:tc>
          <w:tcPr>
            <w:tcW w:type="dxa" w:w="3960"/>
            <w:vAlign w:val="center"/>
            <w:tcMar>
              <w:top w:w="80" w:type="dxa"/>
              <w:start w:w="120" w:type="dxa"/>
              <w:bottom w:w="80" w:type="dxa"/>
              <w:end w:w="120" w:type="dxa"/>
            </w:tcMar>
          </w:tcPr>
          <w:p>
            <w:pPr>
              <w:spacing w:after="0"/>
              <w:jc w:val="left"/>
            </w:pPr>
            <w:r>
              <w:rPr>
                <w:rFonts w:ascii="Calibri" w:hAnsi="Calibri"/>
                <w:color w:val="263238"/>
                <w:sz w:val="18"/>
              </w:rPr>
              <w:t>Offline reliability plus cloud synthesis</w:t>
            </w:r>
          </w:p>
        </w:tc>
      </w:tr>
      <w:tr>
        <w:trPr>
          <w:cantSplit w:val="true"/>
        </w:trPr>
        <w:tc>
          <w:tcPr>
            <w:tcW w:type="dxa" w:w="1872"/>
            <w:vAlign w:val="center"/>
            <w:tcMar>
              <w:top w:w="80" w:type="dxa"/>
              <w:start w:w="120" w:type="dxa"/>
              <w:bottom w:w="80" w:type="dxa"/>
              <w:end w:w="120" w:type="dxa"/>
            </w:tcMar>
          </w:tcPr>
          <w:p>
            <w:pPr>
              <w:spacing w:after="0"/>
              <w:jc w:val="center"/>
            </w:pPr>
            <w:r>
              <w:rPr>
                <w:rFonts w:ascii="Calibri" w:hAnsi="Calibri"/>
                <w:color w:val="263238"/>
                <w:sz w:val="18"/>
              </w:rPr>
              <w:t>SEC ingestion</w:t>
            </w:r>
          </w:p>
        </w:tc>
        <w:tc>
          <w:tcPr>
            <w:tcW w:type="dxa" w:w="3528"/>
            <w:vAlign w:val="center"/>
            <w:tcMar>
              <w:top w:w="80" w:type="dxa"/>
              <w:start w:w="120" w:type="dxa"/>
              <w:bottom w:w="80" w:type="dxa"/>
              <w:end w:w="120" w:type="dxa"/>
            </w:tcMar>
          </w:tcPr>
          <w:p>
            <w:pPr>
              <w:spacing w:after="0"/>
              <w:jc w:val="left"/>
            </w:pPr>
            <w:r>
              <w:rPr>
                <w:rFonts w:ascii="Calibri" w:hAnsi="Calibri"/>
                <w:color w:val="263238"/>
                <w:sz w:val="18"/>
              </w:rPr>
              <w:t>Submissions JSON + official filing archive</w:t>
            </w:r>
          </w:p>
        </w:tc>
        <w:tc>
          <w:tcPr>
            <w:tcW w:type="dxa" w:w="3960"/>
            <w:vAlign w:val="center"/>
            <w:tcMar>
              <w:top w:w="80" w:type="dxa"/>
              <w:start w:w="120" w:type="dxa"/>
              <w:bottom w:w="80" w:type="dxa"/>
              <w:end w:w="120" w:type="dxa"/>
            </w:tcMar>
          </w:tcPr>
          <w:p>
            <w:pPr>
              <w:spacing w:after="0"/>
              <w:jc w:val="left"/>
            </w:pPr>
            <w:r>
              <w:rPr>
                <w:rFonts w:ascii="Calibri" w:hAnsi="Calibri"/>
                <w:color w:val="263238"/>
                <w:sz w:val="18"/>
              </w:rPr>
              <w:t>Official 10-K/10-Q evidence</w:t>
            </w:r>
          </w:p>
        </w:tc>
      </w:tr>
    </w:tbl>
    <w:p>
      <w:pPr>
        <w:spacing w:before="80" w:after="80"/>
      </w:pPr>
    </w:p>
    <w:tbl>
      <w:tblPr>
        <w:tblW w:type="dxa" w:w="9360"/>
        <w:tblLayout w:type="fixed"/>
        <w:tblLook w:firstColumn="1" w:firstRow="1" w:lastColumn="0" w:lastRow="0" w:noHBand="0" w:noVBand="1" w:val="04A0"/>
        <w:jc w:val="left"/>
        <w:tblInd w:w="120" w:type="dxa"/>
      </w:tblPr>
      <w:tblGrid>
        <w:gridCol w:w="9360"/>
      </w:tblGrid>
      <w:tr>
        <w:tc>
          <w:tcPr>
            <w:tcW w:type="dxa" w:w="9360"/>
            <w:tcMar>
              <w:top w:w="80" w:type="dxa"/>
              <w:start w:w="120" w:type="dxa"/>
              <w:bottom w:w="80" w:type="dxa"/>
              <w:end w:w="120" w:type="dxa"/>
            </w:tcMar>
            <w:shd w:fill="EEF3F5"/>
            <w:vAlign w:val="center"/>
          </w:tcPr>
          <w:p>
            <w:pPr>
              <w:spacing w:before="60" w:after="60"/>
            </w:pPr>
            <w:r>
              <w:rPr>
                <w:rFonts w:ascii="Calibri" w:hAnsi="Calibri"/>
                <w:b/>
                <w:color w:val="167D8D"/>
                <w:sz w:val="21"/>
              </w:rPr>
              <w:t xml:space="preserve">SEC access: </w:t>
            </w:r>
            <w:r>
              <w:rPr>
                <w:rFonts w:ascii="Calibri" w:hAnsi="Calibri"/>
                <w:color w:val="263238"/>
                <w:sz w:val="21"/>
              </w:rPr>
              <w:t>Live SEC ingestion requires FIE_SEC_USER_AGENT with an application name and contact email. The downloaded filing sidecar stores ticker, CIK, form, filing/report dates, accession, primary document, and official URL.</w:t>
            </w:r>
          </w:p>
        </w:tc>
      </w:tr>
    </w:tbl>
    <w:p>
      <w:pPr>
        <w:spacing w:after="0"/>
      </w:pPr>
    </w:p>
    <w:p>
      <w:r>
        <w:br w:type="page"/>
      </w:r>
    </w:p>
    <w:p>
      <w:pPr>
        <w:pStyle w:val="Heading1"/>
        <w:spacing w:before="0" w:after="80"/>
      </w:pPr>
      <w:r>
        <w:rPr>
          <w:rFonts w:ascii="Calibri" w:hAnsi="Calibri"/>
          <w:b/>
          <w:color w:val="16324F"/>
          <w:sz w:val="44"/>
        </w:rPr>
        <w:t>7. Multi-Agent Architecture and Class Flow</w:t>
      </w:r>
    </w:p>
    <w:p>
      <w:pPr>
        <w:spacing w:after="80"/>
        <w:jc w:val="center"/>
      </w:pPr>
      <w:r>
        <w:drawing>
          <wp:inline xmlns:a="http://schemas.openxmlformats.org/drawingml/2006/main" xmlns:pic="http://schemas.openxmlformats.org/drawingml/2006/picture">
            <wp:extent cx="5715000" cy="1476375"/>
            <wp:docPr id="4" name="Picture 4" title="Agent Flow" descr="Figure 4. Runtime sequence from a user question to the final explainable report."/>
            <wp:cNvGraphicFramePr>
              <a:graphicFrameLocks noChangeAspect="1"/>
            </wp:cNvGraphicFramePr>
            <a:graphic>
              <a:graphicData uri="http://schemas.openxmlformats.org/drawingml/2006/picture">
                <pic:pic>
                  <pic:nvPicPr>
                    <pic:cNvPr id="0" name="agent_flow.png"/>
                    <pic:cNvPicPr/>
                  </pic:nvPicPr>
                  <pic:blipFill>
                    <a:blip r:embed="rId15"/>
                    <a:stretch>
                      <a:fillRect/>
                    </a:stretch>
                  </pic:blipFill>
                  <pic:spPr>
                    <a:xfrm>
                      <a:off x="0" y="0"/>
                      <a:ext cx="5715000" cy="1476375"/>
                    </a:xfrm>
                    <a:prstGeom prst="rect"/>
                  </pic:spPr>
                </pic:pic>
              </a:graphicData>
            </a:graphic>
          </wp:inline>
        </w:drawing>
      </w:r>
    </w:p>
    <w:p>
      <w:pPr>
        <w:spacing w:before="0" w:after="160"/>
        <w:jc w:val="center"/>
      </w:pPr>
      <w:r>
        <w:rPr>
          <w:rFonts w:ascii="Calibri" w:hAnsi="Calibri"/>
          <w:i/>
          <w:color w:val="66727B"/>
          <w:sz w:val="18"/>
        </w:rPr>
        <w:t>Figure 4. Runtime sequence from a user question to the final explainable report.</w:t>
      </w:r>
    </w:p>
    <w:tbl>
      <w:tblPr>
        <w:tblStyle w:val="TableGrid"/>
        <w:tblW w:type="dxa" w:w="9360"/>
        <w:tblLayout w:type="fixed"/>
        <w:tblLook w:firstColumn="1" w:firstRow="1" w:lastColumn="0" w:lastRow="0" w:noHBand="0" w:noVBand="1" w:val="04A0"/>
        <w:jc w:val="left"/>
        <w:tblInd w:w="120" w:type="dxa"/>
      </w:tblPr>
      <w:tblGrid>
        <w:gridCol w:w="2232"/>
        <w:gridCol w:w="3024"/>
        <w:gridCol w:w="4104"/>
      </w:tblGrid>
      <w:tr>
        <w:trPr>
          <w:tblHeader w:val="true"/>
        </w:trPr>
        <w:tc>
          <w:tcPr>
            <w:tcW w:type="dxa" w:w="2232"/>
            <w:tcMar>
              <w:top w:w="80" w:type="dxa"/>
              <w:start w:w="120" w:type="dxa"/>
              <w:bottom w:w="80" w:type="dxa"/>
              <w:end w:w="120" w:type="dxa"/>
            </w:tcMar>
            <w:shd w:fill="EEF3F5"/>
            <w:vAlign w:val="center"/>
          </w:tcPr>
          <w:p>
            <w:pPr>
              <w:spacing w:after="0"/>
              <w:jc w:val="center"/>
            </w:pPr>
            <w:r>
              <w:rPr>
                <w:rFonts w:ascii="Calibri" w:hAnsi="Calibri"/>
                <w:b/>
                <w:color w:val="16324F"/>
                <w:sz w:val="19"/>
              </w:rPr>
              <w:t>Agent/class</w:t>
            </w:r>
          </w:p>
        </w:tc>
        <w:tc>
          <w:tcPr>
            <w:tcW w:type="dxa" w:w="3024"/>
            <w:tcMar>
              <w:top w:w="80" w:type="dxa"/>
              <w:start w:w="120" w:type="dxa"/>
              <w:bottom w:w="80" w:type="dxa"/>
              <w:end w:w="120" w:type="dxa"/>
            </w:tcMar>
            <w:shd w:fill="EEF3F5"/>
            <w:vAlign w:val="center"/>
          </w:tcPr>
          <w:p>
            <w:pPr>
              <w:spacing w:after="0"/>
              <w:jc w:val="center"/>
            </w:pPr>
            <w:r>
              <w:rPr>
                <w:rFonts w:ascii="Calibri" w:hAnsi="Calibri"/>
                <w:b/>
                <w:color w:val="16324F"/>
                <w:sz w:val="19"/>
              </w:rPr>
              <w:t>Input</w:t>
            </w:r>
          </w:p>
        </w:tc>
        <w:tc>
          <w:tcPr>
            <w:tcW w:type="dxa" w:w="4104"/>
            <w:tcMar>
              <w:top w:w="80" w:type="dxa"/>
              <w:start w:w="120" w:type="dxa"/>
              <w:bottom w:w="80" w:type="dxa"/>
              <w:end w:w="120" w:type="dxa"/>
            </w:tcMar>
            <w:shd w:fill="EEF3F5"/>
            <w:vAlign w:val="center"/>
          </w:tcPr>
          <w:p>
            <w:pPr>
              <w:spacing w:after="0"/>
              <w:jc w:val="center"/>
            </w:pPr>
            <w:r>
              <w:rPr>
                <w:rFonts w:ascii="Calibri" w:hAnsi="Calibri"/>
                <w:b/>
                <w:color w:val="16324F"/>
                <w:sz w:val="19"/>
              </w:rPr>
              <w:t>Output</w:t>
            </w:r>
          </w:p>
        </w:tc>
      </w:tr>
      <w:tr>
        <w:trPr>
          <w:cantSplit w:val="true"/>
        </w:trPr>
        <w:tc>
          <w:tcPr>
            <w:tcW w:type="dxa" w:w="2232"/>
            <w:vAlign w:val="center"/>
            <w:tcMar>
              <w:top w:w="80" w:type="dxa"/>
              <w:start w:w="120" w:type="dxa"/>
              <w:bottom w:w="80" w:type="dxa"/>
              <w:end w:w="120" w:type="dxa"/>
            </w:tcMar>
          </w:tcPr>
          <w:p>
            <w:pPr>
              <w:spacing w:after="0"/>
              <w:jc w:val="center"/>
            </w:pPr>
            <w:r>
              <w:rPr>
                <w:rFonts w:ascii="Calibri" w:hAnsi="Calibri"/>
                <w:color w:val="263238"/>
                <w:sz w:val="18"/>
              </w:rPr>
              <w:t>OrchestratorAgent</w:t>
            </w:r>
          </w:p>
        </w:tc>
        <w:tc>
          <w:tcPr>
            <w:tcW w:type="dxa" w:w="3024"/>
            <w:vAlign w:val="center"/>
            <w:tcMar>
              <w:top w:w="80" w:type="dxa"/>
              <w:start w:w="120" w:type="dxa"/>
              <w:bottom w:w="80" w:type="dxa"/>
              <w:end w:w="120" w:type="dxa"/>
            </w:tcMar>
          </w:tcPr>
          <w:p>
            <w:pPr>
              <w:spacing w:after="0"/>
              <w:jc w:val="left"/>
            </w:pPr>
            <w:r>
              <w:rPr>
                <w:rFonts w:ascii="Calibri" w:hAnsi="Calibri"/>
                <w:color w:val="263238"/>
                <w:sz w:val="18"/>
              </w:rPr>
              <w:t>Question, optional tickers/documents</w:t>
            </w:r>
          </w:p>
        </w:tc>
        <w:tc>
          <w:tcPr>
            <w:tcW w:type="dxa" w:w="4104"/>
            <w:vAlign w:val="center"/>
            <w:tcMar>
              <w:top w:w="80" w:type="dxa"/>
              <w:start w:w="120" w:type="dxa"/>
              <w:bottom w:w="80" w:type="dxa"/>
              <w:end w:w="120" w:type="dxa"/>
            </w:tcMar>
          </w:tcPr>
          <w:p>
            <w:pPr>
              <w:spacing w:after="0"/>
              <w:jc w:val="left"/>
            </w:pPr>
            <w:r>
              <w:rPr>
                <w:rFonts w:ascii="Calibri" w:hAnsi="Calibri"/>
                <w:color w:val="263238"/>
                <w:sz w:val="18"/>
              </w:rPr>
              <w:t>Coordinated AgentResult objects</w:t>
            </w:r>
          </w:p>
        </w:tc>
      </w:tr>
      <w:tr>
        <w:trPr>
          <w:cantSplit w:val="true"/>
        </w:trPr>
        <w:tc>
          <w:tcPr>
            <w:tcW w:type="dxa" w:w="2232"/>
            <w:vAlign w:val="center"/>
            <w:tcMar>
              <w:top w:w="80" w:type="dxa"/>
              <w:start w:w="120" w:type="dxa"/>
              <w:bottom w:w="80" w:type="dxa"/>
              <w:end w:w="120" w:type="dxa"/>
            </w:tcMar>
          </w:tcPr>
          <w:p>
            <w:pPr>
              <w:spacing w:after="0"/>
              <w:jc w:val="center"/>
            </w:pPr>
            <w:r>
              <w:rPr>
                <w:rFonts w:ascii="Calibri" w:hAnsi="Calibri"/>
                <w:color w:val="263238"/>
                <w:sz w:val="18"/>
              </w:rPr>
              <w:t>RetrieverAgent</w:t>
            </w:r>
          </w:p>
        </w:tc>
        <w:tc>
          <w:tcPr>
            <w:tcW w:type="dxa" w:w="3024"/>
            <w:vAlign w:val="center"/>
            <w:tcMar>
              <w:top w:w="80" w:type="dxa"/>
              <w:start w:w="120" w:type="dxa"/>
              <w:bottom w:w="80" w:type="dxa"/>
              <w:end w:w="120" w:type="dxa"/>
            </w:tcMar>
          </w:tcPr>
          <w:p>
            <w:pPr>
              <w:spacing w:after="0"/>
              <w:jc w:val="left"/>
            </w:pPr>
            <w:r>
              <w:rPr>
                <w:rFonts w:ascii="Calibri" w:hAnsi="Calibri"/>
                <w:color w:val="263238"/>
                <w:sz w:val="18"/>
              </w:rPr>
              <w:t>Question</w:t>
            </w:r>
          </w:p>
        </w:tc>
        <w:tc>
          <w:tcPr>
            <w:tcW w:type="dxa" w:w="4104"/>
            <w:vAlign w:val="center"/>
            <w:tcMar>
              <w:top w:w="80" w:type="dxa"/>
              <w:start w:w="120" w:type="dxa"/>
              <w:bottom w:w="80" w:type="dxa"/>
              <w:end w:w="120" w:type="dxa"/>
            </w:tcMar>
          </w:tcPr>
          <w:p>
            <w:pPr>
              <w:spacing w:after="0"/>
              <w:jc w:val="left"/>
            </w:pPr>
            <w:r>
              <w:rPr>
                <w:rFonts w:ascii="Calibri" w:hAnsi="Calibri"/>
                <w:color w:val="263238"/>
                <w:sz w:val="18"/>
              </w:rPr>
              <w:t>Top-k evidence with metadata and scores</w:t>
            </w:r>
          </w:p>
        </w:tc>
      </w:tr>
      <w:tr>
        <w:trPr>
          <w:cantSplit w:val="true"/>
        </w:trPr>
        <w:tc>
          <w:tcPr>
            <w:tcW w:type="dxa" w:w="2232"/>
            <w:vAlign w:val="center"/>
            <w:tcMar>
              <w:top w:w="80" w:type="dxa"/>
              <w:start w:w="120" w:type="dxa"/>
              <w:bottom w:w="80" w:type="dxa"/>
              <w:end w:w="120" w:type="dxa"/>
            </w:tcMar>
          </w:tcPr>
          <w:p>
            <w:pPr>
              <w:spacing w:after="0"/>
              <w:jc w:val="center"/>
            </w:pPr>
            <w:r>
              <w:rPr>
                <w:rFonts w:ascii="Calibri" w:hAnsi="Calibri"/>
                <w:color w:val="263238"/>
                <w:sz w:val="18"/>
              </w:rPr>
              <w:t>SentimentAgent</w:t>
            </w:r>
          </w:p>
        </w:tc>
        <w:tc>
          <w:tcPr>
            <w:tcW w:type="dxa" w:w="3024"/>
            <w:vAlign w:val="center"/>
            <w:tcMar>
              <w:top w:w="80" w:type="dxa"/>
              <w:start w:w="120" w:type="dxa"/>
              <w:bottom w:w="80" w:type="dxa"/>
              <w:end w:w="120" w:type="dxa"/>
            </w:tcMar>
          </w:tcPr>
          <w:p>
            <w:pPr>
              <w:spacing w:after="0"/>
              <w:jc w:val="left"/>
            </w:pPr>
            <w:r>
              <w:rPr>
                <w:rFonts w:ascii="Calibri" w:hAnsi="Calibri"/>
                <w:color w:val="263238"/>
                <w:sz w:val="18"/>
              </w:rPr>
              <w:t>Tickers and evidence</w:t>
            </w:r>
          </w:p>
        </w:tc>
        <w:tc>
          <w:tcPr>
            <w:tcW w:type="dxa" w:w="4104"/>
            <w:vAlign w:val="center"/>
            <w:tcMar>
              <w:top w:w="80" w:type="dxa"/>
              <w:start w:w="120" w:type="dxa"/>
              <w:bottom w:w="80" w:type="dxa"/>
              <w:end w:w="120" w:type="dxa"/>
            </w:tcMar>
          </w:tcPr>
          <w:p>
            <w:pPr>
              <w:spacing w:after="0"/>
              <w:jc w:val="left"/>
            </w:pPr>
            <w:r>
              <w:rPr>
                <w:rFonts w:ascii="Calibri" w:hAnsi="Calibri"/>
                <w:color w:val="263238"/>
                <w:sz w:val="18"/>
              </w:rPr>
              <w:t>Sentiment label, score, trend, warnings</w:t>
            </w:r>
          </w:p>
        </w:tc>
      </w:tr>
      <w:tr>
        <w:trPr>
          <w:cantSplit w:val="true"/>
        </w:trPr>
        <w:tc>
          <w:tcPr>
            <w:tcW w:type="dxa" w:w="2232"/>
            <w:vAlign w:val="center"/>
            <w:tcMar>
              <w:top w:w="80" w:type="dxa"/>
              <w:start w:w="120" w:type="dxa"/>
              <w:bottom w:w="80" w:type="dxa"/>
              <w:end w:w="120" w:type="dxa"/>
            </w:tcMar>
          </w:tcPr>
          <w:p>
            <w:pPr>
              <w:spacing w:after="0"/>
              <w:jc w:val="center"/>
            </w:pPr>
            <w:r>
              <w:rPr>
                <w:rFonts w:ascii="Calibri" w:hAnsi="Calibri"/>
                <w:color w:val="263238"/>
                <w:sz w:val="18"/>
              </w:rPr>
              <w:t>RiskAgent</w:t>
            </w:r>
          </w:p>
        </w:tc>
        <w:tc>
          <w:tcPr>
            <w:tcW w:type="dxa" w:w="3024"/>
            <w:vAlign w:val="center"/>
            <w:tcMar>
              <w:top w:w="80" w:type="dxa"/>
              <w:start w:w="120" w:type="dxa"/>
              <w:bottom w:w="80" w:type="dxa"/>
              <w:end w:w="120" w:type="dxa"/>
            </w:tcMar>
          </w:tcPr>
          <w:p>
            <w:pPr>
              <w:spacing w:after="0"/>
              <w:jc w:val="left"/>
            </w:pPr>
            <w:r>
              <w:rPr>
                <w:rFonts w:ascii="Calibri" w:hAnsi="Calibri"/>
                <w:color w:val="263238"/>
                <w:sz w:val="18"/>
              </w:rPr>
              <w:t>Latest features and sentiment</w:t>
            </w:r>
          </w:p>
        </w:tc>
        <w:tc>
          <w:tcPr>
            <w:tcW w:type="dxa" w:w="4104"/>
            <w:vAlign w:val="center"/>
            <w:tcMar>
              <w:top w:w="80" w:type="dxa"/>
              <w:start w:w="120" w:type="dxa"/>
              <w:bottom w:w="80" w:type="dxa"/>
              <w:end w:w="120" w:type="dxa"/>
            </w:tcMar>
          </w:tcPr>
          <w:p>
            <w:pPr>
              <w:spacing w:after="0"/>
              <w:jc w:val="left"/>
            </w:pPr>
            <w:r>
              <w:rPr>
                <w:rFonts w:ascii="Calibri" w:hAnsi="Calibri"/>
                <w:color w:val="263238"/>
                <w:sz w:val="18"/>
              </w:rPr>
              <w:t>Risk class, score, probabilities</w:t>
            </w:r>
          </w:p>
        </w:tc>
      </w:tr>
      <w:tr>
        <w:trPr>
          <w:cantSplit w:val="true"/>
        </w:trPr>
        <w:tc>
          <w:tcPr>
            <w:tcW w:type="dxa" w:w="2232"/>
            <w:vAlign w:val="center"/>
            <w:tcMar>
              <w:top w:w="80" w:type="dxa"/>
              <w:start w:w="120" w:type="dxa"/>
              <w:bottom w:w="80" w:type="dxa"/>
              <w:end w:w="120" w:type="dxa"/>
            </w:tcMar>
          </w:tcPr>
          <w:p>
            <w:pPr>
              <w:spacing w:after="0"/>
              <w:jc w:val="center"/>
            </w:pPr>
            <w:r>
              <w:rPr>
                <w:rFonts w:ascii="Calibri" w:hAnsi="Calibri"/>
                <w:color w:val="263238"/>
                <w:sz w:val="18"/>
              </w:rPr>
              <w:t>ForecastAgent</w:t>
            </w:r>
          </w:p>
        </w:tc>
        <w:tc>
          <w:tcPr>
            <w:tcW w:type="dxa" w:w="3024"/>
            <w:vAlign w:val="center"/>
            <w:tcMar>
              <w:top w:w="80" w:type="dxa"/>
              <w:start w:w="120" w:type="dxa"/>
              <w:bottom w:w="80" w:type="dxa"/>
              <w:end w:w="120" w:type="dxa"/>
            </w:tcMar>
          </w:tcPr>
          <w:p>
            <w:pPr>
              <w:spacing w:after="0"/>
              <w:jc w:val="left"/>
            </w:pPr>
            <w:r>
              <w:rPr>
                <w:rFonts w:ascii="Calibri" w:hAnsi="Calibri"/>
                <w:color w:val="263238"/>
                <w:sz w:val="18"/>
              </w:rPr>
              <w:t>Latest features and horizon</w:t>
            </w:r>
          </w:p>
        </w:tc>
        <w:tc>
          <w:tcPr>
            <w:tcW w:type="dxa" w:w="4104"/>
            <w:vAlign w:val="center"/>
            <w:tcMar>
              <w:top w:w="80" w:type="dxa"/>
              <w:start w:w="120" w:type="dxa"/>
              <w:bottom w:w="80" w:type="dxa"/>
              <w:end w:w="120" w:type="dxa"/>
            </w:tcMar>
          </w:tcPr>
          <w:p>
            <w:pPr>
              <w:spacing w:after="0"/>
              <w:jc w:val="left"/>
            </w:pPr>
            <w:r>
              <w:rPr>
                <w:rFonts w:ascii="Calibri" w:hAnsi="Calibri"/>
                <w:color w:val="263238"/>
                <w:sz w:val="18"/>
              </w:rPr>
              <w:t>Direction, expected return, volatility</w:t>
            </w:r>
          </w:p>
        </w:tc>
      </w:tr>
      <w:tr>
        <w:trPr>
          <w:cantSplit w:val="true"/>
        </w:trPr>
        <w:tc>
          <w:tcPr>
            <w:tcW w:type="dxa" w:w="2232"/>
            <w:vAlign w:val="center"/>
            <w:tcMar>
              <w:top w:w="80" w:type="dxa"/>
              <w:start w:w="120" w:type="dxa"/>
              <w:bottom w:w="80" w:type="dxa"/>
              <w:end w:w="120" w:type="dxa"/>
            </w:tcMar>
          </w:tcPr>
          <w:p>
            <w:pPr>
              <w:spacing w:after="0"/>
              <w:jc w:val="center"/>
            </w:pPr>
            <w:r>
              <w:rPr>
                <w:rFonts w:ascii="Calibri" w:hAnsi="Calibri"/>
                <w:color w:val="263238"/>
                <w:sz w:val="18"/>
              </w:rPr>
              <w:t>DecisionAgent</w:t>
            </w:r>
          </w:p>
        </w:tc>
        <w:tc>
          <w:tcPr>
            <w:tcW w:type="dxa" w:w="3024"/>
            <w:vAlign w:val="center"/>
            <w:tcMar>
              <w:top w:w="80" w:type="dxa"/>
              <w:start w:w="120" w:type="dxa"/>
              <w:bottom w:w="80" w:type="dxa"/>
              <w:end w:w="120" w:type="dxa"/>
            </w:tcMar>
          </w:tcPr>
          <w:p>
            <w:pPr>
              <w:spacing w:after="0"/>
              <w:jc w:val="left"/>
            </w:pPr>
            <w:r>
              <w:rPr>
                <w:rFonts w:ascii="Calibri" w:hAnsi="Calibri"/>
                <w:color w:val="263238"/>
                <w:sz w:val="18"/>
              </w:rPr>
              <w:t>Sentiment, risk, forecast</w:t>
            </w:r>
          </w:p>
        </w:tc>
        <w:tc>
          <w:tcPr>
            <w:tcW w:type="dxa" w:w="4104"/>
            <w:vAlign w:val="center"/>
            <w:tcMar>
              <w:top w:w="80" w:type="dxa"/>
              <w:start w:w="120" w:type="dxa"/>
              <w:bottom w:w="80" w:type="dxa"/>
              <w:end w:w="120" w:type="dxa"/>
            </w:tcMar>
          </w:tcPr>
          <w:p>
            <w:pPr>
              <w:spacing w:after="0"/>
              <w:jc w:val="left"/>
            </w:pPr>
            <w:r>
              <w:rPr>
                <w:rFonts w:ascii="Calibri" w:hAnsi="Calibri"/>
                <w:color w:val="263238"/>
                <w:sz w:val="18"/>
              </w:rPr>
              <w:t>Investment score and recommendation</w:t>
            </w:r>
          </w:p>
        </w:tc>
      </w:tr>
      <w:tr>
        <w:trPr>
          <w:cantSplit w:val="true"/>
        </w:trPr>
        <w:tc>
          <w:tcPr>
            <w:tcW w:type="dxa" w:w="2232"/>
            <w:vAlign w:val="center"/>
            <w:tcMar>
              <w:top w:w="80" w:type="dxa"/>
              <w:start w:w="120" w:type="dxa"/>
              <w:bottom w:w="80" w:type="dxa"/>
              <w:end w:w="120" w:type="dxa"/>
            </w:tcMar>
          </w:tcPr>
          <w:p>
            <w:pPr>
              <w:spacing w:after="0"/>
              <w:jc w:val="center"/>
            </w:pPr>
            <w:r>
              <w:rPr>
                <w:rFonts w:ascii="Calibri" w:hAnsi="Calibri"/>
                <w:color w:val="263238"/>
                <w:sz w:val="18"/>
              </w:rPr>
              <w:t>ExplainabilityAgent</w:t>
            </w:r>
          </w:p>
        </w:tc>
        <w:tc>
          <w:tcPr>
            <w:tcW w:type="dxa" w:w="3024"/>
            <w:vAlign w:val="center"/>
            <w:tcMar>
              <w:top w:w="80" w:type="dxa"/>
              <w:start w:w="120" w:type="dxa"/>
              <w:bottom w:w="80" w:type="dxa"/>
              <w:end w:w="120" w:type="dxa"/>
            </w:tcMar>
          </w:tcPr>
          <w:p>
            <w:pPr>
              <w:spacing w:after="0"/>
              <w:jc w:val="left"/>
            </w:pPr>
            <w:r>
              <w:rPr>
                <w:rFonts w:ascii="Calibri" w:hAnsi="Calibri"/>
                <w:color w:val="263238"/>
                <w:sz w:val="18"/>
              </w:rPr>
              <w:t>All signals and evidence</w:t>
            </w:r>
          </w:p>
        </w:tc>
        <w:tc>
          <w:tcPr>
            <w:tcW w:type="dxa" w:w="4104"/>
            <w:vAlign w:val="center"/>
            <w:tcMar>
              <w:top w:w="80" w:type="dxa"/>
              <w:start w:w="120" w:type="dxa"/>
              <w:bottom w:w="80" w:type="dxa"/>
              <w:end w:w="120" w:type="dxa"/>
            </w:tcMar>
          </w:tcPr>
          <w:p>
            <w:pPr>
              <w:spacing w:after="0"/>
              <w:jc w:val="left"/>
            </w:pPr>
            <w:r>
              <w:rPr>
                <w:rFonts w:ascii="Calibri" w:hAnsi="Calibri"/>
                <w:color w:val="263238"/>
                <w:sz w:val="18"/>
              </w:rPr>
              <w:t>Grounded Markdown report</w:t>
            </w:r>
          </w:p>
        </w:tc>
      </w:tr>
    </w:tbl>
    <w:p>
      <w:pPr>
        <w:spacing w:before="80" w:after="80"/>
      </w:pPr>
    </w:p>
    <w:p>
      <w:pPr>
        <w:jc w:val="both"/>
      </w:pPr>
      <w:r>
        <w:rPr>
          <w:rFonts w:ascii="Calibri" w:hAnsi="Calibri"/>
          <w:color w:val="263238"/>
          <w:sz w:val="22"/>
        </w:rPr>
        <w:t>All agents return a shared AgentResult schema containing agent name, status, summary, data, evidence, confidence, and warnings. This contract makes the workflow inspectable and enables the frontend to display agent traces without parsing free-form text.</w:t>
      </w:r>
    </w:p>
    <w:tbl>
      <w:tblPr>
        <w:tblW w:type="dxa" w:w="9360"/>
        <w:tblLayout w:type="fixed"/>
        <w:tblLook w:firstColumn="1" w:firstRow="1" w:lastColumn="0" w:lastRow="0" w:noHBand="0" w:noVBand="1" w:val="04A0"/>
        <w:jc w:val="left"/>
        <w:tblInd w:w="120" w:type="dxa"/>
      </w:tblPr>
      <w:tblGrid>
        <w:gridCol w:w="9360"/>
      </w:tblGrid>
      <w:tr>
        <w:tc>
          <w:tcPr>
            <w:tcW w:type="dxa" w:w="9360"/>
            <w:tcMar>
              <w:top w:w="80" w:type="dxa"/>
              <w:start w:w="120" w:type="dxa"/>
              <w:bottom w:w="80" w:type="dxa"/>
              <w:end w:w="120" w:type="dxa"/>
            </w:tcMar>
            <w:shd w:fill="F7F1E5"/>
            <w:vAlign w:val="center"/>
          </w:tcPr>
          <w:p>
            <w:pPr>
              <w:spacing w:before="60" w:after="60"/>
            </w:pPr>
            <w:r>
              <w:rPr>
                <w:rFonts w:ascii="Calibri" w:hAnsi="Calibri"/>
                <w:b/>
                <w:color w:val="C69432"/>
                <w:sz w:val="21"/>
              </w:rPr>
              <w:t xml:space="preserve">Presentation simplification: </w:t>
            </w:r>
            <w:r>
              <w:rPr>
                <w:rFonts w:ascii="Calibri" w:hAnsi="Calibri"/>
                <w:color w:val="263238"/>
                <w:sz w:val="21"/>
              </w:rPr>
              <w:t>The demo can describe three logical roles - Retrieval/Data, Financial Analysis, and Decision/Explainability - while the code retains specialized modules for maintainability.</w:t>
            </w:r>
          </w:p>
        </w:tc>
      </w:tr>
    </w:tbl>
    <w:p>
      <w:pPr>
        <w:spacing w:after="0"/>
      </w:pPr>
    </w:p>
    <w:p>
      <w:r>
        <w:br w:type="page"/>
      </w:r>
    </w:p>
    <w:p>
      <w:pPr>
        <w:pStyle w:val="Heading1"/>
        <w:spacing w:before="0" w:after="80"/>
      </w:pPr>
      <w:r>
        <w:rPr>
          <w:rFonts w:ascii="Calibri" w:hAnsi="Calibri"/>
          <w:b/>
          <w:color w:val="16324F"/>
          <w:sz w:val="44"/>
        </w:rPr>
        <w:t>8. Machine Learning Training and Evaluation</w:t>
      </w:r>
    </w:p>
    <w:p>
      <w:pPr>
        <w:spacing w:after="80"/>
        <w:jc w:val="center"/>
      </w:pPr>
      <w:r>
        <w:drawing>
          <wp:inline xmlns:a="http://schemas.openxmlformats.org/drawingml/2006/main" xmlns:pic="http://schemas.openxmlformats.org/drawingml/2006/picture">
            <wp:extent cx="5303520" cy="2504440"/>
            <wp:docPr id="5" name="Picture 5" title="Metrics" descr="Figure 5. Out-of-time evaluation on the latest 20% of feature dates."/>
            <wp:cNvGraphicFramePr>
              <a:graphicFrameLocks noChangeAspect="1"/>
            </wp:cNvGraphicFramePr>
            <a:graphic>
              <a:graphicData uri="http://schemas.openxmlformats.org/drawingml/2006/picture">
                <pic:pic>
                  <pic:nvPicPr>
                    <pic:cNvPr id="0" name="metrics.png"/>
                    <pic:cNvPicPr/>
                  </pic:nvPicPr>
                  <pic:blipFill>
                    <a:blip r:embed="rId16"/>
                    <a:stretch>
                      <a:fillRect/>
                    </a:stretch>
                  </pic:blipFill>
                  <pic:spPr>
                    <a:xfrm>
                      <a:off x="0" y="0"/>
                      <a:ext cx="5303520" cy="2504440"/>
                    </a:xfrm>
                    <a:prstGeom prst="rect"/>
                  </pic:spPr>
                </pic:pic>
              </a:graphicData>
            </a:graphic>
          </wp:inline>
        </w:drawing>
      </w:r>
    </w:p>
    <w:p>
      <w:pPr>
        <w:spacing w:before="0" w:after="160"/>
        <w:jc w:val="center"/>
      </w:pPr>
      <w:r>
        <w:rPr>
          <w:rFonts w:ascii="Calibri" w:hAnsi="Calibri"/>
          <w:i/>
          <w:color w:val="66727B"/>
          <w:sz w:val="18"/>
        </w:rPr>
        <w:t>Figure 5. Out-of-time evaluation on the latest 20% of feature dates.</w:t>
      </w:r>
    </w:p>
    <w:p>
      <w:pPr>
        <w:jc w:val="both"/>
      </w:pPr>
      <w:r>
        <w:rPr>
          <w:rFonts w:ascii="Calibri" w:hAnsi="Calibri"/>
          <w:color w:val="263238"/>
          <w:sz w:val="22"/>
        </w:rPr>
        <w:t>The real-market pipeline creates trailing features at each historical date and labels each row only from future observed outcomes. Forecast labels use the next 20 trading-day adjusted return: Down at or below -2.5%, Up at or above +2.5%, otherwise Flat. Risk labels use forward 20-day annualized realized volatility: Low below 20%, High at or above 40%, otherwise Medium.</w:t>
      </w:r>
    </w:p>
    <w:tbl>
      <w:tblPr>
        <w:tblStyle w:val="TableGrid"/>
        <w:tblW w:type="dxa" w:w="9360"/>
        <w:tblLayout w:type="fixed"/>
        <w:tblLook w:firstColumn="1" w:firstRow="1" w:lastColumn="0" w:lastRow="0" w:noHBand="0" w:noVBand="1" w:val="04A0"/>
        <w:jc w:val="left"/>
        <w:tblInd w:w="120" w:type="dxa"/>
      </w:tblPr>
      <w:tblGrid>
        <w:gridCol w:w="3024"/>
        <w:gridCol w:w="3168"/>
        <w:gridCol w:w="3168"/>
      </w:tblGrid>
      <w:tr>
        <w:trPr>
          <w:tblHeader w:val="true"/>
        </w:trPr>
        <w:tc>
          <w:tcPr>
            <w:tcW w:type="dxa" w:w="3024"/>
            <w:tcMar>
              <w:top w:w="80" w:type="dxa"/>
              <w:start w:w="120" w:type="dxa"/>
              <w:bottom w:w="80" w:type="dxa"/>
              <w:end w:w="120" w:type="dxa"/>
            </w:tcMar>
            <w:shd w:fill="EEF3F5"/>
            <w:vAlign w:val="center"/>
          </w:tcPr>
          <w:p>
            <w:pPr>
              <w:spacing w:after="0"/>
              <w:jc w:val="center"/>
            </w:pPr>
            <w:r>
              <w:rPr>
                <w:rFonts w:ascii="Calibri" w:hAnsi="Calibri"/>
                <w:b/>
                <w:color w:val="16324F"/>
                <w:sz w:val="19"/>
              </w:rPr>
              <w:t>Metric</w:t>
            </w:r>
          </w:p>
        </w:tc>
        <w:tc>
          <w:tcPr>
            <w:tcW w:type="dxa" w:w="3168"/>
            <w:tcMar>
              <w:top w:w="80" w:type="dxa"/>
              <w:start w:w="120" w:type="dxa"/>
              <w:bottom w:w="80" w:type="dxa"/>
              <w:end w:w="120" w:type="dxa"/>
            </w:tcMar>
            <w:shd w:fill="EEF3F5"/>
            <w:vAlign w:val="center"/>
          </w:tcPr>
          <w:p>
            <w:pPr>
              <w:spacing w:after="0"/>
              <w:jc w:val="center"/>
            </w:pPr>
            <w:r>
              <w:rPr>
                <w:rFonts w:ascii="Calibri" w:hAnsi="Calibri"/>
                <w:b/>
                <w:color w:val="16324F"/>
                <w:sz w:val="19"/>
              </w:rPr>
              <w:t>Risk</w:t>
            </w:r>
          </w:p>
        </w:tc>
        <w:tc>
          <w:tcPr>
            <w:tcW w:type="dxa" w:w="3168"/>
            <w:tcMar>
              <w:top w:w="80" w:type="dxa"/>
              <w:start w:w="120" w:type="dxa"/>
              <w:bottom w:w="80" w:type="dxa"/>
              <w:end w:w="120" w:type="dxa"/>
            </w:tcMar>
            <w:shd w:fill="EEF3F5"/>
            <w:vAlign w:val="center"/>
          </w:tcPr>
          <w:p>
            <w:pPr>
              <w:spacing w:after="0"/>
              <w:jc w:val="center"/>
            </w:pPr>
            <w:r>
              <w:rPr>
                <w:rFonts w:ascii="Calibri" w:hAnsi="Calibri"/>
                <w:b/>
                <w:color w:val="16324F"/>
                <w:sz w:val="19"/>
              </w:rPr>
              <w:t>Forecast</w:t>
            </w:r>
          </w:p>
        </w:tc>
      </w:tr>
      <w:tr>
        <w:trPr>
          <w:cantSplit w:val="true"/>
        </w:trPr>
        <w:tc>
          <w:tcPr>
            <w:tcW w:type="dxa" w:w="3024"/>
            <w:vAlign w:val="center"/>
            <w:tcMar>
              <w:top w:w="80" w:type="dxa"/>
              <w:start w:w="120" w:type="dxa"/>
              <w:bottom w:w="80" w:type="dxa"/>
              <w:end w:w="120" w:type="dxa"/>
            </w:tcMar>
          </w:tcPr>
          <w:p>
            <w:pPr>
              <w:spacing w:after="0"/>
              <w:jc w:val="center"/>
            </w:pPr>
            <w:r>
              <w:rPr>
                <w:rFonts w:ascii="Calibri" w:hAnsi="Calibri"/>
                <w:color w:val="263238"/>
                <w:sz w:val="18"/>
              </w:rPr>
              <w:t>Algorithm</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Class-balanced random forest</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Class-balanced random forest</w:t>
            </w:r>
          </w:p>
        </w:tc>
      </w:tr>
      <w:tr>
        <w:trPr>
          <w:cantSplit w:val="true"/>
        </w:trPr>
        <w:tc>
          <w:tcPr>
            <w:tcW w:type="dxa" w:w="3024"/>
            <w:vAlign w:val="center"/>
            <w:tcMar>
              <w:top w:w="80" w:type="dxa"/>
              <w:start w:w="120" w:type="dxa"/>
              <w:bottom w:w="80" w:type="dxa"/>
              <w:end w:w="120" w:type="dxa"/>
            </w:tcMar>
          </w:tcPr>
          <w:p>
            <w:pPr>
              <w:spacing w:after="0"/>
              <w:jc w:val="center"/>
            </w:pPr>
            <w:r>
              <w:rPr>
                <w:rFonts w:ascii="Calibri" w:hAnsi="Calibri"/>
                <w:color w:val="263238"/>
                <w:sz w:val="18"/>
              </w:rPr>
              <w:t>Training rows</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19,100</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19,100</w:t>
            </w:r>
          </w:p>
        </w:tc>
      </w:tr>
      <w:tr>
        <w:trPr>
          <w:cantSplit w:val="true"/>
        </w:trPr>
        <w:tc>
          <w:tcPr>
            <w:tcW w:type="dxa" w:w="3024"/>
            <w:vAlign w:val="center"/>
            <w:tcMar>
              <w:top w:w="80" w:type="dxa"/>
              <w:start w:w="120" w:type="dxa"/>
              <w:bottom w:w="80" w:type="dxa"/>
              <w:end w:w="120" w:type="dxa"/>
            </w:tcMar>
          </w:tcPr>
          <w:p>
            <w:pPr>
              <w:spacing w:after="0"/>
              <w:jc w:val="center"/>
            </w:pPr>
            <w:r>
              <w:rPr>
                <w:rFonts w:ascii="Calibri" w:hAnsi="Calibri"/>
                <w:color w:val="263238"/>
                <w:sz w:val="18"/>
              </w:rPr>
              <w:t>Test rows</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4,780</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4,780</w:t>
            </w:r>
          </w:p>
        </w:tc>
      </w:tr>
      <w:tr>
        <w:trPr>
          <w:cantSplit w:val="true"/>
        </w:trPr>
        <w:tc>
          <w:tcPr>
            <w:tcW w:type="dxa" w:w="3024"/>
            <w:vAlign w:val="center"/>
            <w:tcMar>
              <w:top w:w="80" w:type="dxa"/>
              <w:start w:w="120" w:type="dxa"/>
              <w:bottom w:w="80" w:type="dxa"/>
              <w:end w:w="120" w:type="dxa"/>
            </w:tcMar>
          </w:tcPr>
          <w:p>
            <w:pPr>
              <w:spacing w:after="0"/>
              <w:jc w:val="center"/>
            </w:pPr>
            <w:r>
              <w:rPr>
                <w:rFonts w:ascii="Calibri" w:hAnsi="Calibri"/>
                <w:color w:val="263238"/>
                <w:sz w:val="18"/>
              </w:rPr>
              <w:t>Accuracy</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61.51%</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37.74%</w:t>
            </w:r>
          </w:p>
        </w:tc>
      </w:tr>
      <w:tr>
        <w:trPr>
          <w:cantSplit w:val="true"/>
        </w:trPr>
        <w:tc>
          <w:tcPr>
            <w:tcW w:type="dxa" w:w="3024"/>
            <w:vAlign w:val="center"/>
            <w:tcMar>
              <w:top w:w="80" w:type="dxa"/>
              <w:start w:w="120" w:type="dxa"/>
              <w:bottom w:w="80" w:type="dxa"/>
              <w:end w:w="120" w:type="dxa"/>
            </w:tcMar>
          </w:tcPr>
          <w:p>
            <w:pPr>
              <w:spacing w:after="0"/>
              <w:jc w:val="center"/>
            </w:pPr>
            <w:r>
              <w:rPr>
                <w:rFonts w:ascii="Calibri" w:hAnsi="Calibri"/>
                <w:color w:val="263238"/>
                <w:sz w:val="18"/>
              </w:rPr>
              <w:t>Balanced accuracy</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58.69%</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38.18%</w:t>
            </w:r>
          </w:p>
        </w:tc>
      </w:tr>
      <w:tr>
        <w:trPr>
          <w:cantSplit w:val="true"/>
        </w:trPr>
        <w:tc>
          <w:tcPr>
            <w:tcW w:type="dxa" w:w="3024"/>
            <w:vAlign w:val="center"/>
            <w:tcMar>
              <w:top w:w="80" w:type="dxa"/>
              <w:start w:w="120" w:type="dxa"/>
              <w:bottom w:w="80" w:type="dxa"/>
              <w:end w:w="120" w:type="dxa"/>
            </w:tcMar>
          </w:tcPr>
          <w:p>
            <w:pPr>
              <w:spacing w:after="0"/>
              <w:jc w:val="center"/>
            </w:pPr>
            <w:r>
              <w:rPr>
                <w:rFonts w:ascii="Calibri" w:hAnsi="Calibri"/>
                <w:color w:val="263238"/>
                <w:sz w:val="18"/>
              </w:rPr>
              <w:t>Macro F1</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56.63%</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37.26%</w:t>
            </w:r>
          </w:p>
        </w:tc>
      </w:tr>
      <w:tr>
        <w:trPr>
          <w:cantSplit w:val="true"/>
        </w:trPr>
        <w:tc>
          <w:tcPr>
            <w:tcW w:type="dxa" w:w="3024"/>
            <w:vAlign w:val="center"/>
            <w:tcMar>
              <w:top w:w="80" w:type="dxa"/>
              <w:start w:w="120" w:type="dxa"/>
              <w:bottom w:w="80" w:type="dxa"/>
              <w:end w:w="120" w:type="dxa"/>
            </w:tcMar>
          </w:tcPr>
          <w:p>
            <w:pPr>
              <w:spacing w:after="0"/>
              <w:jc w:val="center"/>
            </w:pPr>
            <w:r>
              <w:rPr>
                <w:rFonts w:ascii="Calibri" w:hAnsi="Calibri"/>
                <w:color w:val="263238"/>
                <w:sz w:val="18"/>
              </w:rPr>
              <w:t>Lift</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+4.94 points vs majority</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+4.85 points balanced vs random</w:t>
            </w:r>
          </w:p>
        </w:tc>
      </w:tr>
    </w:tbl>
    <w:p>
      <w:pPr>
        <w:spacing w:before="80" w:after="80"/>
      </w:pPr>
    </w:p>
    <w:p>
      <w:pPr>
        <w:jc w:val="both"/>
      </w:pPr>
      <w:r>
        <w:rPr>
          <w:rFonts w:ascii="Calibri" w:hAnsi="Calibri"/>
          <w:color w:val="263238"/>
          <w:sz w:val="22"/>
        </w:rPr>
        <w:t>The forecast model does not beat the majority-class accuracy baseline. This is reported explicitly because financial direction prediction is difficult and a Phase 1 prototype should not convert weak predictive evidence into a strong investment claim. TensorFlow and PyTorch are deferred until walk-forward evaluation, calibration, and stronger data lineage are available.</w:t>
      </w:r>
    </w:p>
    <w:p>
      <w:r>
        <w:br w:type="page"/>
      </w:r>
    </w:p>
    <w:p>
      <w:pPr>
        <w:pStyle w:val="Heading1"/>
        <w:spacing w:before="0" w:after="80"/>
      </w:pPr>
      <w:r>
        <w:rPr>
          <w:rFonts w:ascii="Calibri" w:hAnsi="Calibri"/>
          <w:b/>
          <w:color w:val="16324F"/>
          <w:sz w:val="44"/>
        </w:rPr>
        <w:t>9. GenAI and Explainability</w:t>
      </w:r>
    </w:p>
    <w:p>
      <w:pPr>
        <w:jc w:val="both"/>
      </w:pPr>
      <w:r>
        <w:rPr>
          <w:rFonts w:ascii="Calibri" w:hAnsi="Calibri"/>
          <w:color w:val="263238"/>
          <w:sz w:val="22"/>
        </w:rPr>
        <w:t>The GenAI layer is provider-agnostic. Local mode returns a deterministic grounded report, allowing the entire system to run without an API key. OpenAI mode uses the Responses API to rewrite the grounded prompt into a concise report while instructing the model to use only the supplied agent outputs and evidence.</w:t>
      </w:r>
    </w:p>
    <w:tbl>
      <w:tblPr>
        <w:tblStyle w:val="TableGrid"/>
        <w:tblW w:type="dxa" w:w="9360"/>
        <w:tblLayout w:type="fixed"/>
        <w:tblLook w:firstColumn="1" w:firstRow="1" w:lastColumn="0" w:lastRow="0" w:noHBand="0" w:noVBand="1" w:val="04A0"/>
        <w:jc w:val="left"/>
        <w:tblInd w:w="120" w:type="dxa"/>
      </w:tblPr>
      <w:tblGrid>
        <w:gridCol w:w="2520"/>
        <w:gridCol w:w="6840"/>
      </w:tblGrid>
      <w:tr>
        <w:trPr>
          <w:tblHeader w:val="true"/>
        </w:trPr>
        <w:tc>
          <w:tcPr>
            <w:tcW w:type="dxa" w:w="2520"/>
            <w:tcMar>
              <w:top w:w="80" w:type="dxa"/>
              <w:start w:w="120" w:type="dxa"/>
              <w:bottom w:w="80" w:type="dxa"/>
              <w:end w:w="120" w:type="dxa"/>
            </w:tcMar>
            <w:shd w:fill="EEF3F5"/>
            <w:vAlign w:val="center"/>
          </w:tcPr>
          <w:p>
            <w:pPr>
              <w:spacing w:after="0"/>
              <w:jc w:val="center"/>
            </w:pPr>
            <w:r>
              <w:rPr>
                <w:rFonts w:ascii="Calibri" w:hAnsi="Calibri"/>
                <w:b/>
                <w:color w:val="16324F"/>
                <w:sz w:val="19"/>
              </w:rPr>
              <w:t>Concern</w:t>
            </w:r>
          </w:p>
        </w:tc>
        <w:tc>
          <w:tcPr>
            <w:tcW w:type="dxa" w:w="6840"/>
            <w:tcMar>
              <w:top w:w="80" w:type="dxa"/>
              <w:start w:w="120" w:type="dxa"/>
              <w:bottom w:w="80" w:type="dxa"/>
              <w:end w:w="120" w:type="dxa"/>
            </w:tcMar>
            <w:shd w:fill="EEF3F5"/>
            <w:vAlign w:val="center"/>
          </w:tcPr>
          <w:p>
            <w:pPr>
              <w:spacing w:after="0"/>
              <w:jc w:val="center"/>
            </w:pPr>
            <w:r>
              <w:rPr>
                <w:rFonts w:ascii="Calibri" w:hAnsi="Calibri"/>
                <w:b/>
                <w:color w:val="16324F"/>
                <w:sz w:val="19"/>
              </w:rPr>
              <w:t>Implementation control</w:t>
            </w:r>
          </w:p>
        </w:tc>
      </w:tr>
      <w:tr>
        <w:trPr>
          <w:cantSplit w:val="true"/>
        </w:trPr>
        <w:tc>
          <w:tcPr>
            <w:tcW w:type="dxa" w:w="2520"/>
            <w:vAlign w:val="center"/>
            <w:tcMar>
              <w:top w:w="80" w:type="dxa"/>
              <w:start w:w="120" w:type="dxa"/>
              <w:bottom w:w="80" w:type="dxa"/>
              <w:end w:w="120" w:type="dxa"/>
            </w:tcMar>
          </w:tcPr>
          <w:p>
            <w:pPr>
              <w:spacing w:after="0"/>
              <w:jc w:val="left"/>
            </w:pPr>
            <w:r>
              <w:rPr>
                <w:rFonts w:ascii="Calibri" w:hAnsi="Calibri"/>
                <w:color w:val="263238"/>
                <w:sz w:val="18"/>
              </w:rPr>
              <w:t>Hallucination</w:t>
            </w:r>
          </w:p>
        </w:tc>
        <w:tc>
          <w:tcPr>
            <w:tcW w:type="dxa" w:w="6840"/>
            <w:vAlign w:val="center"/>
            <w:tcMar>
              <w:top w:w="80" w:type="dxa"/>
              <w:start w:w="120" w:type="dxa"/>
              <w:bottom w:w="80" w:type="dxa"/>
              <w:end w:w="120" w:type="dxa"/>
            </w:tcMar>
          </w:tcPr>
          <w:p>
            <w:pPr>
              <w:spacing w:after="0"/>
              <w:jc w:val="left"/>
            </w:pPr>
            <w:r>
              <w:rPr>
                <w:rFonts w:ascii="Calibri" w:hAnsi="Calibri"/>
                <w:color w:val="263238"/>
                <w:sz w:val="18"/>
              </w:rPr>
              <w:t>Generation receives retrieved evidence and structured agent results</w:t>
            </w:r>
          </w:p>
        </w:tc>
      </w:tr>
      <w:tr>
        <w:trPr>
          <w:cantSplit w:val="true"/>
        </w:trPr>
        <w:tc>
          <w:tcPr>
            <w:tcW w:type="dxa" w:w="2520"/>
            <w:vAlign w:val="center"/>
            <w:tcMar>
              <w:top w:w="80" w:type="dxa"/>
              <w:start w:w="120" w:type="dxa"/>
              <w:bottom w:w="80" w:type="dxa"/>
              <w:end w:w="120" w:type="dxa"/>
            </w:tcMar>
          </w:tcPr>
          <w:p>
            <w:pPr>
              <w:spacing w:after="0"/>
              <w:jc w:val="left"/>
            </w:pPr>
            <w:r>
              <w:rPr>
                <w:rFonts w:ascii="Calibri" w:hAnsi="Calibri"/>
                <w:color w:val="263238"/>
                <w:sz w:val="18"/>
              </w:rPr>
              <w:t>Traceability</w:t>
            </w:r>
          </w:p>
        </w:tc>
        <w:tc>
          <w:tcPr>
            <w:tcW w:type="dxa" w:w="6840"/>
            <w:vAlign w:val="center"/>
            <w:tcMar>
              <w:top w:w="80" w:type="dxa"/>
              <w:start w:w="120" w:type="dxa"/>
              <w:bottom w:w="80" w:type="dxa"/>
              <w:end w:w="120" w:type="dxa"/>
            </w:tcMar>
          </w:tcPr>
          <w:p>
            <w:pPr>
              <w:spacing w:after="0"/>
              <w:jc w:val="left"/>
            </w:pPr>
            <w:r>
              <w:rPr>
                <w:rFonts w:ascii="Calibri" w:hAnsi="Calibri"/>
                <w:color w:val="263238"/>
                <w:sz w:val="18"/>
              </w:rPr>
              <w:t>Evidence snippets include source, type, page, ticker, and retrieval score</w:t>
            </w:r>
          </w:p>
        </w:tc>
      </w:tr>
      <w:tr>
        <w:trPr>
          <w:cantSplit w:val="true"/>
        </w:trPr>
        <w:tc>
          <w:tcPr>
            <w:tcW w:type="dxa" w:w="2520"/>
            <w:vAlign w:val="center"/>
            <w:tcMar>
              <w:top w:w="80" w:type="dxa"/>
              <w:start w:w="120" w:type="dxa"/>
              <w:bottom w:w="80" w:type="dxa"/>
              <w:end w:w="120" w:type="dxa"/>
            </w:tcMar>
          </w:tcPr>
          <w:p>
            <w:pPr>
              <w:spacing w:after="0"/>
              <w:jc w:val="left"/>
            </w:pPr>
            <w:r>
              <w:rPr>
                <w:rFonts w:ascii="Calibri" w:hAnsi="Calibri"/>
                <w:color w:val="263238"/>
                <w:sz w:val="18"/>
              </w:rPr>
              <w:t>Provider failure</w:t>
            </w:r>
          </w:p>
        </w:tc>
        <w:tc>
          <w:tcPr>
            <w:tcW w:type="dxa" w:w="6840"/>
            <w:vAlign w:val="center"/>
            <w:tcMar>
              <w:top w:w="80" w:type="dxa"/>
              <w:start w:w="120" w:type="dxa"/>
              <w:bottom w:w="80" w:type="dxa"/>
              <w:end w:w="120" w:type="dxa"/>
            </w:tcMar>
          </w:tcPr>
          <w:p>
            <w:pPr>
              <w:spacing w:after="0"/>
              <w:jc w:val="left"/>
            </w:pPr>
            <w:r>
              <w:rPr>
                <w:rFonts w:ascii="Calibri" w:hAnsi="Calibri"/>
                <w:color w:val="263238"/>
                <w:sz w:val="18"/>
              </w:rPr>
              <w:t>Local deterministic report remains available</w:t>
            </w:r>
          </w:p>
        </w:tc>
      </w:tr>
      <w:tr>
        <w:trPr>
          <w:cantSplit w:val="true"/>
        </w:trPr>
        <w:tc>
          <w:tcPr>
            <w:tcW w:type="dxa" w:w="2520"/>
            <w:vAlign w:val="center"/>
            <w:tcMar>
              <w:top w:w="80" w:type="dxa"/>
              <w:start w:w="120" w:type="dxa"/>
              <w:bottom w:w="80" w:type="dxa"/>
              <w:end w:w="120" w:type="dxa"/>
            </w:tcMar>
          </w:tcPr>
          <w:p>
            <w:pPr>
              <w:spacing w:after="0"/>
              <w:jc w:val="left"/>
            </w:pPr>
            <w:r>
              <w:rPr>
                <w:rFonts w:ascii="Calibri" w:hAnsi="Calibri"/>
                <w:color w:val="263238"/>
                <w:sz w:val="18"/>
              </w:rPr>
              <w:t>Secrets</w:t>
            </w:r>
          </w:p>
        </w:tc>
        <w:tc>
          <w:tcPr>
            <w:tcW w:type="dxa" w:w="6840"/>
            <w:vAlign w:val="center"/>
            <w:tcMar>
              <w:top w:w="80" w:type="dxa"/>
              <w:start w:w="120" w:type="dxa"/>
              <w:bottom w:w="80" w:type="dxa"/>
              <w:end w:w="120" w:type="dxa"/>
            </w:tcMar>
          </w:tcPr>
          <w:p>
            <w:pPr>
              <w:spacing w:after="0"/>
              <w:jc w:val="left"/>
            </w:pPr>
            <w:r>
              <w:rPr>
                <w:rFonts w:ascii="Calibri" w:hAnsi="Calibri"/>
                <w:color w:val="263238"/>
                <w:sz w:val="18"/>
              </w:rPr>
              <w:t>OPENAI_API_KEY is read from environment and excluded from Git</w:t>
            </w:r>
          </w:p>
        </w:tc>
      </w:tr>
      <w:tr>
        <w:trPr>
          <w:cantSplit w:val="true"/>
        </w:trPr>
        <w:tc>
          <w:tcPr>
            <w:tcW w:type="dxa" w:w="2520"/>
            <w:vAlign w:val="center"/>
            <w:tcMar>
              <w:top w:w="80" w:type="dxa"/>
              <w:start w:w="120" w:type="dxa"/>
              <w:bottom w:w="80" w:type="dxa"/>
              <w:end w:w="120" w:type="dxa"/>
            </w:tcMar>
          </w:tcPr>
          <w:p>
            <w:pPr>
              <w:spacing w:after="0"/>
              <w:jc w:val="left"/>
            </w:pPr>
            <w:r>
              <w:rPr>
                <w:rFonts w:ascii="Calibri" w:hAnsi="Calibri"/>
                <w:color w:val="263238"/>
                <w:sz w:val="18"/>
              </w:rPr>
              <w:t>Overconfidence</w:t>
            </w:r>
          </w:p>
        </w:tc>
        <w:tc>
          <w:tcPr>
            <w:tcW w:type="dxa" w:w="6840"/>
            <w:vAlign w:val="center"/>
            <w:tcMar>
              <w:top w:w="80" w:type="dxa"/>
              <w:start w:w="120" w:type="dxa"/>
              <w:bottom w:w="80" w:type="dxa"/>
              <w:end w:w="120" w:type="dxa"/>
            </w:tcMar>
          </w:tcPr>
          <w:p>
            <w:pPr>
              <w:spacing w:after="0"/>
              <w:jc w:val="left"/>
            </w:pPr>
            <w:r>
              <w:rPr>
                <w:rFonts w:ascii="Calibri" w:hAnsi="Calibri"/>
                <w:color w:val="263238"/>
                <w:sz w:val="18"/>
              </w:rPr>
              <w:t>Model probability confidence and limitations are displayed</w:t>
            </w:r>
          </w:p>
        </w:tc>
      </w:tr>
      <w:tr>
        <w:trPr>
          <w:cantSplit w:val="true"/>
        </w:trPr>
        <w:tc>
          <w:tcPr>
            <w:tcW w:type="dxa" w:w="2520"/>
            <w:vAlign w:val="center"/>
            <w:tcMar>
              <w:top w:w="80" w:type="dxa"/>
              <w:start w:w="120" w:type="dxa"/>
              <w:bottom w:w="80" w:type="dxa"/>
              <w:end w:w="120" w:type="dxa"/>
            </w:tcMar>
          </w:tcPr>
          <w:p>
            <w:pPr>
              <w:spacing w:after="0"/>
              <w:jc w:val="left"/>
            </w:pPr>
            <w:r>
              <w:rPr>
                <w:rFonts w:ascii="Calibri" w:hAnsi="Calibri"/>
                <w:color w:val="263238"/>
                <w:sz w:val="18"/>
              </w:rPr>
              <w:t>Financial safety</w:t>
            </w:r>
          </w:p>
        </w:tc>
        <w:tc>
          <w:tcPr>
            <w:tcW w:type="dxa" w:w="6840"/>
            <w:vAlign w:val="center"/>
            <w:tcMar>
              <w:top w:w="80" w:type="dxa"/>
              <w:start w:w="120" w:type="dxa"/>
              <w:bottom w:w="80" w:type="dxa"/>
              <w:end w:w="120" w:type="dxa"/>
            </w:tcMar>
          </w:tcPr>
          <w:p>
            <w:pPr>
              <w:spacing w:after="0"/>
              <w:jc w:val="left"/>
            </w:pPr>
            <w:r>
              <w:rPr>
                <w:rFonts w:ascii="Calibri" w:hAnsi="Calibri"/>
                <w:color w:val="263238"/>
                <w:sz w:val="18"/>
              </w:rPr>
              <w:t>Every response states that it is educational, not financial advice</w:t>
            </w:r>
          </w:p>
        </w:tc>
      </w:tr>
    </w:tbl>
    <w:p>
      <w:pPr>
        <w:spacing w:before="80" w:after="80"/>
      </w:pPr>
    </w:p>
    <w:p>
      <w:pPr>
        <w:pStyle w:val="Heading2"/>
      </w:pPr>
      <w:r>
        <w:t>Decision logic</w:t>
      </w:r>
    </w:p>
    <w:p>
      <w:pPr>
        <w:jc w:val="both"/>
      </w:pPr>
      <w:r>
        <w:rPr>
          <w:rFonts w:ascii="Calibri" w:hAnsi="Calibri"/>
          <w:color w:val="263238"/>
          <w:sz w:val="22"/>
        </w:rPr>
        <w:t>The Decision Agent calculates a transparent investment score using 30% sentiment, 35% inverse risk, and 35% forecast return contribution. Thresholds map the score to Strong Buy, Buy, Hold, Sell, or Strong Sell. This rule-based combination is deliberately visible so examiners can inspect the relationship between inputs and recommendation.</w:t>
      </w:r>
    </w:p>
    <w:tbl>
      <w:tblPr>
        <w:tblW w:type="dxa" w:w="9360"/>
        <w:tblLayout w:type="fixed"/>
        <w:tblLook w:firstColumn="1" w:firstRow="1" w:lastColumn="0" w:lastRow="0" w:noHBand="0" w:noVBand="1" w:val="04A0"/>
        <w:jc w:val="left"/>
        <w:tblInd w:w="120" w:type="dxa"/>
      </w:tblPr>
      <w:tblGrid>
        <w:gridCol w:w="9360"/>
      </w:tblGrid>
      <w:tr>
        <w:tc>
          <w:tcPr>
            <w:tcW w:type="dxa" w:w="9360"/>
            <w:tcMar>
              <w:top w:w="80" w:type="dxa"/>
              <w:start w:w="120" w:type="dxa"/>
              <w:bottom w:w="80" w:type="dxa"/>
              <w:end w:w="120" w:type="dxa"/>
            </w:tcMar>
            <w:shd w:fill="EEF3F5"/>
            <w:vAlign w:val="center"/>
          </w:tcPr>
          <w:p>
            <w:pPr>
              <w:spacing w:before="60" w:after="60"/>
            </w:pPr>
            <w:r>
              <w:rPr>
                <w:rFonts w:ascii="Calibri" w:hAnsi="Calibri"/>
                <w:b/>
                <w:color w:val="167D8D"/>
                <w:sz w:val="21"/>
              </w:rPr>
              <w:t xml:space="preserve">Current OpenAI status: </w:t>
            </w:r>
            <w:r>
              <w:rPr>
                <w:rFonts w:ascii="Calibri" w:hAnsi="Calibri"/>
                <w:color w:val="263238"/>
                <w:sz w:val="21"/>
              </w:rPr>
              <w:t>The code path is implemented. Cloud operation depends on OPENAI_API_KEY, FIE_GENAI_PROVIDER=openai, and a supported model configured in Render.</w:t>
            </w:r>
          </w:p>
        </w:tc>
      </w:tr>
    </w:tbl>
    <w:p>
      <w:pPr>
        <w:spacing w:after="0"/>
      </w:pPr>
    </w:p>
    <w:p>
      <w:r>
        <w:br w:type="page"/>
      </w:r>
    </w:p>
    <w:p>
      <w:pPr>
        <w:pStyle w:val="Heading1"/>
        <w:spacing w:before="0" w:after="80"/>
      </w:pPr>
      <w:r>
        <w:rPr>
          <w:rFonts w:ascii="Calibri" w:hAnsi="Calibri"/>
          <w:b/>
          <w:color w:val="16324F"/>
          <w:sz w:val="44"/>
        </w:rPr>
        <w:t>10. Frontend and API Workflow</w:t>
      </w:r>
    </w:p>
    <w:p>
      <w:pPr>
        <w:jc w:val="both"/>
      </w:pPr>
      <w:r>
        <w:rPr>
          <w:rFonts w:ascii="Calibri" w:hAnsi="Calibri"/>
          <w:color w:val="263238"/>
          <w:sz w:val="22"/>
        </w:rPr>
        <w:t>The frontend is the actual working experience rather than a marketing landing page. A lightweight Python HTTP server exposes static assets and JSON endpoints. The browser dashboard supports Overview, Ask, Universe, Analysis, and Outputs views.</w:t>
      </w:r>
    </w:p>
    <w:tbl>
      <w:tblPr>
        <w:tblStyle w:val="TableGrid"/>
        <w:tblW w:type="dxa" w:w="9360"/>
        <w:tblLayout w:type="fixed"/>
        <w:tblLook w:firstColumn="1" w:firstRow="1" w:lastColumn="0" w:lastRow="0" w:noHBand="0" w:noVBand="1" w:val="04A0"/>
        <w:jc w:val="left"/>
        <w:tblInd w:w="120" w:type="dxa"/>
      </w:tblPr>
      <w:tblGrid>
        <w:gridCol w:w="1944"/>
        <w:gridCol w:w="3168"/>
        <w:gridCol w:w="4248"/>
      </w:tblGrid>
      <w:tr>
        <w:trPr>
          <w:tblHeader w:val="true"/>
        </w:trPr>
        <w:tc>
          <w:tcPr>
            <w:tcW w:type="dxa" w:w="1944"/>
            <w:tcMar>
              <w:top w:w="80" w:type="dxa"/>
              <w:start w:w="120" w:type="dxa"/>
              <w:bottom w:w="80" w:type="dxa"/>
              <w:end w:w="120" w:type="dxa"/>
            </w:tcMar>
            <w:shd w:fill="EEF3F5"/>
            <w:vAlign w:val="center"/>
          </w:tcPr>
          <w:p>
            <w:pPr>
              <w:spacing w:after="0"/>
              <w:jc w:val="center"/>
            </w:pPr>
            <w:r>
              <w:rPr>
                <w:rFonts w:ascii="Calibri" w:hAnsi="Calibri"/>
                <w:b/>
                <w:color w:val="16324F"/>
                <w:sz w:val="19"/>
              </w:rPr>
              <w:t>Endpoint</w:t>
            </w:r>
          </w:p>
        </w:tc>
        <w:tc>
          <w:tcPr>
            <w:tcW w:type="dxa" w:w="3168"/>
            <w:tcMar>
              <w:top w:w="80" w:type="dxa"/>
              <w:start w:w="120" w:type="dxa"/>
              <w:bottom w:w="80" w:type="dxa"/>
              <w:end w:w="120" w:type="dxa"/>
            </w:tcMar>
            <w:shd w:fill="EEF3F5"/>
            <w:vAlign w:val="center"/>
          </w:tcPr>
          <w:p>
            <w:pPr>
              <w:spacing w:after="0"/>
              <w:jc w:val="center"/>
            </w:pPr>
            <w:r>
              <w:rPr>
                <w:rFonts w:ascii="Calibri" w:hAnsi="Calibri"/>
                <w:b/>
                <w:color w:val="16324F"/>
                <w:sz w:val="19"/>
              </w:rPr>
              <w:t>Purpose</w:t>
            </w:r>
          </w:p>
        </w:tc>
        <w:tc>
          <w:tcPr>
            <w:tcW w:type="dxa" w:w="4248"/>
            <w:tcMar>
              <w:top w:w="80" w:type="dxa"/>
              <w:start w:w="120" w:type="dxa"/>
              <w:bottom w:w="80" w:type="dxa"/>
              <w:end w:w="120" w:type="dxa"/>
            </w:tcMar>
            <w:shd w:fill="EEF3F5"/>
            <w:vAlign w:val="center"/>
          </w:tcPr>
          <w:p>
            <w:pPr>
              <w:spacing w:after="0"/>
              <w:jc w:val="center"/>
            </w:pPr>
            <w:r>
              <w:rPr>
                <w:rFonts w:ascii="Calibri" w:hAnsi="Calibri"/>
                <w:b/>
                <w:color w:val="16324F"/>
                <w:sz w:val="19"/>
              </w:rPr>
              <w:t>Evidence shown</w:t>
            </w:r>
          </w:p>
        </w:tc>
      </w:tr>
      <w:tr>
        <w:trPr>
          <w:cantSplit w:val="true"/>
        </w:trPr>
        <w:tc>
          <w:tcPr>
            <w:tcW w:type="dxa" w:w="1944"/>
            <w:vAlign w:val="center"/>
            <w:tcMar>
              <w:top w:w="80" w:type="dxa"/>
              <w:start w:w="120" w:type="dxa"/>
              <w:bottom w:w="80" w:type="dxa"/>
              <w:end w:w="120" w:type="dxa"/>
            </w:tcMar>
          </w:tcPr>
          <w:p>
            <w:pPr>
              <w:spacing w:after="0"/>
              <w:jc w:val="center"/>
            </w:pPr>
            <w:r>
              <w:rPr>
                <w:rFonts w:ascii="Calibri" w:hAnsi="Calibri"/>
                <w:color w:val="263238"/>
                <w:sz w:val="18"/>
              </w:rPr>
              <w:t>/health</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Deployment readiness</w:t>
            </w:r>
          </w:p>
        </w:tc>
        <w:tc>
          <w:tcPr>
            <w:tcW w:type="dxa" w:w="4248"/>
            <w:vAlign w:val="center"/>
            <w:tcMar>
              <w:top w:w="80" w:type="dxa"/>
              <w:start w:w="120" w:type="dxa"/>
              <w:bottom w:w="80" w:type="dxa"/>
              <w:end w:w="120" w:type="dxa"/>
            </w:tcMar>
          </w:tcPr>
          <w:p>
            <w:pPr>
              <w:spacing w:after="0"/>
              <w:jc w:val="left"/>
            </w:pPr>
            <w:r>
              <w:rPr>
                <w:rFonts w:ascii="Calibri" w:hAnsi="Calibri"/>
                <w:color w:val="263238"/>
                <w:sz w:val="18"/>
              </w:rPr>
              <w:t>Universe, features, models, vector store, capabilities</w:t>
            </w:r>
          </w:p>
        </w:tc>
      </w:tr>
      <w:tr>
        <w:trPr>
          <w:cantSplit w:val="true"/>
        </w:trPr>
        <w:tc>
          <w:tcPr>
            <w:tcW w:type="dxa" w:w="1944"/>
            <w:vAlign w:val="center"/>
            <w:tcMar>
              <w:top w:w="80" w:type="dxa"/>
              <w:start w:w="120" w:type="dxa"/>
              <w:bottom w:w="80" w:type="dxa"/>
              <w:end w:w="120" w:type="dxa"/>
            </w:tcMar>
          </w:tcPr>
          <w:p>
            <w:pPr>
              <w:spacing w:after="0"/>
              <w:jc w:val="center"/>
            </w:pPr>
            <w:r>
              <w:rPr>
                <w:rFonts w:ascii="Calibri" w:hAnsi="Calibri"/>
                <w:color w:val="263238"/>
                <w:sz w:val="18"/>
              </w:rPr>
              <w:t>/api/summary</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Dashboard metrics</w:t>
            </w:r>
          </w:p>
        </w:tc>
        <w:tc>
          <w:tcPr>
            <w:tcW w:type="dxa" w:w="4248"/>
            <w:vAlign w:val="center"/>
            <w:tcMar>
              <w:top w:w="80" w:type="dxa"/>
              <w:start w:w="120" w:type="dxa"/>
              <w:bottom w:w="80" w:type="dxa"/>
              <w:end w:w="120" w:type="dxa"/>
            </w:tcMar>
          </w:tcPr>
          <w:p>
            <w:pPr>
              <w:spacing w:after="0"/>
              <w:jc w:val="left"/>
            </w:pPr>
            <w:r>
              <w:rPr>
                <w:rFonts w:ascii="Calibri" w:hAnsi="Calibri"/>
                <w:color w:val="263238"/>
                <w:sz w:val="18"/>
              </w:rPr>
              <w:t>10K universe, real rows, model metrics, SEC count</w:t>
            </w:r>
          </w:p>
        </w:tc>
      </w:tr>
      <w:tr>
        <w:trPr>
          <w:cantSplit w:val="true"/>
        </w:trPr>
        <w:tc>
          <w:tcPr>
            <w:tcW w:type="dxa" w:w="1944"/>
            <w:vAlign w:val="center"/>
            <w:tcMar>
              <w:top w:w="80" w:type="dxa"/>
              <w:start w:w="120" w:type="dxa"/>
              <w:bottom w:w="80" w:type="dxa"/>
              <w:end w:w="120" w:type="dxa"/>
            </w:tcMar>
          </w:tcPr>
          <w:p>
            <w:pPr>
              <w:spacing w:after="0"/>
              <w:jc w:val="center"/>
            </w:pPr>
            <w:r>
              <w:rPr>
                <w:rFonts w:ascii="Calibri" w:hAnsi="Calibri"/>
                <w:color w:val="263238"/>
                <w:sz w:val="18"/>
              </w:rPr>
              <w:t>/api/universe</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Ticker/company search</w:t>
            </w:r>
          </w:p>
        </w:tc>
        <w:tc>
          <w:tcPr>
            <w:tcW w:type="dxa" w:w="4248"/>
            <w:vAlign w:val="center"/>
            <w:tcMar>
              <w:top w:w="80" w:type="dxa"/>
              <w:start w:w="120" w:type="dxa"/>
              <w:bottom w:w="80" w:type="dxa"/>
              <w:end w:w="120" w:type="dxa"/>
            </w:tcMar>
          </w:tcPr>
          <w:p>
            <w:pPr>
              <w:spacing w:after="0"/>
              <w:jc w:val="left"/>
            </w:pPr>
            <w:r>
              <w:rPr>
                <w:rFonts w:ascii="Calibri" w:hAnsi="Calibri"/>
                <w:color w:val="263238"/>
                <w:sz w:val="18"/>
              </w:rPr>
              <w:t>Paginated/filterable metadata</w:t>
            </w:r>
          </w:p>
        </w:tc>
      </w:tr>
      <w:tr>
        <w:trPr>
          <w:cantSplit w:val="true"/>
        </w:trPr>
        <w:tc>
          <w:tcPr>
            <w:tcW w:type="dxa" w:w="1944"/>
            <w:vAlign w:val="center"/>
            <w:tcMar>
              <w:top w:w="80" w:type="dxa"/>
              <w:start w:w="120" w:type="dxa"/>
              <w:bottom w:w="80" w:type="dxa"/>
              <w:end w:w="120" w:type="dxa"/>
            </w:tcMar>
          </w:tcPr>
          <w:p>
            <w:pPr>
              <w:spacing w:after="0"/>
              <w:jc w:val="center"/>
            </w:pPr>
            <w:r>
              <w:rPr>
                <w:rFonts w:ascii="Calibri" w:hAnsi="Calibri"/>
                <w:color w:val="263238"/>
                <w:sz w:val="18"/>
              </w:rPr>
              <w:t>/api/ask</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Run full agent workflow</w:t>
            </w:r>
          </w:p>
        </w:tc>
        <w:tc>
          <w:tcPr>
            <w:tcW w:type="dxa" w:w="4248"/>
            <w:vAlign w:val="center"/>
            <w:tcMar>
              <w:top w:w="80" w:type="dxa"/>
              <w:start w:w="120" w:type="dxa"/>
              <w:bottom w:w="80" w:type="dxa"/>
              <w:end w:w="120" w:type="dxa"/>
            </w:tcMar>
          </w:tcPr>
          <w:p>
            <w:pPr>
              <w:spacing w:after="0"/>
              <w:jc w:val="left"/>
            </w:pPr>
            <w:r>
              <w:rPr>
                <w:rFonts w:ascii="Calibri" w:hAnsi="Calibri"/>
                <w:color w:val="263238"/>
                <w:sz w:val="18"/>
              </w:rPr>
              <w:t>Recommendation, trace, confidence, citations</w:t>
            </w:r>
          </w:p>
        </w:tc>
      </w:tr>
      <w:tr>
        <w:trPr>
          <w:cantSplit w:val="true"/>
        </w:trPr>
        <w:tc>
          <w:tcPr>
            <w:tcW w:type="dxa" w:w="1944"/>
            <w:vAlign w:val="center"/>
            <w:tcMar>
              <w:top w:w="80" w:type="dxa"/>
              <w:start w:w="120" w:type="dxa"/>
              <w:bottom w:w="80" w:type="dxa"/>
              <w:end w:w="120" w:type="dxa"/>
            </w:tcMar>
          </w:tcPr>
          <w:p>
            <w:pPr>
              <w:spacing w:after="0"/>
              <w:jc w:val="center"/>
            </w:pPr>
            <w:r>
              <w:rPr>
                <w:rFonts w:ascii="Calibri" w:hAnsi="Calibri"/>
                <w:color w:val="263238"/>
                <w:sz w:val="18"/>
              </w:rPr>
              <w:t>/api/news</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Display sentiment input</w:t>
            </w:r>
          </w:p>
        </w:tc>
        <w:tc>
          <w:tcPr>
            <w:tcW w:type="dxa" w:w="4248"/>
            <w:vAlign w:val="center"/>
            <w:tcMar>
              <w:top w:w="80" w:type="dxa"/>
              <w:start w:w="120" w:type="dxa"/>
              <w:bottom w:w="80" w:type="dxa"/>
              <w:end w:w="120" w:type="dxa"/>
            </w:tcMar>
          </w:tcPr>
          <w:p>
            <w:pPr>
              <w:spacing w:after="0"/>
              <w:jc w:val="left"/>
            </w:pPr>
            <w:r>
              <w:rPr>
                <w:rFonts w:ascii="Calibri" w:hAnsi="Calibri"/>
                <w:color w:val="263238"/>
                <w:sz w:val="18"/>
              </w:rPr>
              <w:t>Date, headline, source, sentiment label</w:t>
            </w:r>
          </w:p>
        </w:tc>
      </w:tr>
      <w:tr>
        <w:trPr>
          <w:cantSplit w:val="true"/>
        </w:trPr>
        <w:tc>
          <w:tcPr>
            <w:tcW w:type="dxa" w:w="1944"/>
            <w:vAlign w:val="center"/>
            <w:tcMar>
              <w:top w:w="80" w:type="dxa"/>
              <w:start w:w="120" w:type="dxa"/>
              <w:bottom w:w="80" w:type="dxa"/>
              <w:end w:w="120" w:type="dxa"/>
            </w:tcMar>
          </w:tcPr>
          <w:p>
            <w:pPr>
              <w:spacing w:after="0"/>
              <w:jc w:val="center"/>
            </w:pPr>
            <w:r>
              <w:rPr>
                <w:rFonts w:ascii="Calibri" w:hAnsi="Calibri"/>
                <w:color w:val="263238"/>
                <w:sz w:val="18"/>
              </w:rPr>
              <w:t>/outputs/*</w:t>
            </w:r>
          </w:p>
        </w:tc>
        <w:tc>
          <w:tcPr>
            <w:tcW w:type="dxa" w:w="3168"/>
            <w:vAlign w:val="center"/>
            <w:tcMar>
              <w:top w:w="80" w:type="dxa"/>
              <w:start w:w="120" w:type="dxa"/>
              <w:bottom w:w="80" w:type="dxa"/>
              <w:end w:w="120" w:type="dxa"/>
            </w:tcMar>
          </w:tcPr>
          <w:p>
            <w:pPr>
              <w:spacing w:after="0"/>
              <w:jc w:val="left"/>
            </w:pPr>
            <w:r>
              <w:rPr>
                <w:rFonts w:ascii="Calibri" w:hAnsi="Calibri"/>
                <w:color w:val="263238"/>
                <w:sz w:val="18"/>
              </w:rPr>
              <w:t>Open generated artifacts</w:t>
            </w:r>
          </w:p>
        </w:tc>
        <w:tc>
          <w:tcPr>
            <w:tcW w:type="dxa" w:w="4248"/>
            <w:vAlign w:val="center"/>
            <w:tcMar>
              <w:top w:w="80" w:type="dxa"/>
              <w:start w:w="120" w:type="dxa"/>
              <w:bottom w:w="80" w:type="dxa"/>
              <w:end w:w="120" w:type="dxa"/>
            </w:tcMar>
          </w:tcPr>
          <w:p>
            <w:pPr>
              <w:spacing w:after="0"/>
              <w:jc w:val="left"/>
            </w:pPr>
            <w:r>
              <w:rPr>
                <w:rFonts w:ascii="Calibri" w:hAnsi="Calibri"/>
                <w:color w:val="263238"/>
                <w:sz w:val="18"/>
              </w:rPr>
              <w:t>CSV, text, and model metric files</w:t>
            </w:r>
          </w:p>
        </w:tc>
      </w:tr>
    </w:tbl>
    <w:p>
      <w:pPr>
        <w:spacing w:before="80" w:after="80"/>
      </w:pPr>
    </w:p>
    <w:p>
      <w:pPr>
        <w:pStyle w:val="Heading2"/>
      </w:pPr>
      <w:r>
        <w:t>Ask workflow</w:t>
      </w:r>
    </w:p>
    <w:p>
      <w:pPr>
        <w:pStyle w:val="ListNumber"/>
      </w:pPr>
      <w:r>
        <w:rPr>
          <w:rFonts w:ascii="Calibri" w:hAnsi="Calibri"/>
          <w:color w:val="263238"/>
          <w:sz w:val="22"/>
        </w:rPr>
        <w:t>The user submits a natural-language question.</w:t>
      </w:r>
    </w:p>
    <w:p>
      <w:pPr>
        <w:pStyle w:val="ListNumber"/>
      </w:pPr>
      <w:r>
        <w:rPr>
          <w:rFonts w:ascii="Calibri" w:hAnsi="Calibri"/>
          <w:color w:val="263238"/>
          <w:sz w:val="22"/>
        </w:rPr>
        <w:t>The server validates tickers against the cached universe.</w:t>
      </w:r>
    </w:p>
    <w:p>
      <w:pPr>
        <w:pStyle w:val="ListNumber"/>
      </w:pPr>
      <w:r>
        <w:rPr>
          <w:rFonts w:ascii="Calibri" w:hAnsi="Calibri"/>
          <w:color w:val="263238"/>
          <w:sz w:val="22"/>
        </w:rPr>
        <w:t>The orchestrator runs retrieval and analytical agents.</w:t>
      </w:r>
    </w:p>
    <w:p>
      <w:pPr>
        <w:pStyle w:val="ListNumber"/>
      </w:pPr>
      <w:r>
        <w:rPr>
          <w:rFonts w:ascii="Calibri" w:hAnsi="Calibri"/>
          <w:color w:val="263238"/>
          <w:sz w:val="22"/>
        </w:rPr>
        <w:t>The decision agent combines scores into a recommendation.</w:t>
      </w:r>
    </w:p>
    <w:p>
      <w:pPr>
        <w:pStyle w:val="ListNumber"/>
      </w:pPr>
      <w:r>
        <w:rPr>
          <w:rFonts w:ascii="Calibri" w:hAnsi="Calibri"/>
          <w:color w:val="263238"/>
          <w:sz w:val="22"/>
        </w:rPr>
        <w:t>The explainability agent creates the final grounded response.</w:t>
      </w:r>
    </w:p>
    <w:p>
      <w:pPr>
        <w:pStyle w:val="ListNumber"/>
      </w:pPr>
      <w:r>
        <w:rPr>
          <w:rFonts w:ascii="Calibri" w:hAnsi="Calibri"/>
          <w:color w:val="263238"/>
          <w:sz w:val="22"/>
        </w:rPr>
        <w:t>The browser renders suggestion cards, agent signals, evidence, and disclaimer.</w:t>
      </w:r>
    </w:p>
    <w:tbl>
      <w:tblPr>
        <w:tblW w:type="dxa" w:w="9360"/>
        <w:tblLayout w:type="fixed"/>
        <w:tblLook w:firstColumn="1" w:firstRow="1" w:lastColumn="0" w:lastRow="0" w:noHBand="0" w:noVBand="1" w:val="04A0"/>
        <w:jc w:val="left"/>
        <w:tblInd w:w="120" w:type="dxa"/>
      </w:tblPr>
      <w:tblGrid>
        <w:gridCol w:w="9360"/>
      </w:tblGrid>
      <w:tr>
        <w:tc>
          <w:tcPr>
            <w:tcW w:type="dxa" w:w="9360"/>
            <w:tcMar>
              <w:top w:w="80" w:type="dxa"/>
              <w:start w:w="120" w:type="dxa"/>
              <w:bottom w:w="80" w:type="dxa"/>
              <w:end w:w="120" w:type="dxa"/>
            </w:tcMar>
            <w:shd w:fill="F7F1E5"/>
            <w:vAlign w:val="center"/>
          </w:tcPr>
          <w:p>
            <w:pPr>
              <w:spacing w:before="60" w:after="60"/>
            </w:pPr>
            <w:r>
              <w:rPr>
                <w:rFonts w:ascii="Calibri" w:hAnsi="Calibri"/>
                <w:b/>
                <w:color w:val="C69432"/>
                <w:sz w:val="21"/>
              </w:rPr>
              <w:t xml:space="preserve">Current dashboard evidence: </w:t>
            </w:r>
            <w:r>
              <w:rPr>
                <w:rFonts w:ascii="Calibri" w:hAnsi="Calibri"/>
                <w:color w:val="263238"/>
                <w:sz w:val="21"/>
              </w:rPr>
              <w:t>The Overview distinguishes broad universe scale from real training scale. The Ask view displays every agent summary and the retrieved source snippets used for explanation.</w:t>
            </w:r>
          </w:p>
        </w:tc>
      </w:tr>
    </w:tbl>
    <w:p>
      <w:pPr>
        <w:spacing w:after="0"/>
      </w:pPr>
    </w:p>
    <w:p>
      <w:r>
        <w:br w:type="page"/>
      </w:r>
    </w:p>
    <w:p>
      <w:pPr>
        <w:pStyle w:val="Heading1"/>
        <w:spacing w:before="0" w:after="80"/>
      </w:pPr>
      <w:r>
        <w:rPr>
          <w:rFonts w:ascii="Calibri" w:hAnsi="Calibri"/>
          <w:b/>
          <w:color w:val="16324F"/>
          <w:sz w:val="44"/>
        </w:rPr>
        <w:t>11. Cloud Deployment and Operational Flow</w:t>
      </w:r>
    </w:p>
    <w:p>
      <w:pPr>
        <w:spacing w:after="80"/>
        <w:jc w:val="center"/>
      </w:pPr>
      <w:r>
        <w:drawing>
          <wp:inline xmlns:a="http://schemas.openxmlformats.org/drawingml/2006/main" xmlns:pic="http://schemas.openxmlformats.org/drawingml/2006/picture">
            <wp:extent cx="5715000" cy="1476375"/>
            <wp:docPr id="6" name="Picture 6" title="Deployment" descr="Figure 6. GitHub-connected Render deployment with packaged reproducible assets."/>
            <wp:cNvGraphicFramePr>
              <a:graphicFrameLocks noChangeAspect="1"/>
            </wp:cNvGraphicFramePr>
            <a:graphic>
              <a:graphicData uri="http://schemas.openxmlformats.org/drawingml/2006/picture">
                <pic:pic>
                  <pic:nvPicPr>
                    <pic:cNvPr id="0" name="deployment.png"/>
                    <pic:cNvPicPr/>
                  </pic:nvPicPr>
                  <pic:blipFill>
                    <a:blip r:embed="rId17"/>
                    <a:stretch>
                      <a:fillRect/>
                    </a:stretch>
                  </pic:blipFill>
                  <pic:spPr>
                    <a:xfrm>
                      <a:off x="0" y="0"/>
                      <a:ext cx="5715000" cy="1476375"/>
                    </a:xfrm>
                    <a:prstGeom prst="rect"/>
                  </pic:spPr>
                </pic:pic>
              </a:graphicData>
            </a:graphic>
          </wp:inline>
        </w:drawing>
      </w:r>
    </w:p>
    <w:p>
      <w:pPr>
        <w:spacing w:before="0" w:after="160"/>
        <w:jc w:val="center"/>
      </w:pPr>
      <w:r>
        <w:rPr>
          <w:rFonts w:ascii="Calibri" w:hAnsi="Calibri"/>
          <w:i/>
          <w:color w:val="66727B"/>
          <w:sz w:val="18"/>
        </w:rPr>
        <w:t>Figure 6. GitHub-connected Render deployment with packaged reproducible assets.</w:t>
      </w:r>
    </w:p>
    <w:p>
      <w:pPr>
        <w:jc w:val="both"/>
      </w:pPr>
      <w:r>
        <w:rPr>
          <w:rFonts w:ascii="Calibri" w:hAnsi="Calibri"/>
          <w:color w:val="263238"/>
          <w:sz w:val="22"/>
        </w:rPr>
        <w:t>The GitHub repository is connected to a Render Blueprint. Each push to main triggers a Docker build. The image installs cloud dependencies, builds the 10K universe and proxy baseline, attempts the real 20-company data pipeline, trains models, indexes RAG documents, and stores bootstrap assets inside the image. If live market data is unavailable during build, the application keeps the reproducible proxy fallback.</w:t>
      </w:r>
    </w:p>
    <w:tbl>
      <w:tblPr>
        <w:tblStyle w:val="TableGrid"/>
        <w:tblW w:type="dxa" w:w="9360"/>
        <w:tblLayout w:type="fixed"/>
        <w:tblLook w:firstColumn="1" w:firstRow="1" w:lastColumn="0" w:lastRow="0" w:noHBand="0" w:noVBand="1" w:val="04A0"/>
        <w:jc w:val="left"/>
        <w:tblInd w:w="120" w:type="dxa"/>
      </w:tblPr>
      <w:tblGrid>
        <w:gridCol w:w="3240"/>
        <w:gridCol w:w="6120"/>
      </w:tblGrid>
      <w:tr>
        <w:trPr>
          <w:tblHeader w:val="true"/>
        </w:trPr>
        <w:tc>
          <w:tcPr>
            <w:tcW w:type="dxa" w:w="3240"/>
            <w:tcMar>
              <w:top w:w="80" w:type="dxa"/>
              <w:start w:w="120" w:type="dxa"/>
              <w:bottom w:w="80" w:type="dxa"/>
              <w:end w:w="120" w:type="dxa"/>
            </w:tcMar>
            <w:shd w:fill="EEF3F5"/>
            <w:vAlign w:val="center"/>
          </w:tcPr>
          <w:p>
            <w:pPr>
              <w:spacing w:after="0"/>
              <w:jc w:val="center"/>
            </w:pPr>
            <w:r>
              <w:rPr>
                <w:rFonts w:ascii="Calibri" w:hAnsi="Calibri"/>
                <w:b/>
                <w:color w:val="16324F"/>
                <w:sz w:val="19"/>
              </w:rPr>
              <w:t>Variable</w:t>
            </w:r>
          </w:p>
        </w:tc>
        <w:tc>
          <w:tcPr>
            <w:tcW w:type="dxa" w:w="6120"/>
            <w:tcMar>
              <w:top w:w="80" w:type="dxa"/>
              <w:start w:w="120" w:type="dxa"/>
              <w:bottom w:w="80" w:type="dxa"/>
              <w:end w:w="120" w:type="dxa"/>
            </w:tcMar>
            <w:shd w:fill="EEF3F5"/>
            <w:vAlign w:val="center"/>
          </w:tcPr>
          <w:p>
            <w:pPr>
              <w:spacing w:after="0"/>
              <w:jc w:val="center"/>
            </w:pPr>
            <w:r>
              <w:rPr>
                <w:rFonts w:ascii="Calibri" w:hAnsi="Calibri"/>
                <w:b/>
                <w:color w:val="16324F"/>
                <w:sz w:val="19"/>
              </w:rPr>
              <w:t>Purpose</w:t>
            </w:r>
          </w:p>
        </w:tc>
      </w:tr>
      <w:tr>
        <w:trPr>
          <w:cantSplit w:val="true"/>
        </w:trPr>
        <w:tc>
          <w:tcPr>
            <w:tcW w:type="dxa" w:w="3240"/>
            <w:vAlign w:val="center"/>
            <w:tcMar>
              <w:top w:w="80" w:type="dxa"/>
              <w:start w:w="120" w:type="dxa"/>
              <w:bottom w:w="80" w:type="dxa"/>
              <w:end w:w="120" w:type="dxa"/>
            </w:tcMar>
          </w:tcPr>
          <w:p>
            <w:pPr>
              <w:spacing w:after="0"/>
              <w:jc w:val="left"/>
            </w:pPr>
            <w:r>
              <w:rPr>
                <w:rFonts w:ascii="Calibri" w:hAnsi="Calibri"/>
                <w:color w:val="263238"/>
                <w:sz w:val="18"/>
              </w:rPr>
              <w:t>FIE_ENV=cloud</w:t>
            </w:r>
          </w:p>
        </w:tc>
        <w:tc>
          <w:tcPr>
            <w:tcW w:type="dxa" w:w="6120"/>
            <w:vAlign w:val="center"/>
            <w:tcMar>
              <w:top w:w="80" w:type="dxa"/>
              <w:start w:w="120" w:type="dxa"/>
              <w:bottom w:w="80" w:type="dxa"/>
              <w:end w:w="120" w:type="dxa"/>
            </w:tcMar>
          </w:tcPr>
          <w:p>
            <w:pPr>
              <w:spacing w:after="0"/>
              <w:jc w:val="left"/>
            </w:pPr>
            <w:r>
              <w:rPr>
                <w:rFonts w:ascii="Calibri" w:hAnsi="Calibri"/>
                <w:color w:val="263238"/>
                <w:sz w:val="18"/>
              </w:rPr>
              <w:t>Enable cloud environment reporting</w:t>
            </w:r>
          </w:p>
        </w:tc>
      </w:tr>
      <w:tr>
        <w:trPr>
          <w:cantSplit w:val="true"/>
        </w:trPr>
        <w:tc>
          <w:tcPr>
            <w:tcW w:type="dxa" w:w="3240"/>
            <w:vAlign w:val="center"/>
            <w:tcMar>
              <w:top w:w="80" w:type="dxa"/>
              <w:start w:w="120" w:type="dxa"/>
              <w:bottom w:w="80" w:type="dxa"/>
              <w:end w:w="120" w:type="dxa"/>
            </w:tcMar>
          </w:tcPr>
          <w:p>
            <w:pPr>
              <w:spacing w:after="0"/>
              <w:jc w:val="left"/>
            </w:pPr>
            <w:r>
              <w:rPr>
                <w:rFonts w:ascii="Calibri" w:hAnsi="Calibri"/>
                <w:color w:val="263238"/>
                <w:sz w:val="18"/>
              </w:rPr>
              <w:t>FIE_DATA_ROOT=/var/data</w:t>
            </w:r>
          </w:p>
        </w:tc>
        <w:tc>
          <w:tcPr>
            <w:tcW w:type="dxa" w:w="6120"/>
            <w:vAlign w:val="center"/>
            <w:tcMar>
              <w:top w:w="80" w:type="dxa"/>
              <w:start w:w="120" w:type="dxa"/>
              <w:bottom w:w="80" w:type="dxa"/>
              <w:end w:w="120" w:type="dxa"/>
            </w:tcMar>
          </w:tcPr>
          <w:p>
            <w:pPr>
              <w:spacing w:after="0"/>
              <w:jc w:val="left"/>
            </w:pPr>
            <w:r>
              <w:rPr>
                <w:rFonts w:ascii="Calibri" w:hAnsi="Calibri"/>
                <w:color w:val="263238"/>
                <w:sz w:val="18"/>
              </w:rPr>
              <w:t>Writable runtime data root</w:t>
            </w:r>
          </w:p>
        </w:tc>
      </w:tr>
      <w:tr>
        <w:trPr>
          <w:cantSplit w:val="true"/>
        </w:trPr>
        <w:tc>
          <w:tcPr>
            <w:tcW w:type="dxa" w:w="3240"/>
            <w:vAlign w:val="center"/>
            <w:tcMar>
              <w:top w:w="80" w:type="dxa"/>
              <w:start w:w="120" w:type="dxa"/>
              <w:bottom w:w="80" w:type="dxa"/>
              <w:end w:w="120" w:type="dxa"/>
            </w:tcMar>
          </w:tcPr>
          <w:p>
            <w:pPr>
              <w:spacing w:after="0"/>
              <w:jc w:val="left"/>
            </w:pPr>
            <w:r>
              <w:rPr>
                <w:rFonts w:ascii="Calibri" w:hAnsi="Calibri"/>
                <w:color w:val="263238"/>
                <w:sz w:val="18"/>
              </w:rPr>
              <w:t>FIE_MODEL_DIR=/var/data/models</w:t>
            </w:r>
          </w:p>
        </w:tc>
        <w:tc>
          <w:tcPr>
            <w:tcW w:type="dxa" w:w="6120"/>
            <w:vAlign w:val="center"/>
            <w:tcMar>
              <w:top w:w="80" w:type="dxa"/>
              <w:start w:w="120" w:type="dxa"/>
              <w:bottom w:w="80" w:type="dxa"/>
              <w:end w:w="120" w:type="dxa"/>
            </w:tcMar>
          </w:tcPr>
          <w:p>
            <w:pPr>
              <w:spacing w:after="0"/>
              <w:jc w:val="left"/>
            </w:pPr>
            <w:r>
              <w:rPr>
                <w:rFonts w:ascii="Calibri" w:hAnsi="Calibri"/>
                <w:color w:val="263238"/>
                <w:sz w:val="18"/>
              </w:rPr>
              <w:t>Model artifact location</w:t>
            </w:r>
          </w:p>
        </w:tc>
      </w:tr>
      <w:tr>
        <w:trPr>
          <w:cantSplit w:val="true"/>
        </w:trPr>
        <w:tc>
          <w:tcPr>
            <w:tcW w:type="dxa" w:w="3240"/>
            <w:vAlign w:val="center"/>
            <w:tcMar>
              <w:top w:w="80" w:type="dxa"/>
              <w:start w:w="120" w:type="dxa"/>
              <w:bottom w:w="80" w:type="dxa"/>
              <w:end w:w="120" w:type="dxa"/>
            </w:tcMar>
          </w:tcPr>
          <w:p>
            <w:pPr>
              <w:spacing w:after="0"/>
              <w:jc w:val="left"/>
            </w:pPr>
            <w:r>
              <w:rPr>
                <w:rFonts w:ascii="Calibri" w:hAnsi="Calibri"/>
                <w:color w:val="263238"/>
                <w:sz w:val="18"/>
              </w:rPr>
              <w:t>FIE_GENAI_PROVIDER</w:t>
            </w:r>
          </w:p>
        </w:tc>
        <w:tc>
          <w:tcPr>
            <w:tcW w:type="dxa" w:w="6120"/>
            <w:vAlign w:val="center"/>
            <w:tcMar>
              <w:top w:w="80" w:type="dxa"/>
              <w:start w:w="120" w:type="dxa"/>
              <w:bottom w:w="80" w:type="dxa"/>
              <w:end w:w="120" w:type="dxa"/>
            </w:tcMar>
          </w:tcPr>
          <w:p>
            <w:pPr>
              <w:spacing w:after="0"/>
              <w:jc w:val="left"/>
            </w:pPr>
            <w:r>
              <w:rPr>
                <w:rFonts w:ascii="Calibri" w:hAnsi="Calibri"/>
                <w:color w:val="263238"/>
                <w:sz w:val="18"/>
              </w:rPr>
              <w:t>Select local or OpenAI generation</w:t>
            </w:r>
          </w:p>
        </w:tc>
      </w:tr>
      <w:tr>
        <w:trPr>
          <w:cantSplit w:val="true"/>
        </w:trPr>
        <w:tc>
          <w:tcPr>
            <w:tcW w:type="dxa" w:w="3240"/>
            <w:vAlign w:val="center"/>
            <w:tcMar>
              <w:top w:w="80" w:type="dxa"/>
              <w:start w:w="120" w:type="dxa"/>
              <w:bottom w:w="80" w:type="dxa"/>
              <w:end w:w="120" w:type="dxa"/>
            </w:tcMar>
          </w:tcPr>
          <w:p>
            <w:pPr>
              <w:spacing w:after="0"/>
              <w:jc w:val="left"/>
            </w:pPr>
            <w:r>
              <w:rPr>
                <w:rFonts w:ascii="Calibri" w:hAnsi="Calibri"/>
                <w:color w:val="263238"/>
                <w:sz w:val="18"/>
              </w:rPr>
              <w:t>OPENAI_API_KEY</w:t>
            </w:r>
          </w:p>
        </w:tc>
        <w:tc>
          <w:tcPr>
            <w:tcW w:type="dxa" w:w="6120"/>
            <w:vAlign w:val="center"/>
            <w:tcMar>
              <w:top w:w="80" w:type="dxa"/>
              <w:start w:w="120" w:type="dxa"/>
              <w:bottom w:w="80" w:type="dxa"/>
              <w:end w:w="120" w:type="dxa"/>
            </w:tcMar>
          </w:tcPr>
          <w:p>
            <w:pPr>
              <w:spacing w:after="0"/>
              <w:jc w:val="left"/>
            </w:pPr>
            <w:r>
              <w:rPr>
                <w:rFonts w:ascii="Calibri" w:hAnsi="Calibri"/>
                <w:color w:val="263238"/>
                <w:sz w:val="18"/>
              </w:rPr>
              <w:t>Secret for hosted generation</w:t>
            </w:r>
          </w:p>
        </w:tc>
      </w:tr>
      <w:tr>
        <w:trPr>
          <w:cantSplit w:val="true"/>
        </w:trPr>
        <w:tc>
          <w:tcPr>
            <w:tcW w:type="dxa" w:w="3240"/>
            <w:vAlign w:val="center"/>
            <w:tcMar>
              <w:top w:w="80" w:type="dxa"/>
              <w:start w:w="120" w:type="dxa"/>
              <w:bottom w:w="80" w:type="dxa"/>
              <w:end w:w="120" w:type="dxa"/>
            </w:tcMar>
          </w:tcPr>
          <w:p>
            <w:pPr>
              <w:spacing w:after="0"/>
              <w:jc w:val="left"/>
            </w:pPr>
            <w:r>
              <w:rPr>
                <w:rFonts w:ascii="Calibri" w:hAnsi="Calibri"/>
                <w:color w:val="263238"/>
                <w:sz w:val="18"/>
              </w:rPr>
              <w:t>FIE_SEC_USER_AGENT</w:t>
            </w:r>
          </w:p>
        </w:tc>
        <w:tc>
          <w:tcPr>
            <w:tcW w:type="dxa" w:w="6120"/>
            <w:vAlign w:val="center"/>
            <w:tcMar>
              <w:top w:w="80" w:type="dxa"/>
              <w:start w:w="120" w:type="dxa"/>
              <w:bottom w:w="80" w:type="dxa"/>
              <w:end w:w="120" w:type="dxa"/>
            </w:tcMar>
          </w:tcPr>
          <w:p>
            <w:pPr>
              <w:spacing w:after="0"/>
              <w:jc w:val="left"/>
            </w:pPr>
            <w:r>
              <w:rPr>
                <w:rFonts w:ascii="Calibri" w:hAnsi="Calibri"/>
                <w:color w:val="263238"/>
                <w:sz w:val="18"/>
              </w:rPr>
              <w:t>SEC application identity and contact email</w:t>
            </w:r>
          </w:p>
        </w:tc>
      </w:tr>
      <w:tr>
        <w:trPr>
          <w:cantSplit w:val="true"/>
        </w:trPr>
        <w:tc>
          <w:tcPr>
            <w:tcW w:type="dxa" w:w="3240"/>
            <w:vAlign w:val="center"/>
            <w:tcMar>
              <w:top w:w="80" w:type="dxa"/>
              <w:start w:w="120" w:type="dxa"/>
              <w:bottom w:w="80" w:type="dxa"/>
              <w:end w:w="120" w:type="dxa"/>
            </w:tcMar>
          </w:tcPr>
          <w:p>
            <w:pPr>
              <w:spacing w:after="0"/>
              <w:jc w:val="left"/>
            </w:pPr>
            <w:r>
              <w:rPr>
                <w:rFonts w:ascii="Calibri" w:hAnsi="Calibri"/>
                <w:color w:val="263238"/>
                <w:sz w:val="18"/>
              </w:rPr>
              <w:t>PORT</w:t>
            </w:r>
          </w:p>
        </w:tc>
        <w:tc>
          <w:tcPr>
            <w:tcW w:type="dxa" w:w="6120"/>
            <w:vAlign w:val="center"/>
            <w:tcMar>
              <w:top w:w="80" w:type="dxa"/>
              <w:start w:w="120" w:type="dxa"/>
              <w:bottom w:w="80" w:type="dxa"/>
              <w:end w:w="120" w:type="dxa"/>
            </w:tcMar>
          </w:tcPr>
          <w:p>
            <w:pPr>
              <w:spacing w:after="0"/>
              <w:jc w:val="left"/>
            </w:pPr>
            <w:r>
              <w:rPr>
                <w:rFonts w:ascii="Calibri" w:hAnsi="Calibri"/>
                <w:color w:val="263238"/>
                <w:sz w:val="18"/>
              </w:rPr>
              <w:t>Render-provided web service port</w:t>
            </w:r>
          </w:p>
        </w:tc>
      </w:tr>
    </w:tbl>
    <w:p>
      <w:pPr>
        <w:spacing w:before="80" w:after="80"/>
      </w:pPr>
    </w:p>
    <w:p>
      <w:pPr>
        <w:jc w:val="both"/>
      </w:pPr>
      <w:r>
        <w:rPr>
          <w:rFonts w:ascii="Calibri" w:hAnsi="Calibri"/>
          <w:color w:val="263238"/>
          <w:sz w:val="22"/>
        </w:rPr>
        <w:t>The current Render Free service has ephemeral storage and can spin down after inactivity. Bootstrap assets make the demonstration reproducible after restart. Production deployment should move durable vectors and app state to managed storage such as Supabase pgvector/object storage or a paid persistent disk.</w:t>
      </w:r>
    </w:p>
    <w:p>
      <w:r>
        <w:br w:type="page"/>
      </w:r>
    </w:p>
    <w:p>
      <w:pPr>
        <w:pStyle w:val="Heading1"/>
        <w:spacing w:before="0" w:after="80"/>
      </w:pPr>
      <w:r>
        <w:rPr>
          <w:rFonts w:ascii="Calibri" w:hAnsi="Calibri"/>
          <w:b/>
          <w:color w:val="16324F"/>
          <w:sz w:val="44"/>
        </w:rPr>
        <w:t>12. Testing, Verification, and Application Complexity</w:t>
      </w:r>
    </w:p>
    <w:tbl>
      <w:tblPr>
        <w:tblStyle w:val="TableGrid"/>
        <w:tblW w:type="dxa" w:w="9360"/>
        <w:tblLayout w:type="fixed"/>
        <w:tblLook w:firstColumn="1" w:firstRow="1" w:lastColumn="0" w:lastRow="0" w:noHBand="0" w:noVBand="1" w:val="04A0"/>
        <w:jc w:val="left"/>
        <w:tblInd w:w="120" w:type="dxa"/>
      </w:tblPr>
      <w:tblGrid>
        <w:gridCol w:w="2880"/>
        <w:gridCol w:w="6480"/>
      </w:tblGrid>
      <w:tr>
        <w:trPr>
          <w:tblHeader w:val="true"/>
        </w:trPr>
        <w:tc>
          <w:tcPr>
            <w:tcW w:type="dxa" w:w="2880"/>
            <w:tcMar>
              <w:top w:w="80" w:type="dxa"/>
              <w:start w:w="120" w:type="dxa"/>
              <w:bottom w:w="80" w:type="dxa"/>
              <w:end w:w="120" w:type="dxa"/>
            </w:tcMar>
            <w:shd w:fill="EEF3F5"/>
            <w:vAlign w:val="center"/>
          </w:tcPr>
          <w:p>
            <w:pPr>
              <w:spacing w:after="0"/>
              <w:jc w:val="center"/>
            </w:pPr>
            <w:r>
              <w:rPr>
                <w:rFonts w:ascii="Calibri" w:hAnsi="Calibri"/>
                <w:b/>
                <w:color w:val="16324F"/>
                <w:sz w:val="19"/>
              </w:rPr>
              <w:t>Verification area</w:t>
            </w:r>
          </w:p>
        </w:tc>
        <w:tc>
          <w:tcPr>
            <w:tcW w:type="dxa" w:w="6480"/>
            <w:tcMar>
              <w:top w:w="80" w:type="dxa"/>
              <w:start w:w="120" w:type="dxa"/>
              <w:bottom w:w="80" w:type="dxa"/>
              <w:end w:w="120" w:type="dxa"/>
            </w:tcMar>
            <w:shd w:fill="EEF3F5"/>
            <w:vAlign w:val="center"/>
          </w:tcPr>
          <w:p>
            <w:pPr>
              <w:spacing w:after="0"/>
              <w:jc w:val="center"/>
            </w:pPr>
            <w:r>
              <w:rPr>
                <w:rFonts w:ascii="Calibri" w:hAnsi="Calibri"/>
                <w:b/>
                <w:color w:val="16324F"/>
                <w:sz w:val="19"/>
              </w:rPr>
              <w:t>Current evidence</w:t>
            </w:r>
          </w:p>
        </w:tc>
      </w:tr>
      <w:tr>
        <w:trPr>
          <w:cantSplit w:val="true"/>
        </w:trPr>
        <w:tc>
          <w:tcPr>
            <w:tcW w:type="dxa" w:w="2880"/>
            <w:vAlign w:val="center"/>
            <w:tcMar>
              <w:top w:w="80" w:type="dxa"/>
              <w:start w:w="120" w:type="dxa"/>
              <w:bottom w:w="80" w:type="dxa"/>
              <w:end w:w="120" w:type="dxa"/>
            </w:tcMar>
          </w:tcPr>
          <w:p>
            <w:pPr>
              <w:spacing w:after="0"/>
              <w:jc w:val="left"/>
            </w:pPr>
            <w:r>
              <w:rPr>
                <w:rFonts w:ascii="Calibri" w:hAnsi="Calibri"/>
                <w:color w:val="263238"/>
                <w:sz w:val="18"/>
              </w:rPr>
              <w:t>Automated suite</w:t>
            </w:r>
          </w:p>
        </w:tc>
        <w:tc>
          <w:tcPr>
            <w:tcW w:type="dxa" w:w="6480"/>
            <w:vAlign w:val="center"/>
            <w:tcMar>
              <w:top w:w="80" w:type="dxa"/>
              <w:start w:w="120" w:type="dxa"/>
              <w:bottom w:w="80" w:type="dxa"/>
              <w:end w:w="120" w:type="dxa"/>
            </w:tcMar>
          </w:tcPr>
          <w:p>
            <w:pPr>
              <w:spacing w:after="0"/>
              <w:jc w:val="left"/>
            </w:pPr>
            <w:r>
              <w:rPr>
                <w:rFonts w:ascii="Calibri" w:hAnsi="Calibri"/>
                <w:color w:val="263238"/>
                <w:sz w:val="18"/>
              </w:rPr>
              <w:t>14 pytest tests passing</w:t>
            </w:r>
          </w:p>
        </w:tc>
      </w:tr>
      <w:tr>
        <w:trPr>
          <w:cantSplit w:val="true"/>
        </w:trPr>
        <w:tc>
          <w:tcPr>
            <w:tcW w:type="dxa" w:w="2880"/>
            <w:vAlign w:val="center"/>
            <w:tcMar>
              <w:top w:w="80" w:type="dxa"/>
              <w:start w:w="120" w:type="dxa"/>
              <w:bottom w:w="80" w:type="dxa"/>
              <w:end w:w="120" w:type="dxa"/>
            </w:tcMar>
          </w:tcPr>
          <w:p>
            <w:pPr>
              <w:spacing w:after="0"/>
              <w:jc w:val="left"/>
            </w:pPr>
            <w:r>
              <w:rPr>
                <w:rFonts w:ascii="Calibri" w:hAnsi="Calibri"/>
                <w:color w:val="263238"/>
                <w:sz w:val="18"/>
              </w:rPr>
              <w:t>Setup verification</w:t>
            </w:r>
          </w:p>
        </w:tc>
        <w:tc>
          <w:tcPr>
            <w:tcW w:type="dxa" w:w="6480"/>
            <w:vAlign w:val="center"/>
            <w:tcMar>
              <w:top w:w="80" w:type="dxa"/>
              <w:start w:w="120" w:type="dxa"/>
              <w:bottom w:w="80" w:type="dxa"/>
              <w:end w:w="120" w:type="dxa"/>
            </w:tcMar>
          </w:tcPr>
          <w:p>
            <w:pPr>
              <w:spacing w:after="0"/>
              <w:jc w:val="left"/>
            </w:pPr>
            <w:r>
              <w:rPr>
                <w:rFonts w:ascii="Calibri" w:hAnsi="Calibri"/>
                <w:color w:val="263238"/>
                <w:sz w:val="18"/>
              </w:rPr>
              <w:t>Imports, files, cached assets, feature engineering: 5/5</w:t>
            </w:r>
          </w:p>
        </w:tc>
      </w:tr>
      <w:tr>
        <w:trPr>
          <w:cantSplit w:val="true"/>
        </w:trPr>
        <w:tc>
          <w:tcPr>
            <w:tcW w:type="dxa" w:w="2880"/>
            <w:vAlign w:val="center"/>
            <w:tcMar>
              <w:top w:w="80" w:type="dxa"/>
              <w:start w:w="120" w:type="dxa"/>
              <w:bottom w:w="80" w:type="dxa"/>
              <w:end w:w="120" w:type="dxa"/>
            </w:tcMar>
          </w:tcPr>
          <w:p>
            <w:pPr>
              <w:spacing w:after="0"/>
              <w:jc w:val="left"/>
            </w:pPr>
            <w:r>
              <w:rPr>
                <w:rFonts w:ascii="Calibri" w:hAnsi="Calibri"/>
                <w:color w:val="263238"/>
                <w:sz w:val="18"/>
              </w:rPr>
              <w:t>Live market pilot</w:t>
            </w:r>
          </w:p>
        </w:tc>
        <w:tc>
          <w:tcPr>
            <w:tcW w:type="dxa" w:w="6480"/>
            <w:vAlign w:val="center"/>
            <w:tcMar>
              <w:top w:w="80" w:type="dxa"/>
              <w:start w:w="120" w:type="dxa"/>
              <w:bottom w:w="80" w:type="dxa"/>
              <w:end w:w="120" w:type="dxa"/>
            </w:tcMar>
          </w:tcPr>
          <w:p>
            <w:pPr>
              <w:spacing w:after="0"/>
              <w:jc w:val="left"/>
            </w:pPr>
            <w:r>
              <w:rPr>
                <w:rFonts w:ascii="Calibri" w:hAnsi="Calibri"/>
                <w:color w:val="263238"/>
                <w:sz w:val="18"/>
              </w:rPr>
              <w:t>20 tickers, prices and fundamentals, no failed tickers</w:t>
            </w:r>
          </w:p>
        </w:tc>
      </w:tr>
      <w:tr>
        <w:trPr>
          <w:cantSplit w:val="true"/>
        </w:trPr>
        <w:tc>
          <w:tcPr>
            <w:tcW w:type="dxa" w:w="2880"/>
            <w:vAlign w:val="center"/>
            <w:tcMar>
              <w:top w:w="80" w:type="dxa"/>
              <w:start w:w="120" w:type="dxa"/>
              <w:bottom w:w="80" w:type="dxa"/>
              <w:end w:w="120" w:type="dxa"/>
            </w:tcMar>
          </w:tcPr>
          <w:p>
            <w:pPr>
              <w:spacing w:after="0"/>
              <w:jc w:val="left"/>
            </w:pPr>
            <w:r>
              <w:rPr>
                <w:rFonts w:ascii="Calibri" w:hAnsi="Calibri"/>
                <w:color w:val="263238"/>
                <w:sz w:val="18"/>
              </w:rPr>
              <w:t>Model provenance</w:t>
            </w:r>
          </w:p>
        </w:tc>
        <w:tc>
          <w:tcPr>
            <w:tcW w:type="dxa" w:w="6480"/>
            <w:vAlign w:val="center"/>
            <w:tcMar>
              <w:top w:w="80" w:type="dxa"/>
              <w:start w:w="120" w:type="dxa"/>
              <w:bottom w:w="80" w:type="dxa"/>
              <w:end w:w="120" w:type="dxa"/>
            </w:tcMar>
          </w:tcPr>
          <w:p>
            <w:pPr>
              <w:spacing w:after="0"/>
              <w:jc w:val="left"/>
            </w:pPr>
            <w:r>
              <w:rPr>
                <w:rFonts w:ascii="Calibri" w:hAnsi="Calibri"/>
                <w:color w:val="263238"/>
                <w:sz w:val="18"/>
              </w:rPr>
              <w:t>real_yfinance_ohlcv in metrics and API summary</w:t>
            </w:r>
          </w:p>
        </w:tc>
      </w:tr>
      <w:tr>
        <w:trPr>
          <w:cantSplit w:val="true"/>
        </w:trPr>
        <w:tc>
          <w:tcPr>
            <w:tcW w:type="dxa" w:w="2880"/>
            <w:vAlign w:val="center"/>
            <w:tcMar>
              <w:top w:w="80" w:type="dxa"/>
              <w:start w:w="120" w:type="dxa"/>
              <w:bottom w:w="80" w:type="dxa"/>
              <w:end w:w="120" w:type="dxa"/>
            </w:tcMar>
          </w:tcPr>
          <w:p>
            <w:pPr>
              <w:spacing w:after="0"/>
              <w:jc w:val="left"/>
            </w:pPr>
            <w:r>
              <w:rPr>
                <w:rFonts w:ascii="Calibri" w:hAnsi="Calibri"/>
                <w:color w:val="263238"/>
                <w:sz w:val="18"/>
              </w:rPr>
              <w:t>RAG query</w:t>
            </w:r>
          </w:p>
        </w:tc>
        <w:tc>
          <w:tcPr>
            <w:tcW w:type="dxa" w:w="6480"/>
            <w:vAlign w:val="center"/>
            <w:tcMar>
              <w:top w:w="80" w:type="dxa"/>
              <w:start w:w="120" w:type="dxa"/>
              <w:bottom w:w="80" w:type="dxa"/>
              <w:end w:w="120" w:type="dxa"/>
            </w:tcMar>
          </w:tcPr>
          <w:p>
            <w:pPr>
              <w:spacing w:after="0"/>
              <w:jc w:val="left"/>
            </w:pPr>
            <w:r>
              <w:rPr>
                <w:rFonts w:ascii="Calibri" w:hAnsi="Calibri"/>
                <w:color w:val="263238"/>
                <w:sz w:val="18"/>
              </w:rPr>
              <w:t>Persistent Chroma retrieval with component scores and citations</w:t>
            </w:r>
          </w:p>
        </w:tc>
      </w:tr>
      <w:tr>
        <w:trPr>
          <w:cantSplit w:val="true"/>
        </w:trPr>
        <w:tc>
          <w:tcPr>
            <w:tcW w:type="dxa" w:w="2880"/>
            <w:vAlign w:val="center"/>
            <w:tcMar>
              <w:top w:w="80" w:type="dxa"/>
              <w:start w:w="120" w:type="dxa"/>
              <w:bottom w:w="80" w:type="dxa"/>
              <w:end w:w="120" w:type="dxa"/>
            </w:tcMar>
          </w:tcPr>
          <w:p>
            <w:pPr>
              <w:spacing w:after="0"/>
              <w:jc w:val="left"/>
            </w:pPr>
            <w:r>
              <w:rPr>
                <w:rFonts w:ascii="Calibri" w:hAnsi="Calibri"/>
                <w:color w:val="263238"/>
                <w:sz w:val="18"/>
              </w:rPr>
              <w:t>Agent smoke test</w:t>
            </w:r>
          </w:p>
        </w:tc>
        <w:tc>
          <w:tcPr>
            <w:tcW w:type="dxa" w:w="6480"/>
            <w:vAlign w:val="center"/>
            <w:tcMar>
              <w:top w:w="80" w:type="dxa"/>
              <w:start w:w="120" w:type="dxa"/>
              <w:bottom w:w="80" w:type="dxa"/>
              <w:end w:w="120" w:type="dxa"/>
            </w:tcMar>
          </w:tcPr>
          <w:p>
            <w:pPr>
              <w:spacing w:after="0"/>
              <w:jc w:val="left"/>
            </w:pPr>
            <w:r>
              <w:rPr>
                <w:rFonts w:ascii="Calibri" w:hAnsi="Calibri"/>
                <w:color w:val="263238"/>
                <w:sz w:val="18"/>
              </w:rPr>
              <w:t>Risk/forecast agents select real_market_trained_model</w:t>
            </w:r>
          </w:p>
        </w:tc>
      </w:tr>
      <w:tr>
        <w:trPr>
          <w:cantSplit w:val="true"/>
        </w:trPr>
        <w:tc>
          <w:tcPr>
            <w:tcW w:type="dxa" w:w="2880"/>
            <w:vAlign w:val="center"/>
            <w:tcMar>
              <w:top w:w="80" w:type="dxa"/>
              <w:start w:w="120" w:type="dxa"/>
              <w:bottom w:w="80" w:type="dxa"/>
              <w:end w:w="120" w:type="dxa"/>
            </w:tcMar>
          </w:tcPr>
          <w:p>
            <w:pPr>
              <w:spacing w:after="0"/>
              <w:jc w:val="left"/>
            </w:pPr>
            <w:r>
              <w:rPr>
                <w:rFonts w:ascii="Calibri" w:hAnsi="Calibri"/>
                <w:color w:val="263238"/>
                <w:sz w:val="18"/>
              </w:rPr>
              <w:t>HTTP/API</w:t>
            </w:r>
          </w:p>
        </w:tc>
        <w:tc>
          <w:tcPr>
            <w:tcW w:type="dxa" w:w="6480"/>
            <w:vAlign w:val="center"/>
            <w:tcMar>
              <w:top w:w="80" w:type="dxa"/>
              <w:start w:w="120" w:type="dxa"/>
              <w:bottom w:w="80" w:type="dxa"/>
              <w:end w:w="120" w:type="dxa"/>
            </w:tcMar>
          </w:tcPr>
          <w:p>
            <w:pPr>
              <w:spacing w:after="0"/>
              <w:jc w:val="left"/>
            </w:pPr>
            <w:r>
              <w:rPr>
                <w:rFonts w:ascii="Calibri" w:hAnsi="Calibri"/>
                <w:color w:val="263238"/>
                <w:sz w:val="18"/>
              </w:rPr>
              <w:t>Health ok and summary counts verified locally</w:t>
            </w:r>
          </w:p>
        </w:tc>
      </w:tr>
      <w:tr>
        <w:trPr>
          <w:cantSplit w:val="true"/>
        </w:trPr>
        <w:tc>
          <w:tcPr>
            <w:tcW w:type="dxa" w:w="2880"/>
            <w:vAlign w:val="center"/>
            <w:tcMar>
              <w:top w:w="80" w:type="dxa"/>
              <w:start w:w="120" w:type="dxa"/>
              <w:bottom w:w="80" w:type="dxa"/>
              <w:end w:w="120" w:type="dxa"/>
            </w:tcMar>
          </w:tcPr>
          <w:p>
            <w:pPr>
              <w:spacing w:after="0"/>
              <w:jc w:val="left"/>
            </w:pPr>
            <w:r>
              <w:rPr>
                <w:rFonts w:ascii="Calibri" w:hAnsi="Calibri"/>
                <w:color w:val="263238"/>
                <w:sz w:val="18"/>
              </w:rPr>
              <w:t>Git</w:t>
            </w:r>
          </w:p>
        </w:tc>
        <w:tc>
          <w:tcPr>
            <w:tcW w:type="dxa" w:w="6480"/>
            <w:vAlign w:val="center"/>
            <w:tcMar>
              <w:top w:w="80" w:type="dxa"/>
              <w:start w:w="120" w:type="dxa"/>
              <w:bottom w:w="80" w:type="dxa"/>
              <w:end w:w="120" w:type="dxa"/>
            </w:tcMar>
          </w:tcPr>
          <w:p>
            <w:pPr>
              <w:spacing w:after="0"/>
              <w:jc w:val="left"/>
            </w:pPr>
            <w:r>
              <w:rPr>
                <w:rFonts w:ascii="Calibri" w:hAnsi="Calibri"/>
                <w:color w:val="263238"/>
                <w:sz w:val="18"/>
              </w:rPr>
              <w:t>Clean main branch synchronized with GitHub</w:t>
            </w:r>
          </w:p>
        </w:tc>
      </w:tr>
    </w:tbl>
    <w:p>
      <w:pPr>
        <w:spacing w:before="80" w:after="80"/>
      </w:pPr>
    </w:p>
    <w:p>
      <w:pPr>
        <w:pStyle w:val="Heading2"/>
      </w:pPr>
      <w:r>
        <w:t>Why this application is technically complex</w:t>
      </w:r>
    </w:p>
    <w:p>
      <w:pPr>
        <w:pStyle w:val="ListBullet"/>
      </w:pPr>
      <w:r>
        <w:rPr>
          <w:rFonts w:ascii="Calibri" w:hAnsi="Calibri"/>
          <w:color w:val="263238"/>
          <w:sz w:val="22"/>
        </w:rPr>
        <w:t>Heterogeneous structured and unstructured data with separate freshness and quality constraints.</w:t>
      </w:r>
    </w:p>
    <w:p>
      <w:pPr>
        <w:pStyle w:val="ListBullet"/>
      </w:pPr>
      <w:r>
        <w:rPr>
          <w:rFonts w:ascii="Calibri" w:hAnsi="Calibri"/>
          <w:color w:val="263238"/>
          <w:sz w:val="22"/>
        </w:rPr>
        <w:t>Rolling time-series features and future outcome labels with leakage prevention.</w:t>
      </w:r>
    </w:p>
    <w:p>
      <w:pPr>
        <w:pStyle w:val="ListBullet"/>
      </w:pPr>
      <w:r>
        <w:rPr>
          <w:rFonts w:ascii="Calibri" w:hAnsi="Calibri"/>
          <w:color w:val="263238"/>
          <w:sz w:val="22"/>
        </w:rPr>
        <w:t>Persistent vector retrieval plus lexical and metadata reranking.</w:t>
      </w:r>
    </w:p>
    <w:p>
      <w:pPr>
        <w:pStyle w:val="ListBullet"/>
      </w:pPr>
      <w:r>
        <w:rPr>
          <w:rFonts w:ascii="Calibri" w:hAnsi="Calibri"/>
          <w:color w:val="263238"/>
          <w:sz w:val="22"/>
        </w:rPr>
        <w:t>Multiple agent outputs coordinated through typed result contracts.</w:t>
      </w:r>
    </w:p>
    <w:p>
      <w:pPr>
        <w:pStyle w:val="ListBullet"/>
      </w:pPr>
      <w:r>
        <w:rPr>
          <w:rFonts w:ascii="Calibri" w:hAnsi="Calibri"/>
          <w:color w:val="263238"/>
          <w:sz w:val="22"/>
        </w:rPr>
        <w:t>Model artifact loading, probability confidence, and fallback behavior.</w:t>
      </w:r>
    </w:p>
    <w:p>
      <w:pPr>
        <w:pStyle w:val="ListBullet"/>
      </w:pPr>
      <w:r>
        <w:rPr>
          <w:rFonts w:ascii="Calibri" w:hAnsi="Calibri"/>
          <w:color w:val="263238"/>
          <w:sz w:val="22"/>
        </w:rPr>
        <w:t>One codebase for local development, Docker, and cloud execution.</w:t>
      </w:r>
    </w:p>
    <w:p>
      <w:pPr>
        <w:pStyle w:val="ListBullet"/>
      </w:pPr>
      <w:r>
        <w:rPr>
          <w:rFonts w:ascii="Calibri" w:hAnsi="Calibri"/>
          <w:color w:val="263238"/>
          <w:sz w:val="22"/>
        </w:rPr>
        <w:t>Traceable outputs spanning CSV, JSON, Markdown, browser UI, and API responses.</w:t>
      </w:r>
    </w:p>
    <w:tbl>
      <w:tblPr>
        <w:tblW w:type="dxa" w:w="9360"/>
        <w:tblLayout w:type="fixed"/>
        <w:tblLook w:firstColumn="1" w:firstRow="1" w:lastColumn="0" w:lastRow="0" w:noHBand="0" w:noVBand="1" w:val="04A0"/>
        <w:jc w:val="left"/>
        <w:tblInd w:w="120" w:type="dxa"/>
      </w:tblPr>
      <w:tblGrid>
        <w:gridCol w:w="9360"/>
      </w:tblGrid>
      <w:tr>
        <w:tc>
          <w:tcPr>
            <w:tcW w:type="dxa" w:w="9360"/>
            <w:tcMar>
              <w:top w:w="80" w:type="dxa"/>
              <w:start w:w="120" w:type="dxa"/>
              <w:bottom w:w="80" w:type="dxa"/>
              <w:end w:w="120" w:type="dxa"/>
            </w:tcMar>
            <w:shd w:fill="EEF3F5"/>
            <w:vAlign w:val="center"/>
          </w:tcPr>
          <w:p>
            <w:pPr>
              <w:spacing w:before="60" w:after="60"/>
            </w:pPr>
            <w:r>
              <w:rPr>
                <w:rFonts w:ascii="Calibri" w:hAnsi="Calibri"/>
                <w:b/>
                <w:color w:val="A33A3A"/>
                <w:sz w:val="21"/>
              </w:rPr>
              <w:t xml:space="preserve">Quality position: </w:t>
            </w:r>
            <w:r>
              <w:rPr>
                <w:rFonts w:ascii="Calibri" w:hAnsi="Calibri"/>
                <w:color w:val="263238"/>
                <w:sz w:val="21"/>
              </w:rPr>
              <w:t>Passing tests prove selected contracts, not investment profitability. Retrieval benchmarks, model calibration, security testing, and production monitoring remain separate acceptance gates.</w:t>
            </w:r>
          </w:p>
        </w:tc>
      </w:tr>
    </w:tbl>
    <w:p>
      <w:pPr>
        <w:spacing w:after="0"/>
      </w:pPr>
    </w:p>
    <w:p>
      <w:r>
        <w:br w:type="page"/>
      </w:r>
    </w:p>
    <w:p>
      <w:pPr>
        <w:pStyle w:val="Heading1"/>
        <w:spacing w:before="0" w:after="80"/>
      </w:pPr>
      <w:r>
        <w:rPr>
          <w:rFonts w:ascii="Calibri" w:hAnsi="Calibri"/>
          <w:b/>
          <w:color w:val="16324F"/>
          <w:sz w:val="44"/>
        </w:rPr>
        <w:t>13. Known Limitations and Responsible Use</w:t>
      </w:r>
    </w:p>
    <w:tbl>
      <w:tblPr>
        <w:tblStyle w:val="TableGrid"/>
        <w:tblW w:type="dxa" w:w="9360"/>
        <w:tblLayout w:type="fixed"/>
        <w:tblLook w:firstColumn="1" w:firstRow="1" w:lastColumn="0" w:lastRow="0" w:noHBand="0" w:noVBand="1" w:val="04A0"/>
        <w:jc w:val="left"/>
        <w:tblInd w:w="120" w:type="dxa"/>
      </w:tblPr>
      <w:tblGrid>
        <w:gridCol w:w="2448"/>
        <w:gridCol w:w="3240"/>
        <w:gridCol w:w="3672"/>
      </w:tblGrid>
      <w:tr>
        <w:trPr>
          <w:tblHeader w:val="true"/>
        </w:trPr>
        <w:tc>
          <w:tcPr>
            <w:tcW w:type="dxa" w:w="2448"/>
            <w:tcMar>
              <w:top w:w="80" w:type="dxa"/>
              <w:start w:w="120" w:type="dxa"/>
              <w:bottom w:w="80" w:type="dxa"/>
              <w:end w:w="120" w:type="dxa"/>
            </w:tcMar>
            <w:shd w:fill="EEF3F5"/>
            <w:vAlign w:val="center"/>
          </w:tcPr>
          <w:p>
            <w:pPr>
              <w:spacing w:after="0"/>
              <w:jc w:val="center"/>
            </w:pPr>
            <w:r>
              <w:rPr>
                <w:rFonts w:ascii="Calibri" w:hAnsi="Calibri"/>
                <w:b/>
                <w:color w:val="16324F"/>
                <w:sz w:val="19"/>
              </w:rPr>
              <w:t>Limitation</w:t>
            </w:r>
          </w:p>
        </w:tc>
        <w:tc>
          <w:tcPr>
            <w:tcW w:type="dxa" w:w="3240"/>
            <w:tcMar>
              <w:top w:w="80" w:type="dxa"/>
              <w:start w:w="120" w:type="dxa"/>
              <w:bottom w:w="80" w:type="dxa"/>
              <w:end w:w="120" w:type="dxa"/>
            </w:tcMar>
            <w:shd w:fill="EEF3F5"/>
            <w:vAlign w:val="center"/>
          </w:tcPr>
          <w:p>
            <w:pPr>
              <w:spacing w:after="0"/>
              <w:jc w:val="center"/>
            </w:pPr>
            <w:r>
              <w:rPr>
                <w:rFonts w:ascii="Calibri" w:hAnsi="Calibri"/>
                <w:b/>
                <w:color w:val="16324F"/>
                <w:sz w:val="19"/>
              </w:rPr>
              <w:t>Impact</w:t>
            </w:r>
          </w:p>
        </w:tc>
        <w:tc>
          <w:tcPr>
            <w:tcW w:type="dxa" w:w="3672"/>
            <w:tcMar>
              <w:top w:w="80" w:type="dxa"/>
              <w:start w:w="120" w:type="dxa"/>
              <w:bottom w:w="80" w:type="dxa"/>
              <w:end w:w="120" w:type="dxa"/>
            </w:tcMar>
            <w:shd w:fill="EEF3F5"/>
            <w:vAlign w:val="center"/>
          </w:tcPr>
          <w:p>
            <w:pPr>
              <w:spacing w:after="0"/>
              <w:jc w:val="center"/>
            </w:pPr>
            <w:r>
              <w:rPr>
                <w:rFonts w:ascii="Calibri" w:hAnsi="Calibri"/>
                <w:b/>
                <w:color w:val="16324F"/>
                <w:sz w:val="19"/>
              </w:rPr>
              <w:t>Planned treatment</w:t>
            </w:r>
          </w:p>
        </w:tc>
      </w:tr>
      <w:tr>
        <w:trPr>
          <w:cantSplit w:val="true"/>
        </w:trPr>
        <w:tc>
          <w:tcPr>
            <w:tcW w:type="dxa" w:w="2448"/>
            <w:vAlign w:val="center"/>
            <w:tcMar>
              <w:top w:w="80" w:type="dxa"/>
              <w:start w:w="120" w:type="dxa"/>
              <w:bottom w:w="80" w:type="dxa"/>
              <w:end w:w="120" w:type="dxa"/>
            </w:tcMar>
          </w:tcPr>
          <w:p>
            <w:pPr>
              <w:spacing w:after="0"/>
              <w:jc w:val="center"/>
            </w:pPr>
            <w:r>
              <w:rPr>
                <w:rFonts w:ascii="Calibri" w:hAnsi="Calibri"/>
                <w:color w:val="263238"/>
                <w:sz w:val="18"/>
              </w:rPr>
              <w:t>Real cohort covers 20 companies</w:t>
            </w:r>
          </w:p>
        </w:tc>
        <w:tc>
          <w:tcPr>
            <w:tcW w:type="dxa" w:w="3240"/>
            <w:vAlign w:val="center"/>
            <w:tcMar>
              <w:top w:w="80" w:type="dxa"/>
              <w:start w:w="120" w:type="dxa"/>
              <w:bottom w:w="80" w:type="dxa"/>
              <w:end w:w="120" w:type="dxa"/>
            </w:tcMar>
          </w:tcPr>
          <w:p>
            <w:pPr>
              <w:spacing w:after="0"/>
              <w:jc w:val="left"/>
            </w:pPr>
            <w:r>
              <w:rPr>
                <w:rFonts w:ascii="Calibri" w:hAnsi="Calibri"/>
                <w:color w:val="263238"/>
                <w:sz w:val="18"/>
              </w:rPr>
              <w:t>Models do not represent the full 10K universe</w:t>
            </w:r>
          </w:p>
        </w:tc>
        <w:tc>
          <w:tcPr>
            <w:tcW w:type="dxa" w:w="3672"/>
            <w:vAlign w:val="center"/>
            <w:tcMar>
              <w:top w:w="80" w:type="dxa"/>
              <w:start w:w="120" w:type="dxa"/>
              <w:bottom w:w="80" w:type="dxa"/>
              <w:end w:w="120" w:type="dxa"/>
            </w:tcMar>
          </w:tcPr>
          <w:p>
            <w:pPr>
              <w:spacing w:after="0"/>
              <w:jc w:val="left"/>
            </w:pPr>
            <w:r>
              <w:rPr>
                <w:rFonts w:ascii="Calibri" w:hAnsi="Calibri"/>
                <w:color w:val="263238"/>
                <w:sz w:val="18"/>
              </w:rPr>
              <w:t>Expand with licensed, point-in-time data</w:t>
            </w:r>
          </w:p>
        </w:tc>
      </w:tr>
      <w:tr>
        <w:trPr>
          <w:cantSplit w:val="true"/>
        </w:trPr>
        <w:tc>
          <w:tcPr>
            <w:tcW w:type="dxa" w:w="2448"/>
            <w:vAlign w:val="center"/>
            <w:tcMar>
              <w:top w:w="80" w:type="dxa"/>
              <w:start w:w="120" w:type="dxa"/>
              <w:bottom w:w="80" w:type="dxa"/>
              <w:end w:w="120" w:type="dxa"/>
            </w:tcMar>
          </w:tcPr>
          <w:p>
            <w:pPr>
              <w:spacing w:after="0"/>
              <w:jc w:val="center"/>
            </w:pPr>
            <w:r>
              <w:rPr>
                <w:rFonts w:ascii="Calibri" w:hAnsi="Calibri"/>
                <w:color w:val="263238"/>
                <w:sz w:val="18"/>
              </w:rPr>
              <w:t>Forecast is below majority accuracy</w:t>
            </w:r>
          </w:p>
        </w:tc>
        <w:tc>
          <w:tcPr>
            <w:tcW w:type="dxa" w:w="3240"/>
            <w:vAlign w:val="center"/>
            <w:tcMar>
              <w:top w:w="80" w:type="dxa"/>
              <w:start w:w="120" w:type="dxa"/>
              <w:bottom w:w="80" w:type="dxa"/>
              <w:end w:w="120" w:type="dxa"/>
            </w:tcMar>
          </w:tcPr>
          <w:p>
            <w:pPr>
              <w:spacing w:after="0"/>
              <w:jc w:val="left"/>
            </w:pPr>
            <w:r>
              <w:rPr>
                <w:rFonts w:ascii="Calibri" w:hAnsi="Calibri"/>
                <w:color w:val="263238"/>
                <w:sz w:val="18"/>
              </w:rPr>
              <w:t>Direction signal is weak</w:t>
            </w:r>
          </w:p>
        </w:tc>
        <w:tc>
          <w:tcPr>
            <w:tcW w:type="dxa" w:w="3672"/>
            <w:vAlign w:val="center"/>
            <w:tcMar>
              <w:top w:w="80" w:type="dxa"/>
              <w:start w:w="120" w:type="dxa"/>
              <w:bottom w:w="80" w:type="dxa"/>
              <w:end w:w="120" w:type="dxa"/>
            </w:tcMar>
          </w:tcPr>
          <w:p>
            <w:pPr>
              <w:spacing w:after="0"/>
              <w:jc w:val="left"/>
            </w:pPr>
            <w:r>
              <w:rPr>
                <w:rFonts w:ascii="Calibri" w:hAnsi="Calibri"/>
                <w:color w:val="263238"/>
                <w:sz w:val="18"/>
              </w:rPr>
              <w:t>Walk-forward tuning and calibration</w:t>
            </w:r>
          </w:p>
        </w:tc>
      </w:tr>
      <w:tr>
        <w:trPr>
          <w:cantSplit w:val="true"/>
        </w:trPr>
        <w:tc>
          <w:tcPr>
            <w:tcW w:type="dxa" w:w="2448"/>
            <w:vAlign w:val="center"/>
            <w:tcMar>
              <w:top w:w="80" w:type="dxa"/>
              <w:start w:w="120" w:type="dxa"/>
              <w:bottom w:w="80" w:type="dxa"/>
              <w:end w:w="120" w:type="dxa"/>
            </w:tcMar>
          </w:tcPr>
          <w:p>
            <w:pPr>
              <w:spacing w:after="0"/>
              <w:jc w:val="center"/>
            </w:pPr>
            <w:r>
              <w:rPr>
                <w:rFonts w:ascii="Calibri" w:hAnsi="Calibri"/>
                <w:color w:val="263238"/>
                <w:sz w:val="18"/>
              </w:rPr>
              <w:t>Hashing embeddings</w:t>
            </w:r>
          </w:p>
        </w:tc>
        <w:tc>
          <w:tcPr>
            <w:tcW w:type="dxa" w:w="3240"/>
            <w:vAlign w:val="center"/>
            <w:tcMar>
              <w:top w:w="80" w:type="dxa"/>
              <w:start w:w="120" w:type="dxa"/>
              <w:bottom w:w="80" w:type="dxa"/>
              <w:end w:w="120" w:type="dxa"/>
            </w:tcMar>
          </w:tcPr>
          <w:p>
            <w:pPr>
              <w:spacing w:after="0"/>
              <w:jc w:val="left"/>
            </w:pPr>
            <w:r>
              <w:rPr>
                <w:rFonts w:ascii="Calibri" w:hAnsi="Calibri"/>
                <w:color w:val="263238"/>
                <w:sz w:val="18"/>
              </w:rPr>
              <w:t>Limited semantic understanding</w:t>
            </w:r>
          </w:p>
        </w:tc>
        <w:tc>
          <w:tcPr>
            <w:tcW w:type="dxa" w:w="3672"/>
            <w:vAlign w:val="center"/>
            <w:tcMar>
              <w:top w:w="80" w:type="dxa"/>
              <w:start w:w="120" w:type="dxa"/>
              <w:bottom w:w="80" w:type="dxa"/>
              <w:end w:w="120" w:type="dxa"/>
            </w:tcMar>
          </w:tcPr>
          <w:p>
            <w:pPr>
              <w:spacing w:after="0"/>
              <w:jc w:val="left"/>
            </w:pPr>
            <w:r>
              <w:rPr>
                <w:rFonts w:ascii="Calibri" w:hAnsi="Calibri"/>
                <w:color w:val="263238"/>
                <w:sz w:val="18"/>
              </w:rPr>
              <w:t>Evaluate finance-specific embeddings</w:t>
            </w:r>
          </w:p>
        </w:tc>
      </w:tr>
      <w:tr>
        <w:trPr>
          <w:cantSplit w:val="true"/>
        </w:trPr>
        <w:tc>
          <w:tcPr>
            <w:tcW w:type="dxa" w:w="2448"/>
            <w:vAlign w:val="center"/>
            <w:tcMar>
              <w:top w:w="80" w:type="dxa"/>
              <w:start w:w="120" w:type="dxa"/>
              <w:bottom w:w="80" w:type="dxa"/>
              <w:end w:w="120" w:type="dxa"/>
            </w:tcMar>
          </w:tcPr>
          <w:p>
            <w:pPr>
              <w:spacing w:after="0"/>
              <w:jc w:val="center"/>
            </w:pPr>
            <w:r>
              <w:rPr>
                <w:rFonts w:ascii="Calibri" w:hAnsi="Calibri"/>
                <w:color w:val="263238"/>
                <w:sz w:val="18"/>
              </w:rPr>
              <w:t>Sentiment is keyword/demo based</w:t>
            </w:r>
          </w:p>
        </w:tc>
        <w:tc>
          <w:tcPr>
            <w:tcW w:type="dxa" w:w="3240"/>
            <w:vAlign w:val="center"/>
            <w:tcMar>
              <w:top w:w="80" w:type="dxa"/>
              <w:start w:w="120" w:type="dxa"/>
              <w:bottom w:w="80" w:type="dxa"/>
              <w:end w:w="120" w:type="dxa"/>
            </w:tcMar>
          </w:tcPr>
          <w:p>
            <w:pPr>
              <w:spacing w:after="0"/>
              <w:jc w:val="left"/>
            </w:pPr>
            <w:r>
              <w:rPr>
                <w:rFonts w:ascii="Calibri" w:hAnsi="Calibri"/>
                <w:color w:val="263238"/>
                <w:sz w:val="18"/>
              </w:rPr>
              <w:t>Misses nuance and context</w:t>
            </w:r>
          </w:p>
        </w:tc>
        <w:tc>
          <w:tcPr>
            <w:tcW w:type="dxa" w:w="3672"/>
            <w:vAlign w:val="center"/>
            <w:tcMar>
              <w:top w:w="80" w:type="dxa"/>
              <w:start w:w="120" w:type="dxa"/>
              <w:bottom w:w="80" w:type="dxa"/>
              <w:end w:w="120" w:type="dxa"/>
            </w:tcMar>
          </w:tcPr>
          <w:p>
            <w:pPr>
              <w:spacing w:after="0"/>
              <w:jc w:val="left"/>
            </w:pPr>
            <w:r>
              <w:rPr>
                <w:rFonts w:ascii="Calibri" w:hAnsi="Calibri"/>
                <w:color w:val="263238"/>
                <w:sz w:val="18"/>
              </w:rPr>
              <w:t>FinBERT evaluation</w:t>
            </w:r>
          </w:p>
        </w:tc>
      </w:tr>
      <w:tr>
        <w:trPr>
          <w:cantSplit w:val="true"/>
        </w:trPr>
        <w:tc>
          <w:tcPr>
            <w:tcW w:type="dxa" w:w="2448"/>
            <w:vAlign w:val="center"/>
            <w:tcMar>
              <w:top w:w="80" w:type="dxa"/>
              <w:start w:w="120" w:type="dxa"/>
              <w:bottom w:w="80" w:type="dxa"/>
              <w:end w:w="120" w:type="dxa"/>
            </w:tcMar>
          </w:tcPr>
          <w:p>
            <w:pPr>
              <w:spacing w:after="0"/>
              <w:jc w:val="center"/>
            </w:pPr>
            <w:r>
              <w:rPr>
                <w:rFonts w:ascii="Calibri" w:hAnsi="Calibri"/>
                <w:color w:val="263238"/>
                <w:sz w:val="18"/>
              </w:rPr>
              <w:t>Free Render storage</w:t>
            </w:r>
          </w:p>
        </w:tc>
        <w:tc>
          <w:tcPr>
            <w:tcW w:type="dxa" w:w="3240"/>
            <w:vAlign w:val="center"/>
            <w:tcMar>
              <w:top w:w="80" w:type="dxa"/>
              <w:start w:w="120" w:type="dxa"/>
              <w:bottom w:w="80" w:type="dxa"/>
              <w:end w:w="120" w:type="dxa"/>
            </w:tcMar>
          </w:tcPr>
          <w:p>
            <w:pPr>
              <w:spacing w:after="0"/>
              <w:jc w:val="left"/>
            </w:pPr>
            <w:r>
              <w:rPr>
                <w:rFonts w:ascii="Calibri" w:hAnsi="Calibri"/>
                <w:color w:val="263238"/>
                <w:sz w:val="18"/>
              </w:rPr>
              <w:t>Runtime changes can disappear</w:t>
            </w:r>
          </w:p>
        </w:tc>
        <w:tc>
          <w:tcPr>
            <w:tcW w:type="dxa" w:w="3672"/>
            <w:vAlign w:val="center"/>
            <w:tcMar>
              <w:top w:w="80" w:type="dxa"/>
              <w:start w:w="120" w:type="dxa"/>
              <w:bottom w:w="80" w:type="dxa"/>
              <w:end w:w="120" w:type="dxa"/>
            </w:tcMar>
          </w:tcPr>
          <w:p>
            <w:pPr>
              <w:spacing w:after="0"/>
              <w:jc w:val="left"/>
            </w:pPr>
            <w:r>
              <w:rPr>
                <w:rFonts w:ascii="Calibri" w:hAnsi="Calibri"/>
                <w:color w:val="263238"/>
                <w:sz w:val="18"/>
              </w:rPr>
              <w:t>Supabase/pgvector or paid disk</w:t>
            </w:r>
          </w:p>
        </w:tc>
      </w:tr>
      <w:tr>
        <w:trPr>
          <w:cantSplit w:val="true"/>
        </w:trPr>
        <w:tc>
          <w:tcPr>
            <w:tcW w:type="dxa" w:w="2448"/>
            <w:vAlign w:val="center"/>
            <w:tcMar>
              <w:top w:w="80" w:type="dxa"/>
              <w:start w:w="120" w:type="dxa"/>
              <w:bottom w:w="80" w:type="dxa"/>
              <w:end w:w="120" w:type="dxa"/>
            </w:tcMar>
          </w:tcPr>
          <w:p>
            <w:pPr>
              <w:spacing w:after="0"/>
              <w:jc w:val="center"/>
            </w:pPr>
            <w:r>
              <w:rPr>
                <w:rFonts w:ascii="Calibri" w:hAnsi="Calibri"/>
                <w:color w:val="263238"/>
                <w:sz w:val="18"/>
              </w:rPr>
              <w:t>No authentication/rate limits</w:t>
            </w:r>
          </w:p>
        </w:tc>
        <w:tc>
          <w:tcPr>
            <w:tcW w:type="dxa" w:w="3240"/>
            <w:vAlign w:val="center"/>
            <w:tcMar>
              <w:top w:w="80" w:type="dxa"/>
              <w:start w:w="120" w:type="dxa"/>
              <w:bottom w:w="80" w:type="dxa"/>
              <w:end w:w="120" w:type="dxa"/>
            </w:tcMar>
          </w:tcPr>
          <w:p>
            <w:pPr>
              <w:spacing w:after="0"/>
              <w:jc w:val="left"/>
            </w:pPr>
            <w:r>
              <w:rPr>
                <w:rFonts w:ascii="Calibri" w:hAnsi="Calibri"/>
                <w:color w:val="263238"/>
                <w:sz w:val="18"/>
              </w:rPr>
              <w:t>Not safe for public production use</w:t>
            </w:r>
          </w:p>
        </w:tc>
        <w:tc>
          <w:tcPr>
            <w:tcW w:type="dxa" w:w="3672"/>
            <w:vAlign w:val="center"/>
            <w:tcMar>
              <w:top w:w="80" w:type="dxa"/>
              <w:start w:w="120" w:type="dxa"/>
              <w:bottom w:w="80" w:type="dxa"/>
              <w:end w:w="120" w:type="dxa"/>
            </w:tcMar>
          </w:tcPr>
          <w:p>
            <w:pPr>
              <w:spacing w:after="0"/>
              <w:jc w:val="left"/>
            </w:pPr>
            <w:r>
              <w:rPr>
                <w:rFonts w:ascii="Calibri" w:hAnsi="Calibri"/>
                <w:color w:val="263238"/>
                <w:sz w:val="18"/>
              </w:rPr>
              <w:t>Identity, authorization, quotas</w:t>
            </w:r>
          </w:p>
        </w:tc>
      </w:tr>
      <w:tr>
        <w:trPr>
          <w:cantSplit w:val="true"/>
        </w:trPr>
        <w:tc>
          <w:tcPr>
            <w:tcW w:type="dxa" w:w="2448"/>
            <w:vAlign w:val="center"/>
            <w:tcMar>
              <w:top w:w="80" w:type="dxa"/>
              <w:start w:w="120" w:type="dxa"/>
              <w:bottom w:w="80" w:type="dxa"/>
              <w:end w:w="120" w:type="dxa"/>
            </w:tcMar>
          </w:tcPr>
          <w:p>
            <w:pPr>
              <w:spacing w:after="0"/>
              <w:jc w:val="center"/>
            </w:pPr>
            <w:r>
              <w:rPr>
                <w:rFonts w:ascii="Calibri" w:hAnsi="Calibri"/>
                <w:color w:val="263238"/>
                <w:sz w:val="18"/>
              </w:rPr>
              <w:t>No retrieval benchmark</w:t>
            </w:r>
          </w:p>
        </w:tc>
        <w:tc>
          <w:tcPr>
            <w:tcW w:type="dxa" w:w="3240"/>
            <w:vAlign w:val="center"/>
            <w:tcMar>
              <w:top w:w="80" w:type="dxa"/>
              <w:start w:w="120" w:type="dxa"/>
              <w:bottom w:w="80" w:type="dxa"/>
              <w:end w:w="120" w:type="dxa"/>
            </w:tcMar>
          </w:tcPr>
          <w:p>
            <w:pPr>
              <w:spacing w:after="0"/>
              <w:jc w:val="left"/>
            </w:pPr>
            <w:r>
              <w:rPr>
                <w:rFonts w:ascii="Calibri" w:hAnsi="Calibri"/>
                <w:color w:val="263238"/>
                <w:sz w:val="18"/>
              </w:rPr>
              <w:t>Citation quality is not quantified</w:t>
            </w:r>
          </w:p>
        </w:tc>
        <w:tc>
          <w:tcPr>
            <w:tcW w:type="dxa" w:w="3672"/>
            <w:vAlign w:val="center"/>
            <w:tcMar>
              <w:top w:w="80" w:type="dxa"/>
              <w:start w:w="120" w:type="dxa"/>
              <w:bottom w:w="80" w:type="dxa"/>
              <w:end w:w="120" w:type="dxa"/>
            </w:tcMar>
          </w:tcPr>
          <w:p>
            <w:pPr>
              <w:spacing w:after="0"/>
              <w:jc w:val="left"/>
            </w:pPr>
            <w:r>
              <w:rPr>
                <w:rFonts w:ascii="Calibri" w:hAnsi="Calibri"/>
                <w:color w:val="263238"/>
                <w:sz w:val="18"/>
              </w:rPr>
              <w:t>FinanceBench/FinDER-style evaluation</w:t>
            </w:r>
          </w:p>
        </w:tc>
      </w:tr>
      <w:tr>
        <w:trPr>
          <w:cantSplit w:val="true"/>
        </w:trPr>
        <w:tc>
          <w:tcPr>
            <w:tcW w:type="dxa" w:w="2448"/>
            <w:vAlign w:val="center"/>
            <w:tcMar>
              <w:top w:w="80" w:type="dxa"/>
              <w:start w:w="120" w:type="dxa"/>
              <w:bottom w:w="80" w:type="dxa"/>
              <w:end w:w="120" w:type="dxa"/>
            </w:tcMar>
          </w:tcPr>
          <w:p>
            <w:pPr>
              <w:spacing w:after="0"/>
              <w:jc w:val="center"/>
            </w:pPr>
            <w:r>
              <w:rPr>
                <w:rFonts w:ascii="Calibri" w:hAnsi="Calibri"/>
                <w:color w:val="263238"/>
                <w:sz w:val="18"/>
              </w:rPr>
              <w:t>Educational recommendations</w:t>
            </w:r>
          </w:p>
        </w:tc>
        <w:tc>
          <w:tcPr>
            <w:tcW w:type="dxa" w:w="3240"/>
            <w:vAlign w:val="center"/>
            <w:tcMar>
              <w:top w:w="80" w:type="dxa"/>
              <w:start w:w="120" w:type="dxa"/>
              <w:bottom w:w="80" w:type="dxa"/>
              <w:end w:w="120" w:type="dxa"/>
            </w:tcMar>
          </w:tcPr>
          <w:p>
            <w:pPr>
              <w:spacing w:after="0"/>
              <w:jc w:val="left"/>
            </w:pPr>
            <w:r>
              <w:rPr>
                <w:rFonts w:ascii="Calibri" w:hAnsi="Calibri"/>
                <w:color w:val="263238"/>
                <w:sz w:val="18"/>
              </w:rPr>
              <w:t>Not suitable as financial advice</w:t>
            </w:r>
          </w:p>
        </w:tc>
        <w:tc>
          <w:tcPr>
            <w:tcW w:type="dxa" w:w="3672"/>
            <w:vAlign w:val="center"/>
            <w:tcMar>
              <w:top w:w="80" w:type="dxa"/>
              <w:start w:w="120" w:type="dxa"/>
              <w:bottom w:w="80" w:type="dxa"/>
              <w:end w:w="120" w:type="dxa"/>
            </w:tcMar>
          </w:tcPr>
          <w:p>
            <w:pPr>
              <w:spacing w:after="0"/>
              <w:jc w:val="left"/>
            </w:pPr>
            <w:r>
              <w:rPr>
                <w:rFonts w:ascii="Calibri" w:hAnsi="Calibri"/>
                <w:color w:val="263238"/>
                <w:sz w:val="18"/>
              </w:rPr>
              <w:t>Human review and compliance controls</w:t>
            </w:r>
          </w:p>
        </w:tc>
      </w:tr>
    </w:tbl>
    <w:p>
      <w:pPr>
        <w:spacing w:before="80" w:after="80"/>
      </w:pPr>
    </w:p>
    <w:p>
      <w:pPr>
        <w:jc w:val="both"/>
      </w:pPr>
      <w:r>
        <w:rPr>
          <w:rFonts w:ascii="Calibri" w:hAnsi="Calibri"/>
          <w:color w:val="263238"/>
          <w:sz w:val="22"/>
        </w:rPr>
        <w:t>The system separates facts from predictions wherever possible. A filing excerpt is source evidence; a risk class is a model output; a recommendation is a weighted decision-support result. These categories should not be presented as equally certain.</w:t>
      </w:r>
    </w:p>
    <w:tbl>
      <w:tblPr>
        <w:tblW w:type="dxa" w:w="9360"/>
        <w:tblLayout w:type="fixed"/>
        <w:tblLook w:firstColumn="1" w:firstRow="1" w:lastColumn="0" w:lastRow="0" w:noHBand="0" w:noVBand="1" w:val="04A0"/>
        <w:jc w:val="left"/>
        <w:tblInd w:w="120" w:type="dxa"/>
      </w:tblPr>
      <w:tblGrid>
        <w:gridCol w:w="9360"/>
      </w:tblGrid>
      <w:tr>
        <w:tc>
          <w:tcPr>
            <w:tcW w:type="dxa" w:w="9360"/>
            <w:tcMar>
              <w:top w:w="80" w:type="dxa"/>
              <w:start w:w="120" w:type="dxa"/>
              <w:bottom w:w="80" w:type="dxa"/>
              <w:end w:w="120" w:type="dxa"/>
            </w:tcMar>
            <w:shd w:fill="F7F1E5"/>
            <w:vAlign w:val="center"/>
          </w:tcPr>
          <w:p>
            <w:pPr>
              <w:spacing w:before="60" w:after="60"/>
            </w:pPr>
            <w:r>
              <w:rPr>
                <w:rFonts w:ascii="Calibri" w:hAnsi="Calibri"/>
                <w:b/>
                <w:color w:val="A33A3A"/>
                <w:sz w:val="21"/>
              </w:rPr>
              <w:t xml:space="preserve">Responsible-use rule: </w:t>
            </w:r>
            <w:r>
              <w:rPr>
                <w:rFonts w:ascii="Calibri" w:hAnsi="Calibri"/>
                <w:color w:val="263238"/>
                <w:sz w:val="21"/>
              </w:rPr>
              <w:t>A user should validate source documents, understand model uncertainty, and make the final investment decision. The application must not promise returns or replace regulated advice.</w:t>
            </w:r>
          </w:p>
        </w:tc>
      </w:tr>
    </w:tbl>
    <w:p>
      <w:pPr>
        <w:spacing w:after="0"/>
      </w:pPr>
    </w:p>
    <w:p>
      <w:r>
        <w:br w:type="page"/>
      </w:r>
    </w:p>
    <w:p>
      <w:pPr>
        <w:pStyle w:val="Heading1"/>
        <w:spacing w:before="0" w:after="80"/>
      </w:pPr>
      <w:r>
        <w:rPr>
          <w:rFonts w:ascii="Calibri" w:hAnsi="Calibri"/>
          <w:b/>
          <w:color w:val="16324F"/>
          <w:sz w:val="44"/>
        </w:rPr>
        <w:t>14. Phase 2 Roadmap and Startup Direction</w:t>
      </w:r>
    </w:p>
    <w:tbl>
      <w:tblPr>
        <w:tblStyle w:val="TableGrid"/>
        <w:tblW w:type="dxa" w:w="9360"/>
        <w:tblLayout w:type="fixed"/>
        <w:tblLook w:firstColumn="1" w:firstRow="1" w:lastColumn="0" w:lastRow="0" w:noHBand="0" w:noVBand="1" w:val="04A0"/>
        <w:jc w:val="left"/>
        <w:tblInd w:w="120" w:type="dxa"/>
      </w:tblPr>
      <w:tblGrid>
        <w:gridCol w:w="1728"/>
        <w:gridCol w:w="4320"/>
        <w:gridCol w:w="3312"/>
      </w:tblGrid>
      <w:tr>
        <w:trPr>
          <w:tblHeader w:val="true"/>
        </w:trPr>
        <w:tc>
          <w:tcPr>
            <w:tcW w:type="dxa" w:w="1728"/>
            <w:tcMar>
              <w:top w:w="80" w:type="dxa"/>
              <w:start w:w="120" w:type="dxa"/>
              <w:bottom w:w="80" w:type="dxa"/>
              <w:end w:w="120" w:type="dxa"/>
            </w:tcMar>
            <w:shd w:fill="EEF3F5"/>
            <w:vAlign w:val="center"/>
          </w:tcPr>
          <w:p>
            <w:pPr>
              <w:spacing w:after="0"/>
              <w:jc w:val="center"/>
            </w:pPr>
            <w:r>
              <w:rPr>
                <w:rFonts w:ascii="Calibri" w:hAnsi="Calibri"/>
                <w:b/>
                <w:color w:val="16324F"/>
                <w:sz w:val="19"/>
              </w:rPr>
              <w:t>Workstream</w:t>
            </w:r>
          </w:p>
        </w:tc>
        <w:tc>
          <w:tcPr>
            <w:tcW w:type="dxa" w:w="4320"/>
            <w:tcMar>
              <w:top w:w="80" w:type="dxa"/>
              <w:start w:w="120" w:type="dxa"/>
              <w:bottom w:w="80" w:type="dxa"/>
              <w:end w:w="120" w:type="dxa"/>
            </w:tcMar>
            <w:shd w:fill="EEF3F5"/>
            <w:vAlign w:val="center"/>
          </w:tcPr>
          <w:p>
            <w:pPr>
              <w:spacing w:after="0"/>
              <w:jc w:val="center"/>
            </w:pPr>
            <w:r>
              <w:rPr>
                <w:rFonts w:ascii="Calibri" w:hAnsi="Calibri"/>
                <w:b/>
                <w:color w:val="16324F"/>
                <w:sz w:val="19"/>
              </w:rPr>
              <w:t>Phase 2 improvement</w:t>
            </w:r>
          </w:p>
        </w:tc>
        <w:tc>
          <w:tcPr>
            <w:tcW w:type="dxa" w:w="3312"/>
            <w:tcMar>
              <w:top w:w="80" w:type="dxa"/>
              <w:start w:w="120" w:type="dxa"/>
              <w:bottom w:w="80" w:type="dxa"/>
              <w:end w:w="120" w:type="dxa"/>
            </w:tcMar>
            <w:shd w:fill="EEF3F5"/>
            <w:vAlign w:val="center"/>
          </w:tcPr>
          <w:p>
            <w:pPr>
              <w:spacing w:after="0"/>
              <w:jc w:val="center"/>
            </w:pPr>
            <w:r>
              <w:rPr>
                <w:rFonts w:ascii="Calibri" w:hAnsi="Calibri"/>
                <w:b/>
                <w:color w:val="16324F"/>
                <w:sz w:val="19"/>
              </w:rPr>
              <w:t>Expected value</w:t>
            </w:r>
          </w:p>
        </w:tc>
      </w:tr>
      <w:tr>
        <w:trPr>
          <w:cantSplit w:val="true"/>
        </w:trPr>
        <w:tc>
          <w:tcPr>
            <w:tcW w:type="dxa" w:w="1728"/>
            <w:vAlign w:val="center"/>
            <w:tcMar>
              <w:top w:w="80" w:type="dxa"/>
              <w:start w:w="120" w:type="dxa"/>
              <w:bottom w:w="80" w:type="dxa"/>
              <w:end w:w="120" w:type="dxa"/>
            </w:tcMar>
          </w:tcPr>
          <w:p>
            <w:pPr>
              <w:spacing w:after="0"/>
              <w:jc w:val="center"/>
            </w:pPr>
            <w:r>
              <w:rPr>
                <w:rFonts w:ascii="Calibri" w:hAnsi="Calibri"/>
                <w:color w:val="263238"/>
                <w:sz w:val="18"/>
              </w:rPr>
              <w:t>Data</w:t>
            </w:r>
          </w:p>
        </w:tc>
        <w:tc>
          <w:tcPr>
            <w:tcW w:type="dxa" w:w="4320"/>
            <w:vAlign w:val="center"/>
            <w:tcMar>
              <w:top w:w="80" w:type="dxa"/>
              <w:start w:w="120" w:type="dxa"/>
              <w:bottom w:w="80" w:type="dxa"/>
              <w:end w:w="120" w:type="dxa"/>
            </w:tcMar>
          </w:tcPr>
          <w:p>
            <w:pPr>
              <w:spacing w:after="0"/>
              <w:jc w:val="left"/>
            </w:pPr>
            <w:r>
              <w:rPr>
                <w:rFonts w:ascii="Calibri" w:hAnsi="Calibri"/>
                <w:color w:val="263238"/>
                <w:sz w:val="18"/>
              </w:rPr>
              <w:t>Licensed point-in-time prices, fundamentals, filings, news</w:t>
            </w:r>
          </w:p>
        </w:tc>
        <w:tc>
          <w:tcPr>
            <w:tcW w:type="dxa" w:w="3312"/>
            <w:vAlign w:val="center"/>
            <w:tcMar>
              <w:top w:w="80" w:type="dxa"/>
              <w:start w:w="120" w:type="dxa"/>
              <w:bottom w:w="80" w:type="dxa"/>
              <w:end w:w="120" w:type="dxa"/>
            </w:tcMar>
          </w:tcPr>
          <w:p>
            <w:pPr>
              <w:spacing w:after="0"/>
              <w:jc w:val="left"/>
            </w:pPr>
            <w:r>
              <w:rPr>
                <w:rFonts w:ascii="Calibri" w:hAnsi="Calibri"/>
                <w:color w:val="263238"/>
                <w:sz w:val="18"/>
              </w:rPr>
              <w:t>Coverage, freshness, reproducibility</w:t>
            </w:r>
          </w:p>
        </w:tc>
      </w:tr>
      <w:tr>
        <w:trPr>
          <w:cantSplit w:val="true"/>
        </w:trPr>
        <w:tc>
          <w:tcPr>
            <w:tcW w:type="dxa" w:w="1728"/>
            <w:vAlign w:val="center"/>
            <w:tcMar>
              <w:top w:w="80" w:type="dxa"/>
              <w:start w:w="120" w:type="dxa"/>
              <w:bottom w:w="80" w:type="dxa"/>
              <w:end w:w="120" w:type="dxa"/>
            </w:tcMar>
          </w:tcPr>
          <w:p>
            <w:pPr>
              <w:spacing w:after="0"/>
              <w:jc w:val="center"/>
            </w:pPr>
            <w:r>
              <w:rPr>
                <w:rFonts w:ascii="Calibri" w:hAnsi="Calibri"/>
                <w:color w:val="263238"/>
                <w:sz w:val="18"/>
              </w:rPr>
              <w:t>RAG</w:t>
            </w:r>
          </w:p>
        </w:tc>
        <w:tc>
          <w:tcPr>
            <w:tcW w:type="dxa" w:w="4320"/>
            <w:vAlign w:val="center"/>
            <w:tcMar>
              <w:top w:w="80" w:type="dxa"/>
              <w:start w:w="120" w:type="dxa"/>
              <w:bottom w:w="80" w:type="dxa"/>
              <w:end w:w="120" w:type="dxa"/>
            </w:tcMar>
          </w:tcPr>
          <w:p>
            <w:pPr>
              <w:spacing w:after="0"/>
              <w:jc w:val="left"/>
            </w:pPr>
            <w:r>
              <w:rPr>
                <w:rFonts w:ascii="Calibri" w:hAnsi="Calibri"/>
                <w:color w:val="263238"/>
                <w:sz w:val="18"/>
              </w:rPr>
              <w:t>Finance embeddings, table-aware chunking, retrieval evaluation</w:t>
            </w:r>
          </w:p>
        </w:tc>
        <w:tc>
          <w:tcPr>
            <w:tcW w:type="dxa" w:w="3312"/>
            <w:vAlign w:val="center"/>
            <w:tcMar>
              <w:top w:w="80" w:type="dxa"/>
              <w:start w:w="120" w:type="dxa"/>
              <w:bottom w:w="80" w:type="dxa"/>
              <w:end w:w="120" w:type="dxa"/>
            </w:tcMar>
          </w:tcPr>
          <w:p>
            <w:pPr>
              <w:spacing w:after="0"/>
              <w:jc w:val="left"/>
            </w:pPr>
            <w:r>
              <w:rPr>
                <w:rFonts w:ascii="Calibri" w:hAnsi="Calibri"/>
                <w:color w:val="263238"/>
                <w:sz w:val="18"/>
              </w:rPr>
              <w:t>Higher evidence precision</w:t>
            </w:r>
          </w:p>
        </w:tc>
      </w:tr>
      <w:tr>
        <w:trPr>
          <w:cantSplit w:val="true"/>
        </w:trPr>
        <w:tc>
          <w:tcPr>
            <w:tcW w:type="dxa" w:w="1728"/>
            <w:vAlign w:val="center"/>
            <w:tcMar>
              <w:top w:w="80" w:type="dxa"/>
              <w:start w:w="120" w:type="dxa"/>
              <w:bottom w:w="80" w:type="dxa"/>
              <w:end w:w="120" w:type="dxa"/>
            </w:tcMar>
          </w:tcPr>
          <w:p>
            <w:pPr>
              <w:spacing w:after="0"/>
              <w:jc w:val="center"/>
            </w:pPr>
            <w:r>
              <w:rPr>
                <w:rFonts w:ascii="Calibri" w:hAnsi="Calibri"/>
                <w:color w:val="263238"/>
                <w:sz w:val="18"/>
              </w:rPr>
              <w:t>Agents</w:t>
            </w:r>
          </w:p>
        </w:tc>
        <w:tc>
          <w:tcPr>
            <w:tcW w:type="dxa" w:w="4320"/>
            <w:vAlign w:val="center"/>
            <w:tcMar>
              <w:top w:w="80" w:type="dxa"/>
              <w:start w:w="120" w:type="dxa"/>
              <w:bottom w:w="80" w:type="dxa"/>
              <w:end w:w="120" w:type="dxa"/>
            </w:tcMar>
          </w:tcPr>
          <w:p>
            <w:pPr>
              <w:spacing w:after="0"/>
              <w:jc w:val="left"/>
            </w:pPr>
            <w:r>
              <w:rPr>
                <w:rFonts w:ascii="Calibri" w:hAnsi="Calibri"/>
                <w:color w:val="263238"/>
                <w:sz w:val="18"/>
              </w:rPr>
              <w:t>Adaptive routing, reliability scoring, contradiction checks</w:t>
            </w:r>
          </w:p>
        </w:tc>
        <w:tc>
          <w:tcPr>
            <w:tcW w:type="dxa" w:w="3312"/>
            <w:vAlign w:val="center"/>
            <w:tcMar>
              <w:top w:w="80" w:type="dxa"/>
              <w:start w:w="120" w:type="dxa"/>
              <w:bottom w:w="80" w:type="dxa"/>
              <w:end w:w="120" w:type="dxa"/>
            </w:tcMar>
          </w:tcPr>
          <w:p>
            <w:pPr>
              <w:spacing w:after="0"/>
              <w:jc w:val="left"/>
            </w:pPr>
            <w:r>
              <w:rPr>
                <w:rFonts w:ascii="Calibri" w:hAnsi="Calibri"/>
                <w:color w:val="263238"/>
                <w:sz w:val="18"/>
              </w:rPr>
              <w:t>Lower cost and safer decisions</w:t>
            </w:r>
          </w:p>
        </w:tc>
      </w:tr>
      <w:tr>
        <w:trPr>
          <w:cantSplit w:val="true"/>
        </w:trPr>
        <w:tc>
          <w:tcPr>
            <w:tcW w:type="dxa" w:w="1728"/>
            <w:vAlign w:val="center"/>
            <w:tcMar>
              <w:top w:w="80" w:type="dxa"/>
              <w:start w:w="120" w:type="dxa"/>
              <w:bottom w:w="80" w:type="dxa"/>
              <w:end w:w="120" w:type="dxa"/>
            </w:tcMar>
          </w:tcPr>
          <w:p>
            <w:pPr>
              <w:spacing w:after="0"/>
              <w:jc w:val="center"/>
            </w:pPr>
            <w:r>
              <w:rPr>
                <w:rFonts w:ascii="Calibri" w:hAnsi="Calibri"/>
                <w:color w:val="263238"/>
                <w:sz w:val="18"/>
              </w:rPr>
              <w:t>ML</w:t>
            </w:r>
          </w:p>
        </w:tc>
        <w:tc>
          <w:tcPr>
            <w:tcW w:type="dxa" w:w="4320"/>
            <w:vAlign w:val="center"/>
            <w:tcMar>
              <w:top w:w="80" w:type="dxa"/>
              <w:start w:w="120" w:type="dxa"/>
              <w:bottom w:w="80" w:type="dxa"/>
              <w:end w:w="120" w:type="dxa"/>
            </w:tcMar>
          </w:tcPr>
          <w:p>
            <w:pPr>
              <w:spacing w:after="0"/>
              <w:jc w:val="left"/>
            </w:pPr>
            <w:r>
              <w:rPr>
                <w:rFonts w:ascii="Calibri" w:hAnsi="Calibri"/>
                <w:color w:val="263238"/>
                <w:sz w:val="18"/>
              </w:rPr>
              <w:t>Walk-forward validation, calibration, drift, temporal models</w:t>
            </w:r>
          </w:p>
        </w:tc>
        <w:tc>
          <w:tcPr>
            <w:tcW w:type="dxa" w:w="3312"/>
            <w:vAlign w:val="center"/>
            <w:tcMar>
              <w:top w:w="80" w:type="dxa"/>
              <w:start w:w="120" w:type="dxa"/>
              <w:bottom w:w="80" w:type="dxa"/>
              <w:end w:w="120" w:type="dxa"/>
            </w:tcMar>
          </w:tcPr>
          <w:p>
            <w:pPr>
              <w:spacing w:after="0"/>
              <w:jc w:val="left"/>
            </w:pPr>
            <w:r>
              <w:rPr>
                <w:rFonts w:ascii="Calibri" w:hAnsi="Calibri"/>
                <w:color w:val="263238"/>
                <w:sz w:val="18"/>
              </w:rPr>
              <w:t>More defensible predictive claims</w:t>
            </w:r>
          </w:p>
        </w:tc>
      </w:tr>
      <w:tr>
        <w:trPr>
          <w:cantSplit w:val="true"/>
        </w:trPr>
        <w:tc>
          <w:tcPr>
            <w:tcW w:type="dxa" w:w="1728"/>
            <w:vAlign w:val="center"/>
            <w:tcMar>
              <w:top w:w="80" w:type="dxa"/>
              <w:start w:w="120" w:type="dxa"/>
              <w:bottom w:w="80" w:type="dxa"/>
              <w:end w:w="120" w:type="dxa"/>
            </w:tcMar>
          </w:tcPr>
          <w:p>
            <w:pPr>
              <w:spacing w:after="0"/>
              <w:jc w:val="center"/>
            </w:pPr>
            <w:r>
              <w:rPr>
                <w:rFonts w:ascii="Calibri" w:hAnsi="Calibri"/>
                <w:color w:val="263238"/>
                <w:sz w:val="18"/>
              </w:rPr>
              <w:t>Memory</w:t>
            </w:r>
          </w:p>
        </w:tc>
        <w:tc>
          <w:tcPr>
            <w:tcW w:type="dxa" w:w="4320"/>
            <w:vAlign w:val="center"/>
            <w:tcMar>
              <w:top w:w="80" w:type="dxa"/>
              <w:start w:w="120" w:type="dxa"/>
              <w:bottom w:w="80" w:type="dxa"/>
              <w:end w:w="120" w:type="dxa"/>
            </w:tcMar>
          </w:tcPr>
          <w:p>
            <w:pPr>
              <w:spacing w:after="0"/>
              <w:jc w:val="left"/>
            </w:pPr>
            <w:r>
              <w:rPr>
                <w:rFonts w:ascii="Calibri" w:hAnsi="Calibri"/>
                <w:color w:val="263238"/>
                <w:sz w:val="18"/>
              </w:rPr>
              <w:t>Analyst preferences and knowledge graph provenance</w:t>
            </w:r>
          </w:p>
        </w:tc>
        <w:tc>
          <w:tcPr>
            <w:tcW w:type="dxa" w:w="3312"/>
            <w:vAlign w:val="center"/>
            <w:tcMar>
              <w:top w:w="80" w:type="dxa"/>
              <w:start w:w="120" w:type="dxa"/>
              <w:bottom w:w="80" w:type="dxa"/>
              <w:end w:w="120" w:type="dxa"/>
            </w:tcMar>
          </w:tcPr>
          <w:p>
            <w:pPr>
              <w:spacing w:after="0"/>
              <w:jc w:val="left"/>
            </w:pPr>
            <w:r>
              <w:rPr>
                <w:rFonts w:ascii="Calibri" w:hAnsi="Calibri"/>
                <w:color w:val="263238"/>
                <w:sz w:val="18"/>
              </w:rPr>
              <w:t>Reusable research context</w:t>
            </w:r>
          </w:p>
        </w:tc>
      </w:tr>
      <w:tr>
        <w:trPr>
          <w:cantSplit w:val="true"/>
        </w:trPr>
        <w:tc>
          <w:tcPr>
            <w:tcW w:type="dxa" w:w="1728"/>
            <w:vAlign w:val="center"/>
            <w:tcMar>
              <w:top w:w="80" w:type="dxa"/>
              <w:start w:w="120" w:type="dxa"/>
              <w:bottom w:w="80" w:type="dxa"/>
              <w:end w:w="120" w:type="dxa"/>
            </w:tcMar>
          </w:tcPr>
          <w:p>
            <w:pPr>
              <w:spacing w:after="0"/>
              <w:jc w:val="center"/>
            </w:pPr>
            <w:r>
              <w:rPr>
                <w:rFonts w:ascii="Calibri" w:hAnsi="Calibri"/>
                <w:color w:val="263238"/>
                <w:sz w:val="18"/>
              </w:rPr>
              <w:t>Platform</w:t>
            </w:r>
          </w:p>
        </w:tc>
        <w:tc>
          <w:tcPr>
            <w:tcW w:type="dxa" w:w="4320"/>
            <w:vAlign w:val="center"/>
            <w:tcMar>
              <w:top w:w="80" w:type="dxa"/>
              <w:start w:w="120" w:type="dxa"/>
              <w:bottom w:w="80" w:type="dxa"/>
              <w:end w:w="120" w:type="dxa"/>
            </w:tcMar>
          </w:tcPr>
          <w:p>
            <w:pPr>
              <w:spacing w:after="0"/>
              <w:jc w:val="left"/>
            </w:pPr>
            <w:r>
              <w:rPr>
                <w:rFonts w:ascii="Calibri" w:hAnsi="Calibri"/>
                <w:color w:val="263238"/>
                <w:sz w:val="18"/>
              </w:rPr>
              <w:t>Supabase pgvector, object storage, observability</w:t>
            </w:r>
          </w:p>
        </w:tc>
        <w:tc>
          <w:tcPr>
            <w:tcW w:type="dxa" w:w="3312"/>
            <w:vAlign w:val="center"/>
            <w:tcMar>
              <w:top w:w="80" w:type="dxa"/>
              <w:start w:w="120" w:type="dxa"/>
              <w:bottom w:w="80" w:type="dxa"/>
              <w:end w:w="120" w:type="dxa"/>
            </w:tcMar>
          </w:tcPr>
          <w:p>
            <w:pPr>
              <w:spacing w:after="0"/>
              <w:jc w:val="left"/>
            </w:pPr>
            <w:r>
              <w:rPr>
                <w:rFonts w:ascii="Calibri" w:hAnsi="Calibri"/>
                <w:color w:val="263238"/>
                <w:sz w:val="18"/>
              </w:rPr>
              <w:t>Durable multi-user service</w:t>
            </w:r>
          </w:p>
        </w:tc>
      </w:tr>
      <w:tr>
        <w:trPr>
          <w:cantSplit w:val="true"/>
        </w:trPr>
        <w:tc>
          <w:tcPr>
            <w:tcW w:type="dxa" w:w="1728"/>
            <w:vAlign w:val="center"/>
            <w:tcMar>
              <w:top w:w="80" w:type="dxa"/>
              <w:start w:w="120" w:type="dxa"/>
              <w:bottom w:w="80" w:type="dxa"/>
              <w:end w:w="120" w:type="dxa"/>
            </w:tcMar>
          </w:tcPr>
          <w:p>
            <w:pPr>
              <w:spacing w:after="0"/>
              <w:jc w:val="center"/>
            </w:pPr>
            <w:r>
              <w:rPr>
                <w:rFonts w:ascii="Calibri" w:hAnsi="Calibri"/>
                <w:color w:val="263238"/>
                <w:sz w:val="18"/>
              </w:rPr>
              <w:t>Governance</w:t>
            </w:r>
          </w:p>
        </w:tc>
        <w:tc>
          <w:tcPr>
            <w:tcW w:type="dxa" w:w="4320"/>
            <w:vAlign w:val="center"/>
            <w:tcMar>
              <w:top w:w="80" w:type="dxa"/>
              <w:start w:w="120" w:type="dxa"/>
              <w:bottom w:w="80" w:type="dxa"/>
              <w:end w:w="120" w:type="dxa"/>
            </w:tcMar>
          </w:tcPr>
          <w:p>
            <w:pPr>
              <w:spacing w:after="0"/>
              <w:jc w:val="left"/>
            </w:pPr>
            <w:r>
              <w:rPr>
                <w:rFonts w:ascii="Calibri" w:hAnsi="Calibri"/>
                <w:color w:val="263238"/>
                <w:sz w:val="18"/>
              </w:rPr>
              <w:t>Authentication, audit logs, policy controls</w:t>
            </w:r>
          </w:p>
        </w:tc>
        <w:tc>
          <w:tcPr>
            <w:tcW w:type="dxa" w:w="3312"/>
            <w:vAlign w:val="center"/>
            <w:tcMar>
              <w:top w:w="80" w:type="dxa"/>
              <w:start w:w="120" w:type="dxa"/>
              <w:bottom w:w="80" w:type="dxa"/>
              <w:end w:w="120" w:type="dxa"/>
            </w:tcMar>
          </w:tcPr>
          <w:p>
            <w:pPr>
              <w:spacing w:after="0"/>
              <w:jc w:val="left"/>
            </w:pPr>
            <w:r>
              <w:rPr>
                <w:rFonts w:ascii="Calibri" w:hAnsi="Calibri"/>
                <w:color w:val="263238"/>
                <w:sz w:val="18"/>
              </w:rPr>
              <w:t>Startup and institutional readiness</w:t>
            </w:r>
          </w:p>
        </w:tc>
      </w:tr>
    </w:tbl>
    <w:p>
      <w:pPr>
        <w:spacing w:before="80" w:after="80"/>
      </w:pPr>
    </w:p>
    <w:p>
      <w:pPr>
        <w:pStyle w:val="Heading2"/>
      </w:pPr>
      <w:r>
        <w:t>Potential startup value proposition</w:t>
      </w:r>
    </w:p>
    <w:p>
      <w:pPr>
        <w:jc w:val="both"/>
      </w:pPr>
      <w:r>
        <w:rPr>
          <w:rFonts w:ascii="Calibri" w:hAnsi="Calibri"/>
          <w:color w:val="263238"/>
          <w:sz w:val="22"/>
        </w:rPr>
        <w:t>The strongest startup direction is not an autonomous stock picker. It is an evidence-grounded research workspace that reduces the time required to assemble a company view, preserves citations, exposes disagreements between signals, and generates an auditable investment memo. This positioning is more defensible because it supports human judgment instead of hiding uncertainty.</w:t>
      </w:r>
    </w:p>
    <w:p>
      <w:pPr>
        <w:pStyle w:val="ListBullet"/>
      </w:pPr>
      <w:r>
        <w:rPr>
          <w:rFonts w:ascii="Calibri" w:hAnsi="Calibri"/>
          <w:color w:val="263238"/>
          <w:sz w:val="22"/>
        </w:rPr>
        <w:t>Initial users: students, independent analysts, advisors, and small research teams.</w:t>
      </w:r>
    </w:p>
    <w:p>
      <w:pPr>
        <w:pStyle w:val="ListBullet"/>
      </w:pPr>
      <w:r>
        <w:rPr>
          <w:rFonts w:ascii="Calibri" w:hAnsi="Calibri"/>
          <w:color w:val="263238"/>
          <w:sz w:val="22"/>
        </w:rPr>
        <w:t>Core workflow: company search -&gt; evidence retrieval -&gt; signal analysis -&gt; cited memo.</w:t>
      </w:r>
    </w:p>
    <w:p>
      <w:pPr>
        <w:pStyle w:val="ListBullet"/>
      </w:pPr>
      <w:r>
        <w:rPr>
          <w:rFonts w:ascii="Calibri" w:hAnsi="Calibri"/>
          <w:color w:val="263238"/>
          <w:sz w:val="22"/>
        </w:rPr>
        <w:t>Differentiation: provenance, confidence, reproducibility, and modular provider choice.</w:t>
      </w:r>
    </w:p>
    <w:p>
      <w:pPr>
        <w:pStyle w:val="ListBullet"/>
      </w:pPr>
      <w:r>
        <w:rPr>
          <w:rFonts w:ascii="Calibri" w:hAnsi="Calibri"/>
          <w:color w:val="263238"/>
          <w:sz w:val="22"/>
        </w:rPr>
        <w:t>Commercial gates: licensed data, compliance review, security, monitoring, and cost control.</w:t>
      </w:r>
    </w:p>
    <w:p>
      <w:r>
        <w:br w:type="page"/>
      </w:r>
    </w:p>
    <w:p>
      <w:pPr>
        <w:pStyle w:val="Heading1"/>
        <w:spacing w:before="0" w:after="80"/>
      </w:pPr>
      <w:r>
        <w:rPr>
          <w:rFonts w:ascii="Calibri" w:hAnsi="Calibri"/>
          <w:b/>
          <w:color w:val="16324F"/>
          <w:sz w:val="44"/>
        </w:rPr>
        <w:t>15. Demonstration Script</w:t>
      </w:r>
    </w:p>
    <w:tbl>
      <w:tblPr>
        <w:tblStyle w:val="TableGrid"/>
        <w:tblW w:type="dxa" w:w="9360"/>
        <w:tblLayout w:type="fixed"/>
        <w:tblLook w:firstColumn="1" w:firstRow="1" w:lastColumn="0" w:lastRow="0" w:noHBand="0" w:noVBand="1" w:val="04A0"/>
        <w:jc w:val="left"/>
        <w:tblInd w:w="120" w:type="dxa"/>
      </w:tblPr>
      <w:tblGrid>
        <w:gridCol w:w="792"/>
        <w:gridCol w:w="3672"/>
        <w:gridCol w:w="4896"/>
      </w:tblGrid>
      <w:tr>
        <w:trPr>
          <w:tblHeader w:val="true"/>
        </w:trPr>
        <w:tc>
          <w:tcPr>
            <w:tcW w:type="dxa" w:w="792"/>
            <w:tcMar>
              <w:top w:w="80" w:type="dxa"/>
              <w:start w:w="120" w:type="dxa"/>
              <w:bottom w:w="80" w:type="dxa"/>
              <w:end w:w="120" w:type="dxa"/>
            </w:tcMar>
            <w:shd w:fill="EEF3F5"/>
            <w:vAlign w:val="center"/>
          </w:tcPr>
          <w:p>
            <w:pPr>
              <w:spacing w:after="0"/>
              <w:jc w:val="center"/>
            </w:pPr>
            <w:r>
              <w:rPr>
                <w:rFonts w:ascii="Calibri" w:hAnsi="Calibri"/>
                <w:b/>
                <w:color w:val="16324F"/>
                <w:sz w:val="19"/>
              </w:rPr>
              <w:t>Step</w:t>
            </w:r>
          </w:p>
        </w:tc>
        <w:tc>
          <w:tcPr>
            <w:tcW w:type="dxa" w:w="3672"/>
            <w:tcMar>
              <w:top w:w="80" w:type="dxa"/>
              <w:start w:w="120" w:type="dxa"/>
              <w:bottom w:w="80" w:type="dxa"/>
              <w:end w:w="120" w:type="dxa"/>
            </w:tcMar>
            <w:shd w:fill="EEF3F5"/>
            <w:vAlign w:val="center"/>
          </w:tcPr>
          <w:p>
            <w:pPr>
              <w:spacing w:after="0"/>
              <w:jc w:val="center"/>
            </w:pPr>
            <w:r>
              <w:rPr>
                <w:rFonts w:ascii="Calibri" w:hAnsi="Calibri"/>
                <w:b/>
                <w:color w:val="16324F"/>
                <w:sz w:val="19"/>
              </w:rPr>
              <w:t>Action</w:t>
            </w:r>
          </w:p>
        </w:tc>
        <w:tc>
          <w:tcPr>
            <w:tcW w:type="dxa" w:w="4896"/>
            <w:tcMar>
              <w:top w:w="80" w:type="dxa"/>
              <w:start w:w="120" w:type="dxa"/>
              <w:bottom w:w="80" w:type="dxa"/>
              <w:end w:w="120" w:type="dxa"/>
            </w:tcMar>
            <w:shd w:fill="EEF3F5"/>
            <w:vAlign w:val="center"/>
          </w:tcPr>
          <w:p>
            <w:pPr>
              <w:spacing w:after="0"/>
              <w:jc w:val="center"/>
            </w:pPr>
            <w:r>
              <w:rPr>
                <w:rFonts w:ascii="Calibri" w:hAnsi="Calibri"/>
                <w:b/>
                <w:color w:val="16324F"/>
                <w:sz w:val="19"/>
              </w:rPr>
              <w:t>What it proves</w:t>
            </w:r>
          </w:p>
        </w:tc>
      </w:tr>
      <w:tr>
        <w:trPr>
          <w:cantSplit w:val="true"/>
        </w:trPr>
        <w:tc>
          <w:tcPr>
            <w:tcW w:type="dxa" w:w="792"/>
            <w:vAlign w:val="center"/>
            <w:tcMar>
              <w:top w:w="80" w:type="dxa"/>
              <w:start w:w="120" w:type="dxa"/>
              <w:bottom w:w="80" w:type="dxa"/>
              <w:end w:w="120" w:type="dxa"/>
            </w:tcMar>
          </w:tcPr>
          <w:p>
            <w:pPr>
              <w:spacing w:after="0"/>
              <w:jc w:val="center"/>
            </w:pPr>
            <w:r>
              <w:rPr>
                <w:rFonts w:ascii="Calibri" w:hAnsi="Calibri"/>
                <w:color w:val="263238"/>
                <w:sz w:val="18"/>
              </w:rPr>
              <w:t>1</w:t>
            </w:r>
          </w:p>
        </w:tc>
        <w:tc>
          <w:tcPr>
            <w:tcW w:type="dxa" w:w="3672"/>
            <w:vAlign w:val="center"/>
            <w:tcMar>
              <w:top w:w="80" w:type="dxa"/>
              <w:start w:w="120" w:type="dxa"/>
              <w:bottom w:w="80" w:type="dxa"/>
              <w:end w:w="120" w:type="dxa"/>
            </w:tcMar>
          </w:tcPr>
          <w:p>
            <w:pPr>
              <w:spacing w:after="0"/>
              <w:jc w:val="left"/>
            </w:pPr>
            <w:r>
              <w:rPr>
                <w:rFonts w:ascii="Calibri" w:hAnsi="Calibri"/>
                <w:color w:val="263238"/>
                <w:sz w:val="18"/>
              </w:rPr>
              <w:t>Open the Render dashboard URL</w:t>
            </w:r>
          </w:p>
        </w:tc>
        <w:tc>
          <w:tcPr>
            <w:tcW w:type="dxa" w:w="4896"/>
            <w:vAlign w:val="center"/>
            <w:tcMar>
              <w:top w:w="80" w:type="dxa"/>
              <w:start w:w="120" w:type="dxa"/>
              <w:bottom w:w="80" w:type="dxa"/>
              <w:end w:w="120" w:type="dxa"/>
            </w:tcMar>
          </w:tcPr>
          <w:p>
            <w:pPr>
              <w:spacing w:after="0"/>
              <w:jc w:val="left"/>
            </w:pPr>
            <w:r>
              <w:rPr>
                <w:rFonts w:ascii="Calibri" w:hAnsi="Calibri"/>
                <w:color w:val="263238"/>
                <w:sz w:val="18"/>
              </w:rPr>
              <w:t>Cloud deployment and responsive frontend</w:t>
            </w:r>
          </w:p>
        </w:tc>
      </w:tr>
      <w:tr>
        <w:trPr>
          <w:cantSplit w:val="true"/>
        </w:trPr>
        <w:tc>
          <w:tcPr>
            <w:tcW w:type="dxa" w:w="792"/>
            <w:vAlign w:val="center"/>
            <w:tcMar>
              <w:top w:w="80" w:type="dxa"/>
              <w:start w:w="120" w:type="dxa"/>
              <w:bottom w:w="80" w:type="dxa"/>
              <w:end w:w="120" w:type="dxa"/>
            </w:tcMar>
          </w:tcPr>
          <w:p>
            <w:pPr>
              <w:spacing w:after="0"/>
              <w:jc w:val="center"/>
            </w:pPr>
            <w:r>
              <w:rPr>
                <w:rFonts w:ascii="Calibri" w:hAnsi="Calibri"/>
                <w:color w:val="263238"/>
                <w:sz w:val="18"/>
              </w:rPr>
              <w:t>2</w:t>
            </w:r>
          </w:p>
        </w:tc>
        <w:tc>
          <w:tcPr>
            <w:tcW w:type="dxa" w:w="3672"/>
            <w:vAlign w:val="center"/>
            <w:tcMar>
              <w:top w:w="80" w:type="dxa"/>
              <w:start w:w="120" w:type="dxa"/>
              <w:bottom w:w="80" w:type="dxa"/>
              <w:end w:w="120" w:type="dxa"/>
            </w:tcMar>
          </w:tcPr>
          <w:p>
            <w:pPr>
              <w:spacing w:after="0"/>
              <w:jc w:val="left"/>
            </w:pPr>
            <w:r>
              <w:rPr>
                <w:rFonts w:ascii="Calibri" w:hAnsi="Calibri"/>
                <w:color w:val="263238"/>
                <w:sz w:val="18"/>
              </w:rPr>
              <w:t>Show Overview metrics</w:t>
            </w:r>
          </w:p>
        </w:tc>
        <w:tc>
          <w:tcPr>
            <w:tcW w:type="dxa" w:w="4896"/>
            <w:vAlign w:val="center"/>
            <w:tcMar>
              <w:top w:w="80" w:type="dxa"/>
              <w:start w:w="120" w:type="dxa"/>
              <w:bottom w:w="80" w:type="dxa"/>
              <w:end w:w="120" w:type="dxa"/>
            </w:tcMar>
          </w:tcPr>
          <w:p>
            <w:pPr>
              <w:spacing w:after="0"/>
              <w:jc w:val="left"/>
            </w:pPr>
            <w:r>
              <w:rPr>
                <w:rFonts w:ascii="Calibri" w:hAnsi="Calibri"/>
                <w:color w:val="263238"/>
                <w:sz w:val="18"/>
              </w:rPr>
              <w:t>10K universe vs real training scale</w:t>
            </w:r>
          </w:p>
        </w:tc>
      </w:tr>
      <w:tr>
        <w:trPr>
          <w:cantSplit w:val="true"/>
        </w:trPr>
        <w:tc>
          <w:tcPr>
            <w:tcW w:type="dxa" w:w="792"/>
            <w:vAlign w:val="center"/>
            <w:tcMar>
              <w:top w:w="80" w:type="dxa"/>
              <w:start w:w="120" w:type="dxa"/>
              <w:bottom w:w="80" w:type="dxa"/>
              <w:end w:w="120" w:type="dxa"/>
            </w:tcMar>
          </w:tcPr>
          <w:p>
            <w:pPr>
              <w:spacing w:after="0"/>
              <w:jc w:val="center"/>
            </w:pPr>
            <w:r>
              <w:rPr>
                <w:rFonts w:ascii="Calibri" w:hAnsi="Calibri"/>
                <w:color w:val="263238"/>
                <w:sz w:val="18"/>
              </w:rPr>
              <w:t>3</w:t>
            </w:r>
          </w:p>
        </w:tc>
        <w:tc>
          <w:tcPr>
            <w:tcW w:type="dxa" w:w="3672"/>
            <w:vAlign w:val="center"/>
            <w:tcMar>
              <w:top w:w="80" w:type="dxa"/>
              <w:start w:w="120" w:type="dxa"/>
              <w:bottom w:w="80" w:type="dxa"/>
              <w:end w:w="120" w:type="dxa"/>
            </w:tcMar>
          </w:tcPr>
          <w:p>
            <w:pPr>
              <w:spacing w:after="0"/>
              <w:jc w:val="left"/>
            </w:pPr>
            <w:r>
              <w:rPr>
                <w:rFonts w:ascii="Calibri" w:hAnsi="Calibri"/>
                <w:color w:val="263238"/>
                <w:sz w:val="18"/>
              </w:rPr>
              <w:t>Search AAPL in Universe</w:t>
            </w:r>
          </w:p>
        </w:tc>
        <w:tc>
          <w:tcPr>
            <w:tcW w:type="dxa" w:w="4896"/>
            <w:vAlign w:val="center"/>
            <w:tcMar>
              <w:top w:w="80" w:type="dxa"/>
              <w:start w:w="120" w:type="dxa"/>
              <w:bottom w:w="80" w:type="dxa"/>
              <w:end w:w="120" w:type="dxa"/>
            </w:tcMar>
          </w:tcPr>
          <w:p>
            <w:pPr>
              <w:spacing w:after="0"/>
              <w:jc w:val="left"/>
            </w:pPr>
            <w:r>
              <w:rPr>
                <w:rFonts w:ascii="Calibri" w:hAnsi="Calibri"/>
                <w:color w:val="263238"/>
                <w:sz w:val="18"/>
              </w:rPr>
              <w:t>Cached company metadata and API filtering</w:t>
            </w:r>
          </w:p>
        </w:tc>
      </w:tr>
      <w:tr>
        <w:trPr>
          <w:cantSplit w:val="true"/>
        </w:trPr>
        <w:tc>
          <w:tcPr>
            <w:tcW w:type="dxa" w:w="792"/>
            <w:vAlign w:val="center"/>
            <w:tcMar>
              <w:top w:w="80" w:type="dxa"/>
              <w:start w:w="120" w:type="dxa"/>
              <w:bottom w:w="80" w:type="dxa"/>
              <w:end w:w="120" w:type="dxa"/>
            </w:tcMar>
          </w:tcPr>
          <w:p>
            <w:pPr>
              <w:spacing w:after="0"/>
              <w:jc w:val="center"/>
            </w:pPr>
            <w:r>
              <w:rPr>
                <w:rFonts w:ascii="Calibri" w:hAnsi="Calibri"/>
                <w:color w:val="263238"/>
                <w:sz w:val="18"/>
              </w:rPr>
              <w:t>4</w:t>
            </w:r>
          </w:p>
        </w:tc>
        <w:tc>
          <w:tcPr>
            <w:tcW w:type="dxa" w:w="3672"/>
            <w:vAlign w:val="center"/>
            <w:tcMar>
              <w:top w:w="80" w:type="dxa"/>
              <w:start w:w="120" w:type="dxa"/>
              <w:bottom w:w="80" w:type="dxa"/>
              <w:end w:w="120" w:type="dxa"/>
            </w:tcMar>
          </w:tcPr>
          <w:p>
            <w:pPr>
              <w:spacing w:after="0"/>
              <w:jc w:val="left"/>
            </w:pPr>
            <w:r>
              <w:rPr>
                <w:rFonts w:ascii="Calibri" w:hAnsi="Calibri"/>
                <w:color w:val="263238"/>
                <w:sz w:val="18"/>
              </w:rPr>
              <w:t>Ask an AAPL/MSFT/NVDA question</w:t>
            </w:r>
          </w:p>
        </w:tc>
        <w:tc>
          <w:tcPr>
            <w:tcW w:type="dxa" w:w="4896"/>
            <w:vAlign w:val="center"/>
            <w:tcMar>
              <w:top w:w="80" w:type="dxa"/>
              <w:start w:w="120" w:type="dxa"/>
              <w:bottom w:w="80" w:type="dxa"/>
              <w:end w:w="120" w:type="dxa"/>
            </w:tcMar>
          </w:tcPr>
          <w:p>
            <w:pPr>
              <w:spacing w:after="0"/>
              <w:jc w:val="left"/>
            </w:pPr>
            <w:r>
              <w:rPr>
                <w:rFonts w:ascii="Calibri" w:hAnsi="Calibri"/>
                <w:color w:val="263238"/>
                <w:sz w:val="18"/>
              </w:rPr>
              <w:t>Full multi-agent workflow</w:t>
            </w:r>
          </w:p>
        </w:tc>
      </w:tr>
      <w:tr>
        <w:trPr>
          <w:cantSplit w:val="true"/>
        </w:trPr>
        <w:tc>
          <w:tcPr>
            <w:tcW w:type="dxa" w:w="792"/>
            <w:vAlign w:val="center"/>
            <w:tcMar>
              <w:top w:w="80" w:type="dxa"/>
              <w:start w:w="120" w:type="dxa"/>
              <w:bottom w:w="80" w:type="dxa"/>
              <w:end w:w="120" w:type="dxa"/>
            </w:tcMar>
          </w:tcPr>
          <w:p>
            <w:pPr>
              <w:spacing w:after="0"/>
              <w:jc w:val="center"/>
            </w:pPr>
            <w:r>
              <w:rPr>
                <w:rFonts w:ascii="Calibri" w:hAnsi="Calibri"/>
                <w:color w:val="263238"/>
                <w:sz w:val="18"/>
              </w:rPr>
              <w:t>5</w:t>
            </w:r>
          </w:p>
        </w:tc>
        <w:tc>
          <w:tcPr>
            <w:tcW w:type="dxa" w:w="3672"/>
            <w:vAlign w:val="center"/>
            <w:tcMar>
              <w:top w:w="80" w:type="dxa"/>
              <w:start w:w="120" w:type="dxa"/>
              <w:bottom w:w="80" w:type="dxa"/>
              <w:end w:w="120" w:type="dxa"/>
            </w:tcMar>
          </w:tcPr>
          <w:p>
            <w:pPr>
              <w:spacing w:after="0"/>
              <w:jc w:val="left"/>
            </w:pPr>
            <w:r>
              <w:rPr>
                <w:rFonts w:ascii="Calibri" w:hAnsi="Calibri"/>
                <w:color w:val="263238"/>
                <w:sz w:val="18"/>
              </w:rPr>
              <w:t>Open evidence citations</w:t>
            </w:r>
          </w:p>
        </w:tc>
        <w:tc>
          <w:tcPr>
            <w:tcW w:type="dxa" w:w="4896"/>
            <w:vAlign w:val="center"/>
            <w:tcMar>
              <w:top w:w="80" w:type="dxa"/>
              <w:start w:w="120" w:type="dxa"/>
              <w:bottom w:w="80" w:type="dxa"/>
              <w:end w:w="120" w:type="dxa"/>
            </w:tcMar>
          </w:tcPr>
          <w:p>
            <w:pPr>
              <w:spacing w:after="0"/>
              <w:jc w:val="left"/>
            </w:pPr>
            <w:r>
              <w:rPr>
                <w:rFonts w:ascii="Calibri" w:hAnsi="Calibri"/>
                <w:color w:val="263238"/>
                <w:sz w:val="18"/>
              </w:rPr>
              <w:t>RAG provenance and source metadata</w:t>
            </w:r>
          </w:p>
        </w:tc>
      </w:tr>
      <w:tr>
        <w:trPr>
          <w:cantSplit w:val="true"/>
        </w:trPr>
        <w:tc>
          <w:tcPr>
            <w:tcW w:type="dxa" w:w="792"/>
            <w:vAlign w:val="center"/>
            <w:tcMar>
              <w:top w:w="80" w:type="dxa"/>
              <w:start w:w="120" w:type="dxa"/>
              <w:bottom w:w="80" w:type="dxa"/>
              <w:end w:w="120" w:type="dxa"/>
            </w:tcMar>
          </w:tcPr>
          <w:p>
            <w:pPr>
              <w:spacing w:after="0"/>
              <w:jc w:val="center"/>
            </w:pPr>
            <w:r>
              <w:rPr>
                <w:rFonts w:ascii="Calibri" w:hAnsi="Calibri"/>
                <w:color w:val="263238"/>
                <w:sz w:val="18"/>
              </w:rPr>
              <w:t>6</w:t>
            </w:r>
          </w:p>
        </w:tc>
        <w:tc>
          <w:tcPr>
            <w:tcW w:type="dxa" w:w="3672"/>
            <w:vAlign w:val="center"/>
            <w:tcMar>
              <w:top w:w="80" w:type="dxa"/>
              <w:start w:w="120" w:type="dxa"/>
              <w:bottom w:w="80" w:type="dxa"/>
              <w:end w:w="120" w:type="dxa"/>
            </w:tcMar>
          </w:tcPr>
          <w:p>
            <w:pPr>
              <w:spacing w:after="0"/>
              <w:jc w:val="left"/>
            </w:pPr>
            <w:r>
              <w:rPr>
                <w:rFonts w:ascii="Calibri" w:hAnsi="Calibri"/>
                <w:color w:val="263238"/>
                <w:sz w:val="18"/>
              </w:rPr>
              <w:t>Explain agent confidence</w:t>
            </w:r>
          </w:p>
        </w:tc>
        <w:tc>
          <w:tcPr>
            <w:tcW w:type="dxa" w:w="4896"/>
            <w:vAlign w:val="center"/>
            <w:tcMar>
              <w:top w:w="80" w:type="dxa"/>
              <w:start w:w="120" w:type="dxa"/>
              <w:bottom w:w="80" w:type="dxa"/>
              <w:end w:w="120" w:type="dxa"/>
            </w:tcMar>
          </w:tcPr>
          <w:p>
            <w:pPr>
              <w:spacing w:after="0"/>
              <w:jc w:val="left"/>
            </w:pPr>
            <w:r>
              <w:rPr>
                <w:rFonts w:ascii="Calibri" w:hAnsi="Calibri"/>
                <w:color w:val="263238"/>
                <w:sz w:val="18"/>
              </w:rPr>
              <w:t>Model probabilities and structured trace</w:t>
            </w:r>
          </w:p>
        </w:tc>
      </w:tr>
      <w:tr>
        <w:trPr>
          <w:cantSplit w:val="true"/>
        </w:trPr>
        <w:tc>
          <w:tcPr>
            <w:tcW w:type="dxa" w:w="792"/>
            <w:vAlign w:val="center"/>
            <w:tcMar>
              <w:top w:w="80" w:type="dxa"/>
              <w:start w:w="120" w:type="dxa"/>
              <w:bottom w:w="80" w:type="dxa"/>
              <w:end w:w="120" w:type="dxa"/>
            </w:tcMar>
          </w:tcPr>
          <w:p>
            <w:pPr>
              <w:spacing w:after="0"/>
              <w:jc w:val="center"/>
            </w:pPr>
            <w:r>
              <w:rPr>
                <w:rFonts w:ascii="Calibri" w:hAnsi="Calibri"/>
                <w:color w:val="263238"/>
                <w:sz w:val="18"/>
              </w:rPr>
              <w:t>7</w:t>
            </w:r>
          </w:p>
        </w:tc>
        <w:tc>
          <w:tcPr>
            <w:tcW w:type="dxa" w:w="3672"/>
            <w:vAlign w:val="center"/>
            <w:tcMar>
              <w:top w:w="80" w:type="dxa"/>
              <w:start w:w="120" w:type="dxa"/>
              <w:bottom w:w="80" w:type="dxa"/>
              <w:end w:w="120" w:type="dxa"/>
            </w:tcMar>
          </w:tcPr>
          <w:p>
            <w:pPr>
              <w:spacing w:after="0"/>
              <w:jc w:val="left"/>
            </w:pPr>
            <w:r>
              <w:rPr>
                <w:rFonts w:ascii="Calibri" w:hAnsi="Calibri"/>
                <w:color w:val="263238"/>
                <w:sz w:val="18"/>
              </w:rPr>
              <w:t>Open /health and /api/summary</w:t>
            </w:r>
          </w:p>
        </w:tc>
        <w:tc>
          <w:tcPr>
            <w:tcW w:type="dxa" w:w="4896"/>
            <w:vAlign w:val="center"/>
            <w:tcMar>
              <w:top w:w="80" w:type="dxa"/>
              <w:start w:w="120" w:type="dxa"/>
              <w:bottom w:w="80" w:type="dxa"/>
              <w:end w:w="120" w:type="dxa"/>
            </w:tcMar>
          </w:tcPr>
          <w:p>
            <w:pPr>
              <w:spacing w:after="0"/>
              <w:jc w:val="left"/>
            </w:pPr>
            <w:r>
              <w:rPr>
                <w:rFonts w:ascii="Calibri" w:hAnsi="Calibri"/>
                <w:color w:val="263238"/>
                <w:sz w:val="18"/>
              </w:rPr>
              <w:t>Operational readiness and model provenance</w:t>
            </w:r>
          </w:p>
        </w:tc>
      </w:tr>
      <w:tr>
        <w:trPr>
          <w:cantSplit w:val="true"/>
        </w:trPr>
        <w:tc>
          <w:tcPr>
            <w:tcW w:type="dxa" w:w="792"/>
            <w:vAlign w:val="center"/>
            <w:tcMar>
              <w:top w:w="80" w:type="dxa"/>
              <w:start w:w="120" w:type="dxa"/>
              <w:bottom w:w="80" w:type="dxa"/>
              <w:end w:w="120" w:type="dxa"/>
            </w:tcMar>
          </w:tcPr>
          <w:p>
            <w:pPr>
              <w:spacing w:after="0"/>
              <w:jc w:val="center"/>
            </w:pPr>
            <w:r>
              <w:rPr>
                <w:rFonts w:ascii="Calibri" w:hAnsi="Calibri"/>
                <w:color w:val="263238"/>
                <w:sz w:val="18"/>
              </w:rPr>
              <w:t>8</w:t>
            </w:r>
          </w:p>
        </w:tc>
        <w:tc>
          <w:tcPr>
            <w:tcW w:type="dxa" w:w="3672"/>
            <w:vAlign w:val="center"/>
            <w:tcMar>
              <w:top w:w="80" w:type="dxa"/>
              <w:start w:w="120" w:type="dxa"/>
              <w:bottom w:w="80" w:type="dxa"/>
              <w:end w:w="120" w:type="dxa"/>
            </w:tcMar>
          </w:tcPr>
          <w:p>
            <w:pPr>
              <w:spacing w:after="0"/>
              <w:jc w:val="left"/>
            </w:pPr>
            <w:r>
              <w:rPr>
                <w:rFonts w:ascii="Calibri" w:hAnsi="Calibri"/>
                <w:color w:val="263238"/>
                <w:sz w:val="18"/>
              </w:rPr>
              <w:t>Show GitHub and tests</w:t>
            </w:r>
          </w:p>
        </w:tc>
        <w:tc>
          <w:tcPr>
            <w:tcW w:type="dxa" w:w="4896"/>
            <w:vAlign w:val="center"/>
            <w:tcMar>
              <w:top w:w="80" w:type="dxa"/>
              <w:start w:w="120" w:type="dxa"/>
              <w:bottom w:w="80" w:type="dxa"/>
              <w:end w:w="120" w:type="dxa"/>
            </w:tcMar>
          </w:tcPr>
          <w:p>
            <w:pPr>
              <w:spacing w:after="0"/>
              <w:jc w:val="left"/>
            </w:pPr>
            <w:r>
              <w:rPr>
                <w:rFonts w:ascii="Calibri" w:hAnsi="Calibri"/>
                <w:color w:val="263238"/>
                <w:sz w:val="18"/>
              </w:rPr>
              <w:t>Reproducibility, code ownership, and verification</w:t>
            </w:r>
          </w:p>
        </w:tc>
      </w:tr>
    </w:tbl>
    <w:p>
      <w:pPr>
        <w:spacing w:before="80" w:after="80"/>
      </w:pPr>
    </w:p>
    <w:p>
      <w:pPr>
        <w:pStyle w:val="Heading2"/>
      </w:pPr>
      <w:r>
        <w:t>Local commands</w:t>
      </w:r>
    </w:p>
    <w:tbl>
      <w:tblPr>
        <w:tblStyle w:val="TableGrid"/>
        <w:tblW w:type="dxa" w:w="9360"/>
        <w:tblLayout w:type="fixed"/>
        <w:tblLook w:firstColumn="1" w:firstRow="1" w:lastColumn="0" w:lastRow="0" w:noHBand="0" w:noVBand="1" w:val="04A0"/>
        <w:jc w:val="left"/>
        <w:tblInd w:w="120" w:type="dxa"/>
      </w:tblPr>
      <w:tblGrid>
        <w:gridCol w:w="5544"/>
        <w:gridCol w:w="3816"/>
      </w:tblGrid>
      <w:tr>
        <w:trPr>
          <w:tblHeader w:val="true"/>
        </w:trPr>
        <w:tc>
          <w:tcPr>
            <w:tcW w:type="dxa" w:w="5544"/>
            <w:tcMar>
              <w:top w:w="80" w:type="dxa"/>
              <w:start w:w="120" w:type="dxa"/>
              <w:bottom w:w="80" w:type="dxa"/>
              <w:end w:w="120" w:type="dxa"/>
            </w:tcMar>
            <w:shd w:fill="EEF3F5"/>
            <w:vAlign w:val="center"/>
          </w:tcPr>
          <w:p>
            <w:pPr>
              <w:spacing w:after="0"/>
              <w:jc w:val="center"/>
            </w:pPr>
            <w:r>
              <w:rPr>
                <w:rFonts w:ascii="Calibri" w:hAnsi="Calibri"/>
                <w:b/>
                <w:color w:val="16324F"/>
                <w:sz w:val="19"/>
              </w:rPr>
              <w:t>Command</w:t>
            </w:r>
          </w:p>
        </w:tc>
        <w:tc>
          <w:tcPr>
            <w:tcW w:type="dxa" w:w="3816"/>
            <w:tcMar>
              <w:top w:w="80" w:type="dxa"/>
              <w:start w:w="120" w:type="dxa"/>
              <w:bottom w:w="80" w:type="dxa"/>
              <w:end w:w="120" w:type="dxa"/>
            </w:tcMar>
            <w:shd w:fill="EEF3F5"/>
            <w:vAlign w:val="center"/>
          </w:tcPr>
          <w:p>
            <w:pPr>
              <w:spacing w:after="0"/>
              <w:jc w:val="center"/>
            </w:pPr>
            <w:r>
              <w:rPr>
                <w:rFonts w:ascii="Calibri" w:hAnsi="Calibri"/>
                <w:b/>
                <w:color w:val="16324F"/>
                <w:sz w:val="19"/>
              </w:rPr>
              <w:t>Purpose</w:t>
            </w:r>
          </w:p>
        </w:tc>
      </w:tr>
      <w:tr>
        <w:trPr>
          <w:cantSplit w:val="true"/>
        </w:trPr>
        <w:tc>
          <w:tcPr>
            <w:tcW w:type="dxa" w:w="5544"/>
            <w:vAlign w:val="center"/>
            <w:tcMar>
              <w:top w:w="80" w:type="dxa"/>
              <w:start w:w="120" w:type="dxa"/>
              <w:bottom w:w="80" w:type="dxa"/>
              <w:end w:w="120" w:type="dxa"/>
            </w:tcMar>
          </w:tcPr>
          <w:p>
            <w:pPr>
              <w:spacing w:after="0"/>
              <w:jc w:val="left"/>
            </w:pPr>
            <w:r>
              <w:rPr>
                <w:rFonts w:ascii="Calibri" w:hAnsi="Calibri"/>
                <w:color w:val="263238"/>
                <w:sz w:val="18"/>
              </w:rPr>
              <w:t>python fetch_real_market_data.py --years 5</w:t>
            </w:r>
          </w:p>
        </w:tc>
        <w:tc>
          <w:tcPr>
            <w:tcW w:type="dxa" w:w="3816"/>
            <w:vAlign w:val="center"/>
            <w:tcMar>
              <w:top w:w="80" w:type="dxa"/>
              <w:start w:w="120" w:type="dxa"/>
              <w:bottom w:w="80" w:type="dxa"/>
              <w:end w:w="120" w:type="dxa"/>
            </w:tcMar>
          </w:tcPr>
          <w:p>
            <w:pPr>
              <w:spacing w:after="0"/>
              <w:jc w:val="left"/>
            </w:pPr>
            <w:r>
              <w:rPr>
                <w:rFonts w:ascii="Calibri" w:hAnsi="Calibri"/>
                <w:color w:val="263238"/>
                <w:sz w:val="18"/>
              </w:rPr>
              <w:t>Refresh real OHLCV and fundamentals</w:t>
            </w:r>
          </w:p>
        </w:tc>
      </w:tr>
      <w:tr>
        <w:trPr>
          <w:cantSplit w:val="true"/>
        </w:trPr>
        <w:tc>
          <w:tcPr>
            <w:tcW w:type="dxa" w:w="5544"/>
            <w:vAlign w:val="center"/>
            <w:tcMar>
              <w:top w:w="80" w:type="dxa"/>
              <w:start w:w="120" w:type="dxa"/>
              <w:bottom w:w="80" w:type="dxa"/>
              <w:end w:w="120" w:type="dxa"/>
            </w:tcMar>
          </w:tcPr>
          <w:p>
            <w:pPr>
              <w:spacing w:after="0"/>
              <w:jc w:val="left"/>
            </w:pPr>
            <w:r>
              <w:rPr>
                <w:rFonts w:ascii="Calibri" w:hAnsi="Calibri"/>
                <w:color w:val="263238"/>
                <w:sz w:val="18"/>
              </w:rPr>
              <w:t>python train_real_market_models.py --years 5</w:t>
            </w:r>
          </w:p>
        </w:tc>
        <w:tc>
          <w:tcPr>
            <w:tcW w:type="dxa" w:w="3816"/>
            <w:vAlign w:val="center"/>
            <w:tcMar>
              <w:top w:w="80" w:type="dxa"/>
              <w:start w:w="120" w:type="dxa"/>
              <w:bottom w:w="80" w:type="dxa"/>
              <w:end w:w="120" w:type="dxa"/>
            </w:tcMar>
          </w:tcPr>
          <w:p>
            <w:pPr>
              <w:spacing w:after="0"/>
              <w:jc w:val="left"/>
            </w:pPr>
            <w:r>
              <w:rPr>
                <w:rFonts w:ascii="Calibri" w:hAnsi="Calibri"/>
                <w:color w:val="263238"/>
                <w:sz w:val="18"/>
              </w:rPr>
              <w:t>Train and evaluate chronological models</w:t>
            </w:r>
          </w:p>
        </w:tc>
      </w:tr>
      <w:tr>
        <w:trPr>
          <w:cantSplit w:val="true"/>
        </w:trPr>
        <w:tc>
          <w:tcPr>
            <w:tcW w:type="dxa" w:w="5544"/>
            <w:vAlign w:val="center"/>
            <w:tcMar>
              <w:top w:w="80" w:type="dxa"/>
              <w:start w:w="120" w:type="dxa"/>
              <w:bottom w:w="80" w:type="dxa"/>
              <w:end w:w="120" w:type="dxa"/>
            </w:tcMar>
          </w:tcPr>
          <w:p>
            <w:pPr>
              <w:spacing w:after="0"/>
              <w:jc w:val="left"/>
            </w:pPr>
            <w:r>
              <w:rPr>
                <w:rFonts w:ascii="Calibri" w:hAnsi="Calibri"/>
                <w:color w:val="263238"/>
                <w:sz w:val="18"/>
              </w:rPr>
              <w:t>python index_phase1_rag.py</w:t>
            </w:r>
          </w:p>
        </w:tc>
        <w:tc>
          <w:tcPr>
            <w:tcW w:type="dxa" w:w="3816"/>
            <w:vAlign w:val="center"/>
            <w:tcMar>
              <w:top w:w="80" w:type="dxa"/>
              <w:start w:w="120" w:type="dxa"/>
              <w:bottom w:w="80" w:type="dxa"/>
              <w:end w:w="120" w:type="dxa"/>
            </w:tcMar>
          </w:tcPr>
          <w:p>
            <w:pPr>
              <w:spacing w:after="0"/>
              <w:jc w:val="left"/>
            </w:pPr>
            <w:r>
              <w:rPr>
                <w:rFonts w:ascii="Calibri" w:hAnsi="Calibri"/>
                <w:color w:val="263238"/>
                <w:sz w:val="18"/>
              </w:rPr>
              <w:t>Rebuild ChromaDB</w:t>
            </w:r>
          </w:p>
        </w:tc>
      </w:tr>
      <w:tr>
        <w:trPr>
          <w:cantSplit w:val="true"/>
        </w:trPr>
        <w:tc>
          <w:tcPr>
            <w:tcW w:type="dxa" w:w="5544"/>
            <w:vAlign w:val="center"/>
            <w:tcMar>
              <w:top w:w="80" w:type="dxa"/>
              <w:start w:w="120" w:type="dxa"/>
              <w:bottom w:w="80" w:type="dxa"/>
              <w:end w:w="120" w:type="dxa"/>
            </w:tcMar>
          </w:tcPr>
          <w:p>
            <w:pPr>
              <w:spacing w:after="0"/>
              <w:jc w:val="left"/>
            </w:pPr>
            <w:r>
              <w:rPr>
                <w:rFonts w:ascii="Calibri" w:hAnsi="Calibri"/>
                <w:color w:val="263238"/>
                <w:sz w:val="18"/>
              </w:rPr>
              <w:t>python ingest_sec_filings.py --tickers AAPL MSFT NVDA</w:t>
            </w:r>
          </w:p>
        </w:tc>
        <w:tc>
          <w:tcPr>
            <w:tcW w:type="dxa" w:w="3816"/>
            <w:vAlign w:val="center"/>
            <w:tcMar>
              <w:top w:w="80" w:type="dxa"/>
              <w:start w:w="120" w:type="dxa"/>
              <w:bottom w:w="80" w:type="dxa"/>
              <w:end w:w="120" w:type="dxa"/>
            </w:tcMar>
          </w:tcPr>
          <w:p>
            <w:pPr>
              <w:spacing w:after="0"/>
              <w:jc w:val="left"/>
            </w:pPr>
            <w:r>
              <w:rPr>
                <w:rFonts w:ascii="Calibri" w:hAnsi="Calibri"/>
                <w:color w:val="263238"/>
                <w:sz w:val="18"/>
              </w:rPr>
              <w:t>Download and index SEC filings</w:t>
            </w:r>
          </w:p>
        </w:tc>
      </w:tr>
      <w:tr>
        <w:trPr>
          <w:cantSplit w:val="true"/>
        </w:trPr>
        <w:tc>
          <w:tcPr>
            <w:tcW w:type="dxa" w:w="5544"/>
            <w:vAlign w:val="center"/>
            <w:tcMar>
              <w:top w:w="80" w:type="dxa"/>
              <w:start w:w="120" w:type="dxa"/>
              <w:bottom w:w="80" w:type="dxa"/>
              <w:end w:w="120" w:type="dxa"/>
            </w:tcMar>
          </w:tcPr>
          <w:p>
            <w:pPr>
              <w:spacing w:after="0"/>
              <w:jc w:val="left"/>
            </w:pPr>
            <w:r>
              <w:rPr>
                <w:rFonts w:ascii="Calibri" w:hAnsi="Calibri"/>
                <w:color w:val="263238"/>
                <w:sz w:val="18"/>
              </w:rPr>
              <w:t>python -m pytest -q</w:t>
            </w:r>
          </w:p>
        </w:tc>
        <w:tc>
          <w:tcPr>
            <w:tcW w:type="dxa" w:w="3816"/>
            <w:vAlign w:val="center"/>
            <w:tcMar>
              <w:top w:w="80" w:type="dxa"/>
              <w:start w:w="120" w:type="dxa"/>
              <w:bottom w:w="80" w:type="dxa"/>
              <w:end w:w="120" w:type="dxa"/>
            </w:tcMar>
          </w:tcPr>
          <w:p>
            <w:pPr>
              <w:spacing w:after="0"/>
              <w:jc w:val="left"/>
            </w:pPr>
            <w:r>
              <w:rPr>
                <w:rFonts w:ascii="Calibri" w:hAnsi="Calibri"/>
                <w:color w:val="263238"/>
                <w:sz w:val="18"/>
              </w:rPr>
              <w:t>Run automated tests</w:t>
            </w:r>
          </w:p>
        </w:tc>
      </w:tr>
      <w:tr>
        <w:trPr>
          <w:cantSplit w:val="true"/>
        </w:trPr>
        <w:tc>
          <w:tcPr>
            <w:tcW w:type="dxa" w:w="5544"/>
            <w:vAlign w:val="center"/>
            <w:tcMar>
              <w:top w:w="80" w:type="dxa"/>
              <w:start w:w="120" w:type="dxa"/>
              <w:bottom w:w="80" w:type="dxa"/>
              <w:end w:w="120" w:type="dxa"/>
            </w:tcMar>
          </w:tcPr>
          <w:p>
            <w:pPr>
              <w:spacing w:after="0"/>
              <w:jc w:val="left"/>
            </w:pPr>
            <w:r>
              <w:rPr>
                <w:rFonts w:ascii="Calibri" w:hAnsi="Calibri"/>
                <w:color w:val="263238"/>
                <w:sz w:val="18"/>
              </w:rPr>
              <w:t>python frontend/server.py</w:t>
            </w:r>
          </w:p>
        </w:tc>
        <w:tc>
          <w:tcPr>
            <w:tcW w:type="dxa" w:w="3816"/>
            <w:vAlign w:val="center"/>
            <w:tcMar>
              <w:top w:w="80" w:type="dxa"/>
              <w:start w:w="120" w:type="dxa"/>
              <w:bottom w:w="80" w:type="dxa"/>
              <w:end w:w="120" w:type="dxa"/>
            </w:tcMar>
          </w:tcPr>
          <w:p>
            <w:pPr>
              <w:spacing w:after="0"/>
              <w:jc w:val="left"/>
            </w:pPr>
            <w:r>
              <w:rPr>
                <w:rFonts w:ascii="Calibri" w:hAnsi="Calibri"/>
                <w:color w:val="263238"/>
                <w:sz w:val="18"/>
              </w:rPr>
              <w:t>Start local dashboard</w:t>
            </w:r>
          </w:p>
        </w:tc>
      </w:tr>
    </w:tbl>
    <w:p>
      <w:pPr>
        <w:spacing w:before="80" w:after="80"/>
      </w:pPr>
    </w:p>
    <w:tbl>
      <w:tblPr>
        <w:tblW w:type="dxa" w:w="9360"/>
        <w:tblLayout w:type="fixed"/>
        <w:tblLook w:firstColumn="1" w:firstRow="1" w:lastColumn="0" w:lastRow="0" w:noHBand="0" w:noVBand="1" w:val="04A0"/>
        <w:jc w:val="left"/>
        <w:tblInd w:w="120" w:type="dxa"/>
      </w:tblPr>
      <w:tblGrid>
        <w:gridCol w:w="9360"/>
      </w:tblGrid>
      <w:tr>
        <w:tc>
          <w:tcPr>
            <w:tcW w:type="dxa" w:w="9360"/>
            <w:tcMar>
              <w:top w:w="80" w:type="dxa"/>
              <w:start w:w="120" w:type="dxa"/>
              <w:bottom w:w="80" w:type="dxa"/>
              <w:end w:w="120" w:type="dxa"/>
            </w:tcMar>
            <w:shd w:fill="F7F1E5"/>
            <w:vAlign w:val="center"/>
          </w:tcPr>
          <w:p>
            <w:pPr>
              <w:spacing w:before="60" w:after="60"/>
            </w:pPr>
            <w:r>
              <w:rPr>
                <w:rFonts w:ascii="Calibri" w:hAnsi="Calibri"/>
                <w:b/>
                <w:color w:val="A33A3A"/>
                <w:sz w:val="21"/>
              </w:rPr>
              <w:t xml:space="preserve">Demo caution: </w:t>
            </w:r>
            <w:r>
              <w:rPr>
                <w:rFonts w:ascii="Calibri" w:hAnsi="Calibri"/>
                <w:color w:val="263238"/>
                <w:sz w:val="21"/>
              </w:rPr>
              <w:t>Wake the Render Free service before the review. Keep local mode available as a fallback and never display an API key in the terminal, slides, logs, or screen share.</w:t>
            </w:r>
          </w:p>
        </w:tc>
      </w:tr>
    </w:tbl>
    <w:p>
      <w:pPr>
        <w:spacing w:after="0"/>
      </w:pPr>
    </w:p>
    <w:p>
      <w:r>
        <w:br w:type="page"/>
      </w:r>
    </w:p>
    <w:p>
      <w:pPr>
        <w:pStyle w:val="Heading1"/>
        <w:spacing w:before="0" w:after="80"/>
      </w:pPr>
      <w:r>
        <w:rPr>
          <w:rFonts w:ascii="Calibri" w:hAnsi="Calibri"/>
          <w:b/>
          <w:color w:val="16324F"/>
          <w:sz w:val="44"/>
        </w:rPr>
        <w:t>16. Conclusion</w:t>
      </w:r>
    </w:p>
    <w:p>
      <w:pPr>
        <w:jc w:val="both"/>
      </w:pPr>
      <w:r>
        <w:rPr>
          <w:rFonts w:ascii="Calibri" w:hAnsi="Calibri"/>
          <w:color w:val="263238"/>
          <w:sz w:val="22"/>
        </w:rPr>
        <w:t>Phase 1 demonstrates a complete path from data acquisition to an explainable cloud-delivered answer. The project stores and processes a broad company universe, trains baseline models on real observed outcomes, retrieves evidence through a persistent vector database, coordinates specialized agents, optionally uses OpenAI for grounded synthesis, and presents results through a usable dashboard.</w:t>
      </w:r>
    </w:p>
    <w:p>
      <w:pPr>
        <w:jc w:val="both"/>
      </w:pPr>
      <w:r>
        <w:rPr>
          <w:rFonts w:ascii="Calibri" w:hAnsi="Calibri"/>
          <w:color w:val="263238"/>
          <w:sz w:val="22"/>
        </w:rPr>
        <w:t>The main contribution of Phase 1 is integration discipline. Each layer has an explicit responsibility and fallback. The result is complex enough to demonstrate software architecture, machine learning, RAG, agents, GenAI, cloud deployment, and testing without claiming novelty or production investment performance.</w:t>
      </w:r>
    </w:p>
    <w:tbl>
      <w:tblPr>
        <w:tblW w:type="dxa" w:w="9360"/>
        <w:tblLayout w:type="fixed"/>
        <w:tblLook w:firstColumn="1" w:firstRow="1" w:lastColumn="0" w:lastRow="0" w:noHBand="0" w:noVBand="1" w:val="04A0"/>
        <w:jc w:val="left"/>
        <w:tblInd w:w="120" w:type="dxa"/>
      </w:tblPr>
      <w:tblGrid>
        <w:gridCol w:w="9360"/>
      </w:tblGrid>
      <w:tr>
        <w:tc>
          <w:tcPr>
            <w:tcW w:type="dxa" w:w="9360"/>
            <w:tcMar>
              <w:top w:w="80" w:type="dxa"/>
              <w:start w:w="120" w:type="dxa"/>
              <w:bottom w:w="80" w:type="dxa"/>
              <w:end w:w="120" w:type="dxa"/>
            </w:tcMar>
            <w:shd w:fill="EEF3F5"/>
            <w:vAlign w:val="center"/>
          </w:tcPr>
          <w:p>
            <w:pPr>
              <w:spacing w:before="60" w:after="60"/>
            </w:pPr>
            <w:r>
              <w:rPr>
                <w:rFonts w:ascii="Calibri" w:hAnsi="Calibri"/>
                <w:b/>
                <w:color w:val="167D8D"/>
                <w:sz w:val="21"/>
              </w:rPr>
              <w:t xml:space="preserve">Final assessment: </w:t>
            </w:r>
            <w:r>
              <w:rPr>
                <w:rFonts w:ascii="Calibri" w:hAnsi="Calibri"/>
                <w:color w:val="263238"/>
                <w:sz w:val="21"/>
              </w:rPr>
              <w:t>The application is ready for academic demonstration as an evidence-backed baseline. Phase 2 should be judged by measurable gains in retrieval quality, calibration, data coverage, reliability, and analyst usefulness.</w:t>
            </w:r>
          </w:p>
        </w:tc>
      </w:tr>
    </w:tbl>
    <w:p>
      <w:pPr>
        <w:spacing w:after="0"/>
      </w:pPr>
    </w:p>
    <w:p>
      <w:pPr>
        <w:pStyle w:val="Heading2"/>
      </w:pPr>
      <w:r>
        <w:t>References</w:t>
      </w:r>
    </w:p>
    <w:p>
      <w:pPr>
        <w:pStyle w:val="ListBullet"/>
      </w:pPr>
      <w:r>
        <w:rPr>
          <w:rFonts w:ascii="Calibri" w:hAnsi="Calibri"/>
          <w:color w:val="263238"/>
          <w:sz w:val="22"/>
        </w:rPr>
        <w:t>AI4Finance Foundation. FinRobot: An Open-Source AI Agent Platform for Financial Applications. GitHub: https://github.com/AI4Finance-Foundation/FinRobot</w:t>
      </w:r>
    </w:p>
    <w:p>
      <w:pPr>
        <w:pStyle w:val="ListBullet"/>
      </w:pPr>
      <w:r>
        <w:rPr>
          <w:rFonts w:ascii="Calibri" w:hAnsi="Calibri"/>
          <w:color w:val="263238"/>
          <w:sz w:val="22"/>
        </w:rPr>
        <w:t>Yang, H. et al. FinRobot: An Open-Source AI Agent Platform for Financial Applications using Large Language Models. arXiv:2405.14767, 2024.</w:t>
      </w:r>
    </w:p>
    <w:p>
      <w:pPr>
        <w:pStyle w:val="ListBullet"/>
      </w:pPr>
      <w:r>
        <w:rPr>
          <w:rFonts w:ascii="Calibri" w:hAnsi="Calibri"/>
          <w:color w:val="263238"/>
          <w:sz w:val="22"/>
        </w:rPr>
        <w:t>Lewis, P. et al. Retrieval-Augmented Generation for Knowledge-Intensive NLP Tasks. NeurIPS, 2020.</w:t>
      </w:r>
    </w:p>
    <w:p>
      <w:pPr>
        <w:pStyle w:val="ListBullet"/>
      </w:pPr>
      <w:r>
        <w:rPr>
          <w:rFonts w:ascii="Calibri" w:hAnsi="Calibri"/>
          <w:color w:val="263238"/>
          <w:sz w:val="22"/>
        </w:rPr>
        <w:t>Samuelsen, M. et al. MimirRAG: A Multi-Agent RAG Framework for Financial Data Retrieval with Metadata Integration. arXiv:2605.25030, 2026.</w:t>
      </w:r>
    </w:p>
    <w:p>
      <w:pPr>
        <w:pStyle w:val="ListBullet"/>
      </w:pPr>
      <w:r>
        <w:rPr>
          <w:rFonts w:ascii="Calibri" w:hAnsi="Calibri"/>
          <w:color w:val="263238"/>
          <w:sz w:val="22"/>
        </w:rPr>
        <w:t>Garrido-Merchan, E. C. et al. AI-Powered Sustainable Finance: An Integrative Taxonomy and Framework. arXiv:2605.26076, 2026.</w:t>
      </w:r>
    </w:p>
    <w:p>
      <w:pPr>
        <w:pStyle w:val="ListBullet"/>
      </w:pPr>
      <w:r>
        <w:rPr>
          <w:rFonts w:ascii="Calibri" w:hAnsi="Calibri"/>
          <w:color w:val="263238"/>
          <w:sz w:val="22"/>
        </w:rPr>
        <w:t>Zhu, D., Zheng, L., and Chen, Z. FundaPod: A Multi-Persona Agent Pod Platform with Knowledge Graph Memory. arXiv:2605.27864, 2026.</w:t>
      </w:r>
    </w:p>
    <w:p>
      <w:pPr>
        <w:pStyle w:val="ListBullet"/>
      </w:pPr>
      <w:r>
        <w:rPr>
          <w:rFonts w:ascii="Calibri" w:hAnsi="Calibri"/>
          <w:color w:val="263238"/>
          <w:sz w:val="22"/>
        </w:rPr>
        <w:t>U.S. Securities and Exchange Commission. EDGAR Application Programming Interfaces. https://www.sec.gov/search-filings/edgar-application-programming-interfaces</w:t>
      </w:r>
    </w:p>
    <w:p>
      <w:pPr>
        <w:pStyle w:val="ListBullet"/>
      </w:pPr>
      <w:r>
        <w:rPr>
          <w:rFonts w:ascii="Calibri" w:hAnsi="Calibri"/>
          <w:color w:val="263238"/>
          <w:sz w:val="22"/>
        </w:rPr>
        <w:t>yfinance project documentation. https://ranaroussi.github.io/yfinance/</w:t>
      </w:r>
    </w:p>
    <w:p>
      <w:pPr>
        <w:pStyle w:val="ListBullet"/>
      </w:pPr>
      <w:r>
        <w:rPr>
          <w:rFonts w:ascii="Calibri" w:hAnsi="Calibri"/>
          <w:color w:val="263238"/>
          <w:sz w:val="22"/>
        </w:rPr>
        <w:t>Chroma documentation. https://docs.trychroma.com/</w:t>
      </w:r>
    </w:p>
    <w:p>
      <w:pPr>
        <w:pStyle w:val="ListBullet"/>
      </w:pPr>
      <w:r>
        <w:rPr>
          <w:rFonts w:ascii="Calibri" w:hAnsi="Calibri"/>
          <w:color w:val="263238"/>
          <w:sz w:val="22"/>
        </w:rPr>
        <w:t>OpenAI API documentation. https://platform.openai.com/docs/</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27B"/>
        <w:sz w:val="18"/>
      </w:rPr>
      <w:t xml:space="preserve">Page </w:t>
    </w:r>
    <w:r>
      <w:rPr>
        <w:rFonts w:ascii="Calibri" w:hAnsi="Calibri"/>
        <w:color w:val="66727B"/>
        <w:sz w:val="18"/>
      </w:rPr>
      <w:fldChar w:fldCharType="begin"/>
      <w:instrText xml:space="preserve">PAGE</w:instrText>
      <w:fldChar w:fldCharType="separate"/>
      <w:t>1</w:t>
      <w:fldChar w:fldCharType="end"/>
    </w:r>
    <w:r>
      <w:rPr>
        <w:rFonts w:ascii="Calibri" w:hAnsi="Calibri"/>
        <w:color w:val="66727B"/>
        <w:sz w:val="18"/>
      </w:rPr>
      <w:t xml:space="preserve"> of </w:t>
    </w:r>
    <w:r>
      <w:rPr>
        <w:rFonts w:ascii="Calibri" w:hAnsi="Calibri"/>
        <w:color w:val="66727B"/>
        <w:sz w:val="18"/>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27B"/>
        <w:sz w:val="18"/>
      </w:rPr>
      <w:t>Phase 1 submission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27B"/>
        <w:sz w:val="17"/>
      </w:rPr>
      <w:t>FINANCIAL INTELLIGENCE ENGINE  |  PHASE 1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93" w:lineRule="auto"/>
      <w:jc w:val="both"/>
    </w:pPr>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7D8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32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Intelligence Engine - Phase 1 Final Project Report</dc:title>
  <dc:subject>Multi-Agent RAG and Machine Learning for Explainable Investment Decision Support</dc:subject>
  <dc:creator>Sumeet Panda</dc:creator>
  <cp:keywords>financial intelligence, RAG, multi-agent, machine learning, GenAI, ChromaDB</cp:keywords>
  <dc:description>generated by python-docx</dc:description>
  <cp:lastModifiedBy/>
  <cp:revision>1</cp:revision>
  <dcterms:created xsi:type="dcterms:W3CDTF">2013-12-23T23:15:00Z</dcterms:created>
  <dcterms:modified xsi:type="dcterms:W3CDTF">2013-12-23T23:15:00Z</dcterms:modified>
  <cp:category/>
</cp:coreProperties>
</file>