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480" w:type="dxa"/>
        <w:tblCellMar>
          <w:left w:w="0" w:type="dxa"/>
          <w:right w:w="0" w:type="dxa"/>
        </w:tblCellMar>
        <w:tblLook w:val="04A0" w:firstRow="1" w:lastRow="0" w:firstColumn="1" w:lastColumn="0" w:noHBand="0" w:noVBand="1"/>
      </w:tblPr>
      <w:tblGrid>
        <w:gridCol w:w="708"/>
        <w:gridCol w:w="2039"/>
        <w:gridCol w:w="1464"/>
        <w:gridCol w:w="3269"/>
      </w:tblGrid>
      <w:tr w:rsidR="002F48AA" w:rsidRPr="00472907" w14:paraId="472DC803" w14:textId="77777777" w:rsidTr="003E6992">
        <w:trPr>
          <w:trHeight w:val="19"/>
        </w:trPr>
        <w:tc>
          <w:tcPr>
            <w:tcW w:w="708" w:type="dxa"/>
            <w:tcBorders>
              <w:top w:val="single" w:sz="8" w:space="0" w:color="auto"/>
              <w:left w:val="single" w:sz="8" w:space="0" w:color="auto"/>
              <w:bottom w:val="single" w:sz="8" w:space="0" w:color="auto"/>
              <w:right w:val="single" w:sz="8" w:space="0" w:color="auto"/>
            </w:tcBorders>
            <w:shd w:val="clear" w:color="auto" w:fill="0070C0"/>
            <w:noWrap/>
            <w:tcMar>
              <w:top w:w="0" w:type="dxa"/>
              <w:left w:w="108" w:type="dxa"/>
              <w:bottom w:w="0" w:type="dxa"/>
              <w:right w:w="108" w:type="dxa"/>
            </w:tcMar>
            <w:vAlign w:val="bottom"/>
            <w:hideMark/>
          </w:tcPr>
          <w:p w14:paraId="29F942F1" w14:textId="77777777" w:rsidR="002F48AA" w:rsidRPr="00A64490" w:rsidRDefault="002F48AA" w:rsidP="003E6992">
            <w:pPr>
              <w:spacing w:line="240" w:lineRule="auto"/>
              <w:rPr>
                <w:rFonts w:ascii="Arial" w:hAnsi="Arial"/>
                <w:b/>
                <w:bCs/>
                <w:color w:val="FFFFFF"/>
                <w:szCs w:val="22"/>
                <w:u w:val="single"/>
                <w:lang w:val="en-IE" w:eastAsia="en-IE"/>
              </w:rPr>
            </w:pPr>
            <w:r w:rsidRPr="00A64490">
              <w:rPr>
                <w:rFonts w:ascii="Arial" w:hAnsi="Arial"/>
                <w:b/>
                <w:bCs/>
                <w:color w:val="FFFFFF"/>
                <w:szCs w:val="22"/>
                <w:u w:val="single"/>
                <w:lang w:eastAsia="en-IE"/>
              </w:rPr>
              <w:t>No</w:t>
            </w:r>
          </w:p>
        </w:tc>
        <w:tc>
          <w:tcPr>
            <w:tcW w:w="2039" w:type="dxa"/>
            <w:tcBorders>
              <w:top w:val="single" w:sz="8" w:space="0" w:color="auto"/>
              <w:left w:val="nil"/>
              <w:bottom w:val="single" w:sz="8" w:space="0" w:color="auto"/>
              <w:right w:val="single" w:sz="8" w:space="0" w:color="auto"/>
            </w:tcBorders>
            <w:shd w:val="clear" w:color="auto" w:fill="0070C0"/>
            <w:noWrap/>
            <w:tcMar>
              <w:top w:w="0" w:type="dxa"/>
              <w:left w:w="108" w:type="dxa"/>
              <w:bottom w:w="0" w:type="dxa"/>
              <w:right w:w="108" w:type="dxa"/>
            </w:tcMar>
            <w:vAlign w:val="bottom"/>
            <w:hideMark/>
          </w:tcPr>
          <w:p w14:paraId="5A89D5D1" w14:textId="77777777" w:rsidR="002F48AA" w:rsidRPr="00A64490" w:rsidRDefault="002F48AA" w:rsidP="003E6992">
            <w:pPr>
              <w:spacing w:line="240" w:lineRule="auto"/>
              <w:jc w:val="center"/>
              <w:rPr>
                <w:rFonts w:ascii="Arial" w:hAnsi="Arial"/>
                <w:b/>
                <w:bCs/>
                <w:color w:val="FFFFFF"/>
                <w:szCs w:val="22"/>
                <w:u w:val="single"/>
                <w:lang w:eastAsia="en-IE"/>
              </w:rPr>
            </w:pPr>
            <w:r w:rsidRPr="00A64490">
              <w:rPr>
                <w:rFonts w:ascii="Arial" w:hAnsi="Arial"/>
                <w:b/>
                <w:bCs/>
                <w:color w:val="FFFFFF"/>
                <w:szCs w:val="22"/>
                <w:u w:val="single"/>
                <w:lang w:eastAsia="en-IE"/>
              </w:rPr>
              <w:t>Idea</w:t>
            </w:r>
          </w:p>
        </w:tc>
        <w:tc>
          <w:tcPr>
            <w:tcW w:w="1464" w:type="dxa"/>
            <w:tcBorders>
              <w:top w:val="single" w:sz="8" w:space="0" w:color="auto"/>
              <w:left w:val="nil"/>
              <w:bottom w:val="single" w:sz="8" w:space="0" w:color="auto"/>
              <w:right w:val="single" w:sz="8" w:space="0" w:color="auto"/>
            </w:tcBorders>
            <w:shd w:val="clear" w:color="auto" w:fill="0070C0"/>
            <w:noWrap/>
            <w:tcMar>
              <w:top w:w="0" w:type="dxa"/>
              <w:left w:w="108" w:type="dxa"/>
              <w:bottom w:w="0" w:type="dxa"/>
              <w:right w:w="108" w:type="dxa"/>
            </w:tcMar>
            <w:vAlign w:val="bottom"/>
            <w:hideMark/>
          </w:tcPr>
          <w:p w14:paraId="74DC8A97" w14:textId="77777777" w:rsidR="002F48AA" w:rsidRPr="00A64490" w:rsidRDefault="002F48AA" w:rsidP="003E6992">
            <w:pPr>
              <w:spacing w:line="240" w:lineRule="auto"/>
              <w:jc w:val="center"/>
              <w:rPr>
                <w:rFonts w:ascii="Arial" w:hAnsi="Arial"/>
                <w:b/>
                <w:bCs/>
                <w:color w:val="FFFFFF"/>
                <w:szCs w:val="22"/>
                <w:u w:val="single"/>
                <w:lang w:eastAsia="en-IE"/>
              </w:rPr>
            </w:pPr>
            <w:r w:rsidRPr="00A64490">
              <w:rPr>
                <w:rFonts w:ascii="Arial" w:hAnsi="Arial"/>
                <w:b/>
                <w:bCs/>
                <w:color w:val="FFFFFF"/>
                <w:szCs w:val="22"/>
                <w:u w:val="single"/>
                <w:lang w:eastAsia="en-IE"/>
              </w:rPr>
              <w:t>Area</w:t>
            </w:r>
          </w:p>
        </w:tc>
        <w:tc>
          <w:tcPr>
            <w:tcW w:w="3269" w:type="dxa"/>
            <w:tcBorders>
              <w:top w:val="single" w:sz="8" w:space="0" w:color="auto"/>
              <w:left w:val="nil"/>
              <w:bottom w:val="single" w:sz="8" w:space="0" w:color="auto"/>
              <w:right w:val="single" w:sz="8" w:space="0" w:color="auto"/>
            </w:tcBorders>
            <w:shd w:val="clear" w:color="auto" w:fill="0070C0"/>
          </w:tcPr>
          <w:p w14:paraId="4BBDB0A0" w14:textId="77777777" w:rsidR="002F48AA" w:rsidRPr="00A64490" w:rsidRDefault="002F48AA" w:rsidP="003E6992">
            <w:pPr>
              <w:spacing w:line="240" w:lineRule="auto"/>
              <w:jc w:val="center"/>
              <w:rPr>
                <w:rFonts w:ascii="Arial" w:hAnsi="Arial"/>
                <w:b/>
                <w:bCs/>
                <w:color w:val="FFFFFF"/>
                <w:szCs w:val="22"/>
                <w:u w:val="single"/>
                <w:lang w:eastAsia="en-IE"/>
              </w:rPr>
            </w:pPr>
            <w:r w:rsidRPr="00A64490">
              <w:rPr>
                <w:rFonts w:ascii="Arial" w:hAnsi="Arial"/>
                <w:b/>
                <w:bCs/>
                <w:color w:val="FFFFFF"/>
                <w:szCs w:val="22"/>
                <w:u w:val="single"/>
                <w:lang w:eastAsia="en-IE"/>
              </w:rPr>
              <w:t>Potential Benefits</w:t>
            </w:r>
          </w:p>
        </w:tc>
      </w:tr>
      <w:tr w:rsidR="002F48AA" w:rsidRPr="00472907" w14:paraId="3A1CE33F" w14:textId="77777777" w:rsidTr="003E6992">
        <w:trPr>
          <w:trHeight w:val="19"/>
        </w:trPr>
        <w:tc>
          <w:tcPr>
            <w:tcW w:w="70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3F773A50" w14:textId="03D0185D" w:rsidR="002F48AA" w:rsidRPr="00A64490" w:rsidRDefault="00244104" w:rsidP="003E6992">
            <w:pPr>
              <w:spacing w:line="240" w:lineRule="auto"/>
              <w:ind w:right="57"/>
              <w:contextualSpacing/>
              <w:jc w:val="left"/>
              <w:rPr>
                <w:rFonts w:ascii="Arial" w:hAnsi="Arial"/>
                <w:szCs w:val="22"/>
                <w:lang w:eastAsia="en-IE"/>
              </w:rPr>
            </w:pPr>
            <w:r>
              <w:rPr>
                <w:rFonts w:ascii="Arial" w:hAnsi="Arial"/>
                <w:szCs w:val="22"/>
                <w:lang w:eastAsia="en-IE"/>
              </w:rPr>
              <w:t>1</w:t>
            </w:r>
            <w:r w:rsidR="002F48AA" w:rsidRPr="00A64490">
              <w:rPr>
                <w:rFonts w:ascii="Arial" w:hAnsi="Arial"/>
                <w:szCs w:val="22"/>
                <w:lang w:eastAsia="en-IE"/>
              </w:rPr>
              <w:t>.</w:t>
            </w:r>
          </w:p>
        </w:tc>
        <w:tc>
          <w:tcPr>
            <w:tcW w:w="20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8EA8E2" w14:textId="77777777" w:rsidR="008376BA" w:rsidRPr="00FF5DB1" w:rsidRDefault="008376BA" w:rsidP="003E6992">
            <w:pPr>
              <w:spacing w:line="240" w:lineRule="auto"/>
              <w:ind w:right="57"/>
              <w:contextualSpacing/>
              <w:jc w:val="left"/>
              <w:rPr>
                <w:rFonts w:ascii="Arial" w:hAnsi="Arial"/>
                <w:szCs w:val="22"/>
              </w:rPr>
            </w:pPr>
            <w:r w:rsidRPr="00FF5DB1">
              <w:rPr>
                <w:rFonts w:ascii="Arial" w:hAnsi="Arial"/>
                <w:szCs w:val="22"/>
              </w:rPr>
              <w:t>Implemented</w:t>
            </w:r>
            <w:r w:rsidR="00270FA3" w:rsidRPr="00FF5DB1">
              <w:rPr>
                <w:rFonts w:ascii="Arial" w:hAnsi="Arial"/>
                <w:szCs w:val="22"/>
              </w:rPr>
              <w:t xml:space="preserve"> scalable,</w:t>
            </w:r>
            <w:r w:rsidRPr="00FF5DB1">
              <w:rPr>
                <w:rFonts w:ascii="Arial" w:hAnsi="Arial"/>
                <w:szCs w:val="22"/>
              </w:rPr>
              <w:t xml:space="preserve"> open source</w:t>
            </w:r>
            <w:r w:rsidR="00270FA3" w:rsidRPr="00FF5DB1">
              <w:rPr>
                <w:rFonts w:ascii="Arial" w:hAnsi="Arial"/>
                <w:szCs w:val="22"/>
              </w:rPr>
              <w:t xml:space="preserve"> real-time streaming </w:t>
            </w:r>
            <w:r w:rsidRPr="00FF5DB1">
              <w:rPr>
                <w:rFonts w:ascii="Arial" w:hAnsi="Arial"/>
                <w:szCs w:val="22"/>
              </w:rPr>
              <w:t xml:space="preserve">Data platform tool called Cloudera Dataflows (NiFi) for ingesting data from different source systems into Hadoop Data lake. </w:t>
            </w:r>
          </w:p>
          <w:p w14:paraId="5C04D4E5" w14:textId="5B5275E9" w:rsidR="008376BA" w:rsidRPr="008376BA" w:rsidRDefault="008376BA" w:rsidP="003E6992">
            <w:pPr>
              <w:spacing w:line="240" w:lineRule="auto"/>
              <w:ind w:right="57"/>
              <w:contextualSpacing/>
              <w:jc w:val="left"/>
            </w:pPr>
            <w:r w:rsidRPr="00FF5DB1">
              <w:rPr>
                <w:rFonts w:ascii="Arial" w:hAnsi="Arial"/>
                <w:szCs w:val="22"/>
              </w:rPr>
              <w:t xml:space="preserve">We implemented this on a Test Data Lake and replicated data to production Data Lake to </w:t>
            </w:r>
            <w:r w:rsidR="003864A4">
              <w:rPr>
                <w:rFonts w:ascii="Arial" w:hAnsi="Arial"/>
                <w:szCs w:val="22"/>
              </w:rPr>
              <w:t xml:space="preserve">overcome </w:t>
            </w:r>
            <w:r w:rsidRPr="00FF5DB1">
              <w:rPr>
                <w:rFonts w:ascii="Arial" w:hAnsi="Arial"/>
                <w:szCs w:val="22"/>
              </w:rPr>
              <w:t>Cloudera’s Licensing Cost on NiFi Tool</w:t>
            </w:r>
          </w:p>
        </w:tc>
        <w:tc>
          <w:tcPr>
            <w:tcW w:w="14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40684596" w14:textId="595ED10C" w:rsidR="002F48AA" w:rsidRPr="00A64490" w:rsidRDefault="008376BA" w:rsidP="003E6992">
            <w:pPr>
              <w:spacing w:line="240" w:lineRule="auto"/>
              <w:ind w:right="57"/>
              <w:contextualSpacing/>
              <w:jc w:val="left"/>
              <w:rPr>
                <w:rFonts w:ascii="Arial" w:hAnsi="Arial"/>
                <w:szCs w:val="22"/>
                <w:lang w:eastAsia="en-IE"/>
              </w:rPr>
            </w:pPr>
            <w:r w:rsidRPr="00270FA3">
              <w:rPr>
                <w:rFonts w:ascii="Arial" w:hAnsi="Arial"/>
                <w:szCs w:val="22"/>
              </w:rPr>
              <w:t>Data Lake</w:t>
            </w:r>
          </w:p>
        </w:tc>
        <w:tc>
          <w:tcPr>
            <w:tcW w:w="3269" w:type="dxa"/>
            <w:tcBorders>
              <w:top w:val="single" w:sz="4" w:space="0" w:color="auto"/>
              <w:left w:val="single" w:sz="4" w:space="0" w:color="auto"/>
              <w:bottom w:val="single" w:sz="4" w:space="0" w:color="auto"/>
              <w:right w:val="single" w:sz="4" w:space="0" w:color="auto"/>
            </w:tcBorders>
          </w:tcPr>
          <w:p w14:paraId="7308A6EE" w14:textId="1C9FD8ED" w:rsidR="00244104" w:rsidRPr="00244104" w:rsidRDefault="00244104" w:rsidP="00244104">
            <w:pPr>
              <w:spacing w:after="0" w:line="240" w:lineRule="auto"/>
              <w:jc w:val="left"/>
              <w:rPr>
                <w:rFonts w:ascii="Arial" w:hAnsi="Arial"/>
                <w:b/>
                <w:bCs/>
                <w:szCs w:val="22"/>
              </w:rPr>
            </w:pPr>
            <w:r w:rsidRPr="00244104">
              <w:rPr>
                <w:rFonts w:ascii="Verdana" w:hAnsi="Verdana"/>
                <w:b/>
                <w:bCs/>
                <w:sz w:val="20"/>
                <w:szCs w:val="20"/>
              </w:rPr>
              <w:t>•</w:t>
            </w:r>
            <w:r>
              <w:rPr>
                <w:rFonts w:ascii="Verdana" w:hAnsi="Verdana"/>
                <w:b/>
                <w:bCs/>
                <w:sz w:val="20"/>
                <w:szCs w:val="20"/>
              </w:rPr>
              <w:t xml:space="preserve"> </w:t>
            </w:r>
            <w:r w:rsidRPr="00244104">
              <w:rPr>
                <w:rFonts w:ascii="Arial" w:hAnsi="Arial"/>
                <w:b/>
                <w:bCs/>
                <w:szCs w:val="22"/>
              </w:rPr>
              <w:t xml:space="preserve">Reduce Data integration development time </w:t>
            </w:r>
          </w:p>
          <w:p w14:paraId="2DF8FBA9" w14:textId="479E4E04" w:rsidR="00244104" w:rsidRPr="00244104" w:rsidRDefault="00244104" w:rsidP="00244104">
            <w:pPr>
              <w:spacing w:after="0" w:line="240" w:lineRule="auto"/>
              <w:jc w:val="left"/>
              <w:rPr>
                <w:rFonts w:ascii="Arial" w:hAnsi="Arial"/>
                <w:b/>
                <w:bCs/>
                <w:szCs w:val="22"/>
              </w:rPr>
            </w:pPr>
            <w:r w:rsidRPr="00244104">
              <w:rPr>
                <w:rFonts w:ascii="Arial" w:hAnsi="Arial"/>
                <w:b/>
                <w:bCs/>
                <w:szCs w:val="22"/>
              </w:rPr>
              <w:t>• Processing real-time data streaming at high volume and high scale and tracking data provenance, lineage of streaming data</w:t>
            </w:r>
          </w:p>
          <w:p w14:paraId="060B9768" w14:textId="77777777" w:rsidR="008376BA" w:rsidRDefault="00244104" w:rsidP="00244104">
            <w:pPr>
              <w:spacing w:after="0" w:line="240" w:lineRule="auto"/>
              <w:jc w:val="left"/>
              <w:rPr>
                <w:rFonts w:ascii="Arial" w:hAnsi="Arial"/>
                <w:b/>
                <w:bCs/>
                <w:szCs w:val="22"/>
              </w:rPr>
            </w:pPr>
            <w:r w:rsidRPr="00244104">
              <w:rPr>
                <w:rFonts w:ascii="Arial" w:hAnsi="Arial"/>
                <w:b/>
                <w:bCs/>
                <w:szCs w:val="22"/>
              </w:rPr>
              <w:t>• Lends well to visual creation and management of directed graphs of processors</w:t>
            </w:r>
          </w:p>
          <w:p w14:paraId="7B4250A6" w14:textId="005F6FC6" w:rsidR="00244104" w:rsidRPr="00A64490" w:rsidRDefault="00244104" w:rsidP="00244104">
            <w:pPr>
              <w:spacing w:after="0" w:line="240" w:lineRule="auto"/>
              <w:jc w:val="left"/>
              <w:rPr>
                <w:rFonts w:ascii="Arial" w:hAnsi="Arial"/>
                <w:szCs w:val="22"/>
              </w:rPr>
            </w:pPr>
          </w:p>
        </w:tc>
      </w:tr>
      <w:tr w:rsidR="00A74122" w:rsidRPr="00472907" w14:paraId="4B213766" w14:textId="77777777" w:rsidTr="003E6992">
        <w:trPr>
          <w:trHeight w:val="19"/>
        </w:trPr>
        <w:tc>
          <w:tcPr>
            <w:tcW w:w="70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7332958E" w14:textId="3A7CDE15" w:rsidR="00A74122" w:rsidRDefault="00A74122" w:rsidP="00A74122">
            <w:pPr>
              <w:spacing w:line="240" w:lineRule="auto"/>
              <w:ind w:right="57"/>
              <w:contextualSpacing/>
              <w:jc w:val="left"/>
              <w:rPr>
                <w:rFonts w:ascii="Arial" w:hAnsi="Arial"/>
                <w:szCs w:val="22"/>
                <w:lang w:eastAsia="en-IE"/>
              </w:rPr>
            </w:pPr>
            <w:r>
              <w:rPr>
                <w:rFonts w:ascii="Arial" w:hAnsi="Arial"/>
                <w:szCs w:val="22"/>
                <w:lang w:eastAsia="en-IE"/>
              </w:rPr>
              <w:t>2.</w:t>
            </w:r>
          </w:p>
        </w:tc>
        <w:tc>
          <w:tcPr>
            <w:tcW w:w="20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A062DE" w14:textId="7029AAA0" w:rsidR="00A74122" w:rsidRPr="00FF5DB1" w:rsidRDefault="00A74122" w:rsidP="00A74122">
            <w:pPr>
              <w:spacing w:line="240" w:lineRule="auto"/>
              <w:ind w:right="57"/>
              <w:contextualSpacing/>
              <w:jc w:val="left"/>
              <w:rPr>
                <w:rFonts w:ascii="Arial" w:hAnsi="Arial"/>
                <w:szCs w:val="22"/>
              </w:rPr>
            </w:pPr>
            <w:r>
              <w:rPr>
                <w:rFonts w:ascii="Arial" w:hAnsi="Arial"/>
                <w:szCs w:val="22"/>
              </w:rPr>
              <w:t xml:space="preserve">Automated bulk metadata Tagging in Data Lake for all SAP ISU tables and field names in German to  English </w:t>
            </w:r>
          </w:p>
        </w:tc>
        <w:tc>
          <w:tcPr>
            <w:tcW w:w="14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01FDC947" w14:textId="0983C061" w:rsidR="00A74122" w:rsidRPr="00270FA3" w:rsidRDefault="00A74122" w:rsidP="00A74122">
            <w:pPr>
              <w:spacing w:line="240" w:lineRule="auto"/>
              <w:ind w:right="57"/>
              <w:contextualSpacing/>
              <w:jc w:val="left"/>
              <w:rPr>
                <w:rFonts w:ascii="Arial" w:hAnsi="Arial"/>
                <w:szCs w:val="22"/>
              </w:rPr>
            </w:pPr>
            <w:r w:rsidRPr="00270FA3">
              <w:rPr>
                <w:rFonts w:ascii="Arial" w:hAnsi="Arial"/>
                <w:szCs w:val="22"/>
              </w:rPr>
              <w:t>Data Lake</w:t>
            </w:r>
          </w:p>
        </w:tc>
        <w:tc>
          <w:tcPr>
            <w:tcW w:w="3269" w:type="dxa"/>
            <w:tcBorders>
              <w:top w:val="single" w:sz="4" w:space="0" w:color="auto"/>
              <w:left w:val="single" w:sz="4" w:space="0" w:color="auto"/>
              <w:bottom w:val="single" w:sz="4" w:space="0" w:color="auto"/>
              <w:right w:val="single" w:sz="4" w:space="0" w:color="auto"/>
            </w:tcBorders>
          </w:tcPr>
          <w:p w14:paraId="001F4831" w14:textId="1E77ED48" w:rsidR="00A74122" w:rsidRPr="00244104" w:rsidRDefault="00A74122" w:rsidP="00A74122">
            <w:pPr>
              <w:spacing w:after="0" w:line="240" w:lineRule="auto"/>
              <w:jc w:val="left"/>
              <w:rPr>
                <w:rFonts w:ascii="Verdana" w:hAnsi="Verdana"/>
                <w:b/>
                <w:bCs/>
                <w:sz w:val="20"/>
                <w:szCs w:val="20"/>
              </w:rPr>
            </w:pPr>
            <w:r>
              <w:rPr>
                <w:rFonts w:ascii="Arial" w:hAnsi="Arial"/>
                <w:b/>
                <w:bCs/>
                <w:szCs w:val="22"/>
              </w:rPr>
              <w:t xml:space="preserve">Improved Data Quality due to explanation of all abbreviated SAP Fields in German to English </w:t>
            </w:r>
          </w:p>
        </w:tc>
      </w:tr>
      <w:tr w:rsidR="00A74122" w:rsidRPr="00472907" w14:paraId="5E707C94" w14:textId="77777777" w:rsidTr="003E6992">
        <w:trPr>
          <w:trHeight w:val="19"/>
        </w:trPr>
        <w:tc>
          <w:tcPr>
            <w:tcW w:w="70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237C0FC" w14:textId="0BECD2F6" w:rsidR="00A74122" w:rsidRDefault="00A74122" w:rsidP="00A74122">
            <w:pPr>
              <w:spacing w:line="240" w:lineRule="auto"/>
              <w:ind w:right="57"/>
              <w:contextualSpacing/>
              <w:jc w:val="left"/>
              <w:rPr>
                <w:rFonts w:ascii="Arial" w:hAnsi="Arial"/>
                <w:szCs w:val="22"/>
                <w:lang w:eastAsia="en-IE"/>
              </w:rPr>
            </w:pPr>
            <w:r>
              <w:rPr>
                <w:rFonts w:ascii="Arial" w:hAnsi="Arial"/>
                <w:szCs w:val="22"/>
                <w:lang w:eastAsia="en-IE"/>
              </w:rPr>
              <w:t>3.</w:t>
            </w:r>
          </w:p>
        </w:tc>
        <w:tc>
          <w:tcPr>
            <w:tcW w:w="20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9A7A60" w14:textId="77777777" w:rsidR="00A74122" w:rsidRDefault="00A74122" w:rsidP="00A74122">
            <w:pPr>
              <w:spacing w:line="240" w:lineRule="auto"/>
              <w:ind w:right="57"/>
              <w:contextualSpacing/>
              <w:jc w:val="left"/>
              <w:rPr>
                <w:rFonts w:ascii="Arial" w:hAnsi="Arial"/>
                <w:szCs w:val="22"/>
              </w:rPr>
            </w:pPr>
            <w:r>
              <w:rPr>
                <w:rFonts w:ascii="Arial" w:hAnsi="Arial"/>
                <w:szCs w:val="22"/>
              </w:rPr>
              <w:t>Implemented</w:t>
            </w:r>
            <w:r w:rsidRPr="00270FA3">
              <w:rPr>
                <w:rFonts w:ascii="Arial" w:hAnsi="Arial"/>
                <w:szCs w:val="22"/>
              </w:rPr>
              <w:t xml:space="preserve"> NFS Gateway</w:t>
            </w:r>
            <w:r>
              <w:rPr>
                <w:rFonts w:ascii="Arial" w:hAnsi="Arial"/>
                <w:szCs w:val="22"/>
              </w:rPr>
              <w:t xml:space="preserve"> Architecture</w:t>
            </w:r>
            <w:r w:rsidRPr="00270FA3">
              <w:rPr>
                <w:rFonts w:ascii="Arial" w:hAnsi="Arial"/>
                <w:szCs w:val="22"/>
              </w:rPr>
              <w:t xml:space="preserve"> for file transfer from SAP DS Prod servers directly to Prod HDFS Directory</w:t>
            </w:r>
            <w:r>
              <w:rPr>
                <w:rFonts w:ascii="Arial" w:hAnsi="Arial"/>
                <w:szCs w:val="22"/>
              </w:rPr>
              <w:t>.</w:t>
            </w:r>
          </w:p>
          <w:p w14:paraId="7FF33C30" w14:textId="3C5596A8" w:rsidR="00A74122" w:rsidRDefault="00A74122" w:rsidP="00A74122">
            <w:pPr>
              <w:spacing w:line="240" w:lineRule="auto"/>
              <w:ind w:right="57"/>
              <w:contextualSpacing/>
              <w:jc w:val="left"/>
            </w:pPr>
            <w:r w:rsidRPr="00270FA3">
              <w:rPr>
                <w:rFonts w:ascii="Arial" w:hAnsi="Arial"/>
                <w:szCs w:val="22"/>
              </w:rPr>
              <w:t>This integration allows SAP DS extracts to be ingested directly to Hadoop</w:t>
            </w:r>
            <w:r>
              <w:rPr>
                <w:rFonts w:ascii="Arial" w:hAnsi="Arial"/>
                <w:szCs w:val="22"/>
              </w:rPr>
              <w:t xml:space="preserve"> </w:t>
            </w:r>
            <w:r w:rsidRPr="00270FA3">
              <w:rPr>
                <w:rFonts w:ascii="Arial" w:hAnsi="Arial"/>
                <w:szCs w:val="22"/>
              </w:rPr>
              <w:t xml:space="preserve">in place of </w:t>
            </w:r>
            <w:r>
              <w:rPr>
                <w:rFonts w:ascii="Arial" w:hAnsi="Arial"/>
                <w:szCs w:val="22"/>
              </w:rPr>
              <w:t xml:space="preserve">a </w:t>
            </w:r>
            <w:r w:rsidRPr="00270FA3">
              <w:rPr>
                <w:rFonts w:ascii="Arial" w:hAnsi="Arial"/>
                <w:szCs w:val="22"/>
              </w:rPr>
              <w:t>Linux directo</w:t>
            </w:r>
            <w:r>
              <w:rPr>
                <w:rFonts w:ascii="Arial" w:hAnsi="Arial"/>
                <w:szCs w:val="22"/>
              </w:rPr>
              <w:t>ries and then Sync with Hadoop.</w:t>
            </w:r>
          </w:p>
        </w:tc>
        <w:tc>
          <w:tcPr>
            <w:tcW w:w="14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315909EE" w14:textId="3A818672" w:rsidR="00A74122" w:rsidRPr="00270FA3" w:rsidRDefault="00A74122" w:rsidP="00A74122">
            <w:pPr>
              <w:spacing w:line="240" w:lineRule="auto"/>
              <w:ind w:right="57"/>
              <w:contextualSpacing/>
              <w:jc w:val="left"/>
              <w:rPr>
                <w:rFonts w:ascii="Arial" w:hAnsi="Arial"/>
                <w:szCs w:val="22"/>
              </w:rPr>
            </w:pPr>
            <w:r w:rsidRPr="00270FA3">
              <w:rPr>
                <w:rFonts w:ascii="Arial" w:hAnsi="Arial"/>
                <w:szCs w:val="22"/>
              </w:rPr>
              <w:t>Data Lake</w:t>
            </w:r>
          </w:p>
        </w:tc>
        <w:tc>
          <w:tcPr>
            <w:tcW w:w="3269" w:type="dxa"/>
            <w:tcBorders>
              <w:top w:val="single" w:sz="4" w:space="0" w:color="auto"/>
              <w:left w:val="single" w:sz="4" w:space="0" w:color="auto"/>
              <w:bottom w:val="single" w:sz="4" w:space="0" w:color="auto"/>
              <w:right w:val="single" w:sz="4" w:space="0" w:color="auto"/>
            </w:tcBorders>
          </w:tcPr>
          <w:p w14:paraId="160F8DF8" w14:textId="62039284" w:rsidR="00A74122" w:rsidRPr="00270FA3" w:rsidRDefault="00A74122" w:rsidP="00A74122">
            <w:pPr>
              <w:spacing w:after="0" w:line="240" w:lineRule="auto"/>
              <w:jc w:val="left"/>
              <w:rPr>
                <w:rFonts w:ascii="Arial" w:hAnsi="Arial"/>
                <w:b/>
                <w:bCs/>
                <w:szCs w:val="22"/>
              </w:rPr>
            </w:pPr>
            <w:r w:rsidRPr="00270FA3">
              <w:rPr>
                <w:rFonts w:ascii="Arial" w:hAnsi="Arial"/>
                <w:b/>
                <w:bCs/>
                <w:szCs w:val="22"/>
              </w:rPr>
              <w:t>Significantly reduce</w:t>
            </w:r>
            <w:r>
              <w:rPr>
                <w:rFonts w:ascii="Arial" w:hAnsi="Arial"/>
                <w:b/>
                <w:bCs/>
                <w:szCs w:val="22"/>
              </w:rPr>
              <w:t>d</w:t>
            </w:r>
            <w:r w:rsidRPr="00270FA3">
              <w:rPr>
                <w:rFonts w:ascii="Arial" w:hAnsi="Arial"/>
                <w:b/>
                <w:bCs/>
                <w:szCs w:val="22"/>
              </w:rPr>
              <w:t xml:space="preserve"> the latency of 4</w:t>
            </w:r>
            <w:r w:rsidR="003864A4">
              <w:rPr>
                <w:rFonts w:ascii="Arial" w:hAnsi="Arial"/>
                <w:b/>
                <w:bCs/>
                <w:szCs w:val="22"/>
              </w:rPr>
              <w:t>-</w:t>
            </w:r>
            <w:bookmarkStart w:id="0" w:name="_GoBack"/>
            <w:bookmarkEnd w:id="0"/>
            <w:r w:rsidR="003864A4">
              <w:rPr>
                <w:rFonts w:ascii="Arial" w:hAnsi="Arial"/>
                <w:b/>
                <w:bCs/>
                <w:szCs w:val="22"/>
              </w:rPr>
              <w:t xml:space="preserve">5 </w:t>
            </w:r>
            <w:r w:rsidRPr="00270FA3">
              <w:rPr>
                <w:rFonts w:ascii="Arial" w:hAnsi="Arial"/>
                <w:b/>
                <w:bCs/>
                <w:szCs w:val="22"/>
              </w:rPr>
              <w:t>hours</w:t>
            </w:r>
            <w:r>
              <w:rPr>
                <w:rFonts w:ascii="Arial" w:hAnsi="Arial"/>
                <w:b/>
                <w:bCs/>
                <w:szCs w:val="22"/>
              </w:rPr>
              <w:t xml:space="preserve"> for daily batch suite</w:t>
            </w:r>
            <w:r w:rsidRPr="00270FA3">
              <w:rPr>
                <w:rFonts w:ascii="Arial" w:hAnsi="Arial"/>
                <w:b/>
                <w:bCs/>
                <w:szCs w:val="22"/>
              </w:rPr>
              <w:t xml:space="preserve">. </w:t>
            </w:r>
          </w:p>
          <w:p w14:paraId="3FDEB91E" w14:textId="77777777" w:rsidR="00A74122" w:rsidRPr="00244104" w:rsidRDefault="00A74122" w:rsidP="00A74122">
            <w:pPr>
              <w:spacing w:line="240" w:lineRule="auto"/>
              <w:ind w:right="57"/>
              <w:contextualSpacing/>
              <w:jc w:val="left"/>
              <w:rPr>
                <w:rFonts w:ascii="Verdana" w:hAnsi="Verdana"/>
                <w:b/>
                <w:bCs/>
                <w:sz w:val="20"/>
                <w:szCs w:val="20"/>
              </w:rPr>
            </w:pPr>
          </w:p>
        </w:tc>
      </w:tr>
    </w:tbl>
    <w:p w14:paraId="600E03E1" w14:textId="0A1AA905" w:rsidR="005658B0" w:rsidRDefault="003864A4"/>
    <w:p w14:paraId="3BD2D1D9" w14:textId="21C9520B" w:rsidR="00B438E1" w:rsidRDefault="00B438E1"/>
    <w:tbl>
      <w:tblPr>
        <w:tblW w:w="5535" w:type="pct"/>
        <w:tblInd w:w="-725" w:type="dxa"/>
        <w:tblLook w:val="04A0" w:firstRow="1" w:lastRow="0" w:firstColumn="1" w:lastColumn="0" w:noHBand="0" w:noVBand="1"/>
      </w:tblPr>
      <w:tblGrid>
        <w:gridCol w:w="9986"/>
      </w:tblGrid>
      <w:tr w:rsidR="00B438E1" w:rsidRPr="00472907" w14:paraId="120ECCA5" w14:textId="77777777" w:rsidTr="003E6992">
        <w:trPr>
          <w:trHeight w:val="300"/>
        </w:trPr>
        <w:tc>
          <w:tcPr>
            <w:tcW w:w="3863" w:type="pct"/>
            <w:tcBorders>
              <w:top w:val="nil"/>
              <w:left w:val="nil"/>
              <w:bottom w:val="single" w:sz="4" w:space="0" w:color="auto"/>
              <w:right w:val="single" w:sz="4" w:space="0" w:color="auto"/>
            </w:tcBorders>
            <w:shd w:val="clear" w:color="000000" w:fill="E2EFDA"/>
            <w:vAlign w:val="center"/>
          </w:tcPr>
          <w:p w14:paraId="68741BA0" w14:textId="77777777" w:rsidR="00B438E1" w:rsidRPr="00472907" w:rsidRDefault="00B438E1" w:rsidP="003E6992">
            <w:pPr>
              <w:rPr>
                <w:rFonts w:ascii="Arial" w:eastAsia="Batang" w:hAnsi="Arial"/>
                <w:b/>
                <w:i/>
                <w:szCs w:val="22"/>
              </w:rPr>
            </w:pPr>
            <w:r w:rsidRPr="00472907">
              <w:rPr>
                <w:rFonts w:ascii="Arial" w:eastAsia="Batang" w:hAnsi="Arial"/>
                <w:b/>
                <w:i/>
                <w:szCs w:val="22"/>
              </w:rPr>
              <w:t>Response:</w:t>
            </w:r>
          </w:p>
          <w:p w14:paraId="4954B732" w14:textId="580D4BB0" w:rsidR="00B438E1" w:rsidRPr="00472907" w:rsidRDefault="00B438E1" w:rsidP="003E6992">
            <w:pPr>
              <w:rPr>
                <w:rFonts w:ascii="Arial" w:eastAsia="Batang" w:hAnsi="Arial"/>
                <w:szCs w:val="22"/>
              </w:rPr>
            </w:pPr>
            <w:r w:rsidRPr="00472907">
              <w:rPr>
                <w:rFonts w:ascii="Arial" w:eastAsia="Batang" w:hAnsi="Arial"/>
                <w:szCs w:val="22"/>
              </w:rPr>
              <w:t>TCS has a comprehensive quality framework called the Integrated Quality Management System</w:t>
            </w:r>
            <w:r w:rsidRPr="00472907">
              <w:rPr>
                <w:rFonts w:ascii="Arial" w:eastAsia="Batang" w:hAnsi="Arial"/>
                <w:szCs w:val="22"/>
                <w:vertAlign w:val="superscript"/>
              </w:rPr>
              <w:t>TM</w:t>
            </w:r>
            <w:r w:rsidRPr="00472907">
              <w:rPr>
                <w:rFonts w:ascii="Arial" w:eastAsia="Batang" w:hAnsi="Arial"/>
                <w:szCs w:val="22"/>
              </w:rPr>
              <w:t xml:space="preserve"> (iQMS) that addresses the quality requirements across the entire lifecycle of the service’ delivery be </w:t>
            </w:r>
            <w:r w:rsidRPr="00472907">
              <w:rPr>
                <w:rFonts w:ascii="Arial" w:eastAsia="Batang" w:hAnsi="Arial"/>
                <w:szCs w:val="22"/>
              </w:rPr>
              <w:lastRenderedPageBreak/>
              <w:t xml:space="preserve">it support services or projects’ delivery. iQMS is adopted by TCS at enterprise level and </w:t>
            </w:r>
            <w:r>
              <w:rPr>
                <w:rFonts w:ascii="Arial" w:eastAsia="Batang" w:hAnsi="Arial"/>
                <w:szCs w:val="22"/>
              </w:rPr>
              <w:t xml:space="preserve">incorporates the </w:t>
            </w:r>
            <w:r w:rsidRPr="00472907">
              <w:rPr>
                <w:rFonts w:ascii="Arial" w:eastAsia="Batang" w:hAnsi="Arial"/>
                <w:szCs w:val="22"/>
              </w:rPr>
              <w:t xml:space="preserve"> quality practices of ISO 9001:2008, P-CMM® Ver. 2.0, CMMI®- DEV+IPPD, Version 1.2, CMMI® for Services Ver.1.2, ISO/IEC 27001:2005, ISO/IEC 20000-1:2005, ISO 14001:2004 and OHSAS 18001:2007. TCS’ </w:t>
            </w:r>
            <w:r w:rsidRPr="00472907">
              <w:rPr>
                <w:rFonts w:ascii="Arial" w:hAnsi="Arial"/>
                <w:szCs w:val="22"/>
              </w:rPr>
              <w:t xml:space="preserve">iQMS provides a complete set of Policies, Procedure Manuals, Process Handbooks, Standards, Guidelines, Checklists and Templates for all the delivery processes. </w:t>
            </w:r>
            <w:r w:rsidRPr="00472907">
              <w:rPr>
                <w:rFonts w:ascii="Arial" w:eastAsia="Batang" w:hAnsi="Arial"/>
                <w:szCs w:val="22"/>
              </w:rPr>
              <w:t xml:space="preserve">Our current </w:t>
            </w:r>
            <w:r>
              <w:rPr>
                <w:rFonts w:ascii="Arial" w:eastAsia="Batang" w:hAnsi="Arial"/>
                <w:szCs w:val="22"/>
              </w:rPr>
              <w:t>Data Engineering</w:t>
            </w:r>
            <w:r w:rsidRPr="00472907">
              <w:rPr>
                <w:rFonts w:ascii="Arial" w:eastAsia="Batang" w:hAnsi="Arial"/>
                <w:szCs w:val="22"/>
              </w:rPr>
              <w:t xml:space="preserve"> deliveries within ESB comprising continuous changes and support services covering</w:t>
            </w:r>
            <w:r>
              <w:rPr>
                <w:rFonts w:ascii="Arial" w:eastAsia="Batang" w:hAnsi="Arial"/>
                <w:szCs w:val="22"/>
              </w:rPr>
              <w:t xml:space="preserve"> SSIS, HADOOP and BODS</w:t>
            </w:r>
            <w:r w:rsidRPr="00472907">
              <w:rPr>
                <w:rFonts w:ascii="Arial" w:eastAsia="Batang" w:hAnsi="Arial"/>
                <w:szCs w:val="22"/>
              </w:rPr>
              <w:t xml:space="preserve"> are delivered with an average customer satisfaction score of ~94%, which stands as a testimony to the robust quality that TCS bring in our service delivery.</w:t>
            </w:r>
          </w:p>
          <w:p w14:paraId="5204CC7C" w14:textId="77777777" w:rsidR="00B438E1" w:rsidRPr="00472907" w:rsidRDefault="00B438E1" w:rsidP="003E6992">
            <w:pPr>
              <w:spacing w:after="0"/>
              <w:rPr>
                <w:rFonts w:ascii="Arial" w:eastAsia="Batang" w:hAnsi="Arial"/>
                <w:szCs w:val="22"/>
              </w:rPr>
            </w:pPr>
            <w:r w:rsidRPr="00472907">
              <w:rPr>
                <w:rFonts w:ascii="Arial" w:eastAsia="Batang" w:hAnsi="Arial"/>
                <w:szCs w:val="22"/>
              </w:rPr>
              <w:t xml:space="preserve">Snapshot below enumerates the TCS iQMS framework: - </w:t>
            </w:r>
          </w:p>
          <w:p w14:paraId="1D258A4A" w14:textId="77777777" w:rsidR="00B438E1" w:rsidRPr="00472907" w:rsidRDefault="00B438E1" w:rsidP="003E6992">
            <w:pPr>
              <w:spacing w:after="0"/>
              <w:rPr>
                <w:rFonts w:ascii="Arial" w:hAnsi="Arial"/>
                <w:szCs w:val="22"/>
              </w:rPr>
            </w:pPr>
            <w:r w:rsidRPr="00472907">
              <w:rPr>
                <w:rFonts w:ascii="Arial" w:hAnsi="Arial"/>
                <w:noProof/>
                <w:szCs w:val="22"/>
              </w:rPr>
              <w:drawing>
                <wp:inline distT="0" distB="0" distL="0" distR="0" wp14:anchorId="5CCD9122" wp14:editId="5545B239">
                  <wp:extent cx="4497572" cy="2290924"/>
                  <wp:effectExtent l="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email">
                            <a:extLst>
                              <a:ext uri="{28A0092B-C50C-407E-A947-70E740481C1C}">
                                <a14:useLocalDpi xmlns:a14="http://schemas.microsoft.com/office/drawing/2010/main" val="0"/>
                              </a:ext>
                            </a:extLst>
                          </a:blip>
                          <a:srcRect/>
                          <a:stretch>
                            <a:fillRect/>
                          </a:stretch>
                        </pic:blipFill>
                        <pic:spPr bwMode="auto">
                          <a:xfrm>
                            <a:off x="0" y="0"/>
                            <a:ext cx="4504500" cy="2294453"/>
                          </a:xfrm>
                          <a:prstGeom prst="rect">
                            <a:avLst/>
                          </a:prstGeom>
                          <a:noFill/>
                          <a:ln w="9525">
                            <a:noFill/>
                            <a:miter lim="800000"/>
                            <a:headEnd/>
                            <a:tailEnd/>
                          </a:ln>
                        </pic:spPr>
                      </pic:pic>
                    </a:graphicData>
                  </a:graphic>
                </wp:inline>
              </w:drawing>
            </w:r>
          </w:p>
          <w:p w14:paraId="4436F92C" w14:textId="77777777" w:rsidR="00B438E1" w:rsidRPr="00472907" w:rsidRDefault="00B438E1" w:rsidP="003E6992">
            <w:pPr>
              <w:rPr>
                <w:rFonts w:ascii="Arial" w:eastAsia="Batang" w:hAnsi="Arial"/>
                <w:b/>
                <w:bCs/>
                <w:color w:val="215868"/>
                <w:szCs w:val="22"/>
              </w:rPr>
            </w:pPr>
            <w:r w:rsidRPr="00472907">
              <w:rPr>
                <w:rFonts w:ascii="Arial" w:hAnsi="Arial"/>
                <w:szCs w:val="22"/>
              </w:rPr>
              <w:t xml:space="preserve">                                 </w:t>
            </w:r>
            <w:r w:rsidRPr="00472907">
              <w:rPr>
                <w:rFonts w:ascii="Arial" w:eastAsia="Batang" w:hAnsi="Arial"/>
                <w:b/>
                <w:bCs/>
                <w:color w:val="215868"/>
                <w:szCs w:val="22"/>
              </w:rPr>
              <w:t>TCS iQMS framework</w:t>
            </w:r>
          </w:p>
          <w:p w14:paraId="0C01E0FC" w14:textId="77777777" w:rsidR="00B438E1" w:rsidRPr="00472907" w:rsidRDefault="00B438E1" w:rsidP="003E6992">
            <w:pPr>
              <w:spacing w:after="0"/>
              <w:rPr>
                <w:rFonts w:ascii="Arial" w:hAnsi="Arial"/>
                <w:b/>
                <w:bCs/>
                <w:szCs w:val="22"/>
              </w:rPr>
            </w:pPr>
            <w:r w:rsidRPr="00472907">
              <w:rPr>
                <w:rFonts w:ascii="Arial" w:hAnsi="Arial"/>
                <w:szCs w:val="22"/>
              </w:rPr>
              <w:t>Below sections provide a more detailed view on TCS Quality Assurance processes</w:t>
            </w:r>
            <w:r w:rsidRPr="00472907">
              <w:rPr>
                <w:rFonts w:ascii="Arial" w:hAnsi="Arial"/>
                <w:b/>
                <w:bCs/>
                <w:szCs w:val="22"/>
              </w:rPr>
              <w:t xml:space="preserve"> –</w:t>
            </w:r>
          </w:p>
          <w:p w14:paraId="3F20C869" w14:textId="77777777" w:rsidR="00B438E1" w:rsidRPr="00472907" w:rsidRDefault="00B438E1" w:rsidP="00B438E1">
            <w:pPr>
              <w:numPr>
                <w:ilvl w:val="0"/>
                <w:numId w:val="4"/>
              </w:numPr>
              <w:spacing w:after="0" w:line="240" w:lineRule="auto"/>
              <w:contextualSpacing/>
              <w:rPr>
                <w:rFonts w:ascii="Arial" w:hAnsi="Arial"/>
                <w:b/>
                <w:bCs/>
                <w:szCs w:val="22"/>
              </w:rPr>
            </w:pPr>
            <w:r w:rsidRPr="00472907">
              <w:rPr>
                <w:rFonts w:ascii="Arial" w:hAnsi="Arial"/>
                <w:b/>
                <w:bCs/>
                <w:szCs w:val="22"/>
              </w:rPr>
              <w:t xml:space="preserve">Current processes  </w:t>
            </w:r>
          </w:p>
          <w:p w14:paraId="67B54C11" w14:textId="77777777" w:rsidR="00B438E1" w:rsidRPr="00472907" w:rsidRDefault="00B438E1" w:rsidP="00B438E1">
            <w:pPr>
              <w:numPr>
                <w:ilvl w:val="0"/>
                <w:numId w:val="4"/>
              </w:numPr>
              <w:spacing w:after="0" w:line="240" w:lineRule="auto"/>
              <w:contextualSpacing/>
              <w:rPr>
                <w:rFonts w:ascii="Arial" w:hAnsi="Arial"/>
                <w:b/>
                <w:bCs/>
                <w:szCs w:val="22"/>
              </w:rPr>
            </w:pPr>
            <w:r w:rsidRPr="00472907">
              <w:rPr>
                <w:rFonts w:ascii="Arial" w:hAnsi="Arial"/>
                <w:b/>
                <w:bCs/>
                <w:szCs w:val="22"/>
              </w:rPr>
              <w:t xml:space="preserve">Proposed approach </w:t>
            </w:r>
          </w:p>
          <w:p w14:paraId="313425E8" w14:textId="77777777" w:rsidR="00B438E1" w:rsidRPr="00472907" w:rsidRDefault="00B438E1" w:rsidP="003E6992">
            <w:pPr>
              <w:spacing w:after="0"/>
              <w:rPr>
                <w:rFonts w:ascii="Arial" w:hAnsi="Arial"/>
                <w:b/>
                <w:bCs/>
                <w:szCs w:val="22"/>
                <w:u w:val="single"/>
              </w:rPr>
            </w:pPr>
            <w:r w:rsidRPr="00472907">
              <w:rPr>
                <w:rFonts w:ascii="Arial" w:hAnsi="Arial"/>
                <w:b/>
                <w:bCs/>
                <w:szCs w:val="22"/>
                <w:u w:val="single"/>
              </w:rPr>
              <w:t>Current Process:</w:t>
            </w:r>
          </w:p>
          <w:p w14:paraId="389F072E" w14:textId="77777777" w:rsidR="00B438E1" w:rsidRPr="00472907" w:rsidRDefault="00B438E1" w:rsidP="003E6992">
            <w:pPr>
              <w:spacing w:after="0"/>
              <w:rPr>
                <w:rFonts w:ascii="Arial" w:hAnsi="Arial"/>
                <w:b/>
                <w:bCs/>
                <w:szCs w:val="22"/>
                <w:u w:val="single"/>
              </w:rPr>
            </w:pPr>
            <w:r w:rsidRPr="00472907">
              <w:rPr>
                <w:rFonts w:ascii="Arial" w:hAnsi="Arial"/>
                <w:noProof/>
                <w:szCs w:val="22"/>
              </w:rPr>
              <w:drawing>
                <wp:inline distT="0" distB="0" distL="0" distR="0" wp14:anchorId="6DD30B9F" wp14:editId="5471C793">
                  <wp:extent cx="4744800" cy="172759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234" cy="1731393"/>
                          </a:xfrm>
                          <a:prstGeom prst="rect">
                            <a:avLst/>
                          </a:prstGeom>
                        </pic:spPr>
                      </pic:pic>
                    </a:graphicData>
                  </a:graphic>
                </wp:inline>
              </w:drawing>
            </w:r>
          </w:p>
          <w:p w14:paraId="47E337A4" w14:textId="77777777" w:rsidR="00B438E1" w:rsidRPr="00472907" w:rsidRDefault="00B438E1" w:rsidP="003E6992">
            <w:pPr>
              <w:rPr>
                <w:rFonts w:ascii="Arial" w:eastAsia="Batang" w:hAnsi="Arial"/>
                <w:b/>
                <w:bCs/>
                <w:szCs w:val="22"/>
              </w:rPr>
            </w:pPr>
            <w:r w:rsidRPr="00472907">
              <w:rPr>
                <w:rFonts w:ascii="Arial" w:eastAsia="Batang" w:hAnsi="Arial"/>
                <w:b/>
                <w:bCs/>
                <w:szCs w:val="22"/>
              </w:rPr>
              <w:t xml:space="preserve">                               </w:t>
            </w:r>
            <w:r w:rsidRPr="00472907">
              <w:rPr>
                <w:rFonts w:ascii="Arial" w:eastAsia="Batang" w:hAnsi="Arial"/>
                <w:b/>
                <w:bCs/>
                <w:color w:val="215868"/>
                <w:szCs w:val="22"/>
              </w:rPr>
              <w:t xml:space="preserve">Service Quality Standard inputs </w:t>
            </w:r>
          </w:p>
          <w:p w14:paraId="72DA76CD" w14:textId="77777777" w:rsidR="00B438E1" w:rsidRPr="00472907" w:rsidRDefault="00B438E1" w:rsidP="003E6992">
            <w:pPr>
              <w:rPr>
                <w:rFonts w:ascii="Arial" w:eastAsia="Batang" w:hAnsi="Arial"/>
                <w:szCs w:val="22"/>
              </w:rPr>
            </w:pPr>
            <w:r w:rsidRPr="00472907">
              <w:rPr>
                <w:rFonts w:ascii="Arial" w:eastAsia="Batang" w:hAnsi="Arial"/>
                <w:szCs w:val="22"/>
              </w:rPr>
              <w:t xml:space="preserve">While iQMS provides guidelines about processes and procedures, an understanding of ESB expectations plays important part to define what service quality standards needs to be adhered to. TCS’ delivery excellence group (DEG), which ensures that optimal quality standards are followed across our engagements, liaises with on-ground delivery teams to firm up the working quality framework inspired from iQMS. </w:t>
            </w:r>
          </w:p>
          <w:p w14:paraId="760BF30A" w14:textId="77777777" w:rsidR="00B438E1" w:rsidRPr="00472907" w:rsidRDefault="00B438E1" w:rsidP="003E6992">
            <w:pPr>
              <w:rPr>
                <w:rFonts w:ascii="Arial" w:eastAsia="Batang" w:hAnsi="Arial"/>
                <w:szCs w:val="22"/>
              </w:rPr>
            </w:pPr>
            <w:r w:rsidRPr="00472907">
              <w:rPr>
                <w:rFonts w:ascii="Arial" w:eastAsia="Batang" w:hAnsi="Arial"/>
                <w:szCs w:val="22"/>
              </w:rPr>
              <w:t xml:space="preserve">TCS currently follows a 4-Step Quality assurance processes for project and support service delivery at ESB – same is depicted below: -  </w:t>
            </w:r>
          </w:p>
          <w:p w14:paraId="4377C45D" w14:textId="77777777" w:rsidR="00B438E1" w:rsidRPr="00472907" w:rsidRDefault="00B438E1" w:rsidP="003E6992">
            <w:pPr>
              <w:rPr>
                <w:rFonts w:ascii="Arial" w:eastAsia="Batang" w:hAnsi="Arial"/>
                <w:szCs w:val="22"/>
              </w:rPr>
            </w:pPr>
            <w:r w:rsidRPr="00584D35">
              <w:rPr>
                <w:rFonts w:ascii="Arial" w:eastAsia="Batang" w:hAnsi="Arial"/>
                <w:noProof/>
                <w:szCs w:val="22"/>
              </w:rPr>
              <w:lastRenderedPageBreak/>
              <w:drawing>
                <wp:inline distT="0" distB="0" distL="0" distR="0" wp14:anchorId="2C023323" wp14:editId="6B708C4C">
                  <wp:extent cx="5367130" cy="301901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3842" cy="3028411"/>
                          </a:xfrm>
                          <a:prstGeom prst="rect">
                            <a:avLst/>
                          </a:prstGeom>
                        </pic:spPr>
                      </pic:pic>
                    </a:graphicData>
                  </a:graphic>
                </wp:inline>
              </w:drawing>
            </w:r>
          </w:p>
          <w:p w14:paraId="64B4F5D4" w14:textId="77777777" w:rsidR="00B438E1" w:rsidRPr="00472907" w:rsidRDefault="00B438E1" w:rsidP="003E6992">
            <w:pPr>
              <w:rPr>
                <w:rFonts w:ascii="Arial" w:eastAsia="Batang" w:hAnsi="Arial"/>
                <w:b/>
                <w:bCs/>
                <w:color w:val="215868"/>
                <w:szCs w:val="22"/>
              </w:rPr>
            </w:pPr>
            <w:r w:rsidRPr="00472907">
              <w:rPr>
                <w:rFonts w:ascii="Arial" w:eastAsia="Batang" w:hAnsi="Arial"/>
                <w:szCs w:val="22"/>
              </w:rPr>
              <w:t xml:space="preserve">                        </w:t>
            </w:r>
            <w:r w:rsidRPr="00472907">
              <w:rPr>
                <w:rFonts w:ascii="Arial" w:eastAsia="Batang" w:hAnsi="Arial"/>
                <w:b/>
                <w:bCs/>
                <w:color w:val="215868"/>
                <w:szCs w:val="22"/>
              </w:rPr>
              <w:t xml:space="preserve">  Quality Assurance Framework Implemented </w:t>
            </w:r>
          </w:p>
          <w:p w14:paraId="0D47C240" w14:textId="77777777" w:rsidR="00B438E1" w:rsidRPr="00472907" w:rsidRDefault="00B438E1" w:rsidP="00B438E1">
            <w:pPr>
              <w:pStyle w:val="ListParagraph"/>
              <w:numPr>
                <w:ilvl w:val="0"/>
                <w:numId w:val="8"/>
              </w:numPr>
              <w:spacing w:before="120" w:line="240" w:lineRule="auto"/>
              <w:rPr>
                <w:rFonts w:ascii="Arial" w:eastAsia="Batang" w:hAnsi="Arial"/>
                <w:b/>
                <w:bCs/>
                <w:szCs w:val="22"/>
              </w:rPr>
            </w:pPr>
            <w:r w:rsidRPr="00472907">
              <w:rPr>
                <w:rFonts w:ascii="Arial" w:eastAsia="Batang" w:hAnsi="Arial"/>
                <w:b/>
                <w:bCs/>
                <w:szCs w:val="22"/>
                <w:u w:val="single"/>
              </w:rPr>
              <w:t>Service delivery standards:</w:t>
            </w:r>
            <w:r w:rsidRPr="00472907">
              <w:rPr>
                <w:rFonts w:ascii="Arial" w:eastAsia="Batang" w:hAnsi="Arial"/>
                <w:b/>
                <w:bCs/>
                <w:szCs w:val="22"/>
              </w:rPr>
              <w:t xml:space="preserve">  </w:t>
            </w:r>
          </w:p>
          <w:p w14:paraId="14F3CADF" w14:textId="3C81046C" w:rsidR="00B438E1" w:rsidRPr="00472907" w:rsidRDefault="00B438E1" w:rsidP="003E6992">
            <w:pPr>
              <w:rPr>
                <w:rFonts w:ascii="Arial" w:eastAsia="Batang" w:hAnsi="Arial"/>
                <w:szCs w:val="22"/>
              </w:rPr>
            </w:pPr>
            <w:r w:rsidRPr="00472907">
              <w:rPr>
                <w:rFonts w:ascii="Arial" w:eastAsia="Batang" w:hAnsi="Arial"/>
                <w:szCs w:val="22"/>
              </w:rPr>
              <w:t xml:space="preserve">TCS service delivery in </w:t>
            </w:r>
            <w:r>
              <w:rPr>
                <w:rFonts w:ascii="Arial" w:eastAsia="Batang" w:hAnsi="Arial"/>
                <w:szCs w:val="22"/>
              </w:rPr>
              <w:t>Data Engineering</w:t>
            </w:r>
            <w:r w:rsidRPr="00472907">
              <w:rPr>
                <w:rFonts w:ascii="Arial" w:eastAsia="Batang" w:hAnsi="Arial"/>
                <w:szCs w:val="22"/>
              </w:rPr>
              <w:t xml:space="preserve"> has matured over a period and today TCS takes a lead whenever there is an opportunity to not only adopt new standards but also help ESB define them. Below sections will elaborate how TCS has defined these service standards in </w:t>
            </w:r>
            <w:r>
              <w:rPr>
                <w:rFonts w:ascii="Arial" w:eastAsia="Batang" w:hAnsi="Arial"/>
                <w:szCs w:val="22"/>
              </w:rPr>
              <w:t>SSIS, HADOOP and BODS</w:t>
            </w:r>
            <w:r w:rsidRPr="00472907">
              <w:rPr>
                <w:rFonts w:ascii="Arial" w:eastAsia="Batang" w:hAnsi="Arial"/>
                <w:szCs w:val="22"/>
              </w:rPr>
              <w:t>.</w:t>
            </w:r>
          </w:p>
          <w:p w14:paraId="67BA9AA3" w14:textId="13233605" w:rsidR="00B438E1" w:rsidRPr="00472907" w:rsidRDefault="00B438E1" w:rsidP="003E6992">
            <w:pPr>
              <w:rPr>
                <w:rFonts w:ascii="Arial" w:eastAsia="Batang" w:hAnsi="Arial"/>
                <w:b/>
                <w:bCs/>
                <w:szCs w:val="22"/>
                <w:u w:val="single"/>
              </w:rPr>
            </w:pPr>
            <w:r w:rsidRPr="00472907">
              <w:rPr>
                <w:rFonts w:ascii="Arial" w:eastAsia="Batang" w:hAnsi="Arial"/>
                <w:b/>
                <w:bCs/>
                <w:szCs w:val="22"/>
                <w:u w:val="single"/>
              </w:rPr>
              <w:t>B</w:t>
            </w:r>
            <w:r>
              <w:rPr>
                <w:rFonts w:ascii="Arial" w:eastAsia="Batang" w:hAnsi="Arial"/>
                <w:b/>
                <w:bCs/>
                <w:szCs w:val="22"/>
                <w:u w:val="single"/>
              </w:rPr>
              <w:t>ODS</w:t>
            </w:r>
            <w:r w:rsidRPr="00472907">
              <w:rPr>
                <w:rFonts w:ascii="Arial" w:eastAsia="Batang" w:hAnsi="Arial"/>
                <w:b/>
                <w:bCs/>
                <w:szCs w:val="22"/>
                <w:u w:val="single"/>
              </w:rPr>
              <w:t>:</w:t>
            </w:r>
          </w:p>
          <w:p w14:paraId="7CCB3FF2" w14:textId="29BE339B" w:rsidR="00B438E1" w:rsidRPr="00472907" w:rsidRDefault="00B438E1" w:rsidP="003E6992">
            <w:pPr>
              <w:rPr>
                <w:rFonts w:ascii="Arial" w:hAnsi="Arial"/>
                <w:strike/>
                <w:color w:val="000000"/>
                <w:szCs w:val="22"/>
                <w:lang w:val="en-IE"/>
              </w:rPr>
            </w:pPr>
            <w:r w:rsidRPr="00472907">
              <w:rPr>
                <w:rFonts w:ascii="Arial" w:eastAsia="Batang" w:hAnsi="Arial"/>
                <w:szCs w:val="22"/>
              </w:rPr>
              <w:t xml:space="preserve">TCS Lead along with ESB counterpart have defined a performance framework for support services and </w:t>
            </w:r>
            <w:r>
              <w:rPr>
                <w:rFonts w:ascii="Arial" w:eastAsia="Batang" w:hAnsi="Arial"/>
                <w:szCs w:val="22"/>
              </w:rPr>
              <w:t>change request</w:t>
            </w:r>
            <w:r w:rsidRPr="00472907">
              <w:rPr>
                <w:rFonts w:ascii="Arial" w:eastAsia="Batang" w:hAnsi="Arial"/>
                <w:szCs w:val="22"/>
              </w:rPr>
              <w:t xml:space="preserve">, which details delivery KPIs (example </w:t>
            </w:r>
            <w:r>
              <w:rPr>
                <w:rFonts w:ascii="Arial" w:eastAsia="Batang" w:hAnsi="Arial"/>
                <w:szCs w:val="22"/>
              </w:rPr>
              <w:t>Change Requests</w:t>
            </w:r>
            <w:r w:rsidRPr="00472907">
              <w:rPr>
                <w:rFonts w:ascii="Arial" w:eastAsia="Batang" w:hAnsi="Arial"/>
                <w:szCs w:val="22"/>
              </w:rPr>
              <w:t xml:space="preserve"> KPI</w:t>
            </w:r>
            <w:r>
              <w:rPr>
                <w:rFonts w:ascii="Arial" w:eastAsia="Batang" w:hAnsi="Arial"/>
                <w:szCs w:val="22"/>
              </w:rPr>
              <w:t xml:space="preserve"> </w:t>
            </w:r>
            <w:r w:rsidRPr="00472907">
              <w:rPr>
                <w:rFonts w:ascii="Arial" w:eastAsia="Batang" w:hAnsi="Arial"/>
                <w:szCs w:val="22"/>
              </w:rPr>
              <w:t>-</w:t>
            </w:r>
            <w:r>
              <w:rPr>
                <w:rFonts w:ascii="Arial" w:eastAsia="Batang" w:hAnsi="Arial"/>
                <w:szCs w:val="22"/>
              </w:rPr>
              <w:t xml:space="preserve"> </w:t>
            </w:r>
            <w:r w:rsidRPr="00472907">
              <w:rPr>
                <w:rFonts w:ascii="Arial" w:eastAsia="Batang" w:hAnsi="Arial"/>
                <w:szCs w:val="22"/>
              </w:rPr>
              <w:t xml:space="preserve">On time delivery, </w:t>
            </w:r>
            <w:r>
              <w:rPr>
                <w:rFonts w:ascii="Arial" w:eastAsia="Batang" w:hAnsi="Arial"/>
                <w:szCs w:val="22"/>
              </w:rPr>
              <w:t>S</w:t>
            </w:r>
            <w:r w:rsidRPr="00472907">
              <w:rPr>
                <w:rFonts w:ascii="Arial" w:eastAsia="Batang" w:hAnsi="Arial"/>
                <w:szCs w:val="22"/>
              </w:rPr>
              <w:t>upport KPI</w:t>
            </w:r>
            <w:r>
              <w:rPr>
                <w:rFonts w:ascii="Arial" w:eastAsia="Batang" w:hAnsi="Arial"/>
                <w:szCs w:val="22"/>
              </w:rPr>
              <w:t xml:space="preserve"> </w:t>
            </w:r>
            <w:r w:rsidRPr="00472907">
              <w:rPr>
                <w:rFonts w:ascii="Arial" w:eastAsia="Batang" w:hAnsi="Arial"/>
                <w:szCs w:val="22"/>
              </w:rPr>
              <w:t>-</w:t>
            </w:r>
            <w:r>
              <w:rPr>
                <w:rFonts w:ascii="Arial" w:eastAsia="Batang" w:hAnsi="Arial"/>
                <w:szCs w:val="22"/>
              </w:rPr>
              <w:t xml:space="preserve"> </w:t>
            </w:r>
            <w:r w:rsidRPr="00472907">
              <w:rPr>
                <w:rFonts w:ascii="Arial" w:eastAsia="Batang" w:hAnsi="Arial"/>
                <w:szCs w:val="22"/>
              </w:rPr>
              <w:t xml:space="preserve">task and </w:t>
            </w:r>
            <w:r>
              <w:rPr>
                <w:rFonts w:ascii="Arial" w:eastAsia="Batang" w:hAnsi="Arial"/>
                <w:szCs w:val="22"/>
              </w:rPr>
              <w:t>Incident</w:t>
            </w:r>
            <w:r w:rsidRPr="00472907">
              <w:rPr>
                <w:rFonts w:ascii="Arial" w:eastAsia="Batang" w:hAnsi="Arial"/>
                <w:szCs w:val="22"/>
              </w:rPr>
              <w:t xml:space="preserve"> completion on time) associated with the service. </w:t>
            </w:r>
          </w:p>
          <w:p w14:paraId="1CA5D84C" w14:textId="77777777" w:rsidR="00B438E1" w:rsidRPr="00472907" w:rsidRDefault="00B438E1" w:rsidP="00B438E1">
            <w:pPr>
              <w:pStyle w:val="ListParagraph"/>
              <w:numPr>
                <w:ilvl w:val="0"/>
                <w:numId w:val="8"/>
              </w:numPr>
              <w:spacing w:before="120" w:line="240" w:lineRule="auto"/>
              <w:rPr>
                <w:rFonts w:ascii="Arial" w:eastAsia="Batang" w:hAnsi="Arial"/>
                <w:b/>
                <w:bCs/>
                <w:szCs w:val="22"/>
                <w:u w:val="single"/>
              </w:rPr>
            </w:pPr>
            <w:r w:rsidRPr="00472907">
              <w:rPr>
                <w:rFonts w:ascii="Arial" w:eastAsia="Batang" w:hAnsi="Arial"/>
                <w:b/>
                <w:bCs/>
                <w:szCs w:val="22"/>
                <w:u w:val="single"/>
              </w:rPr>
              <w:t>Investigate:</w:t>
            </w:r>
          </w:p>
          <w:p w14:paraId="1C705619" w14:textId="1D4DD6F2" w:rsidR="00B438E1" w:rsidRPr="00472907" w:rsidRDefault="00B438E1" w:rsidP="00B438E1">
            <w:pPr>
              <w:contextualSpacing/>
              <w:rPr>
                <w:rFonts w:ascii="Arial" w:eastAsia="Batang" w:hAnsi="Arial"/>
                <w:szCs w:val="22"/>
              </w:rPr>
            </w:pPr>
            <w:r w:rsidRPr="00472907">
              <w:rPr>
                <w:rFonts w:ascii="Arial" w:eastAsia="Batang" w:hAnsi="Arial"/>
                <w:szCs w:val="22"/>
              </w:rPr>
              <w:t xml:space="preserve">TCS leads in consultation with ESB have adopted below processes to investigate and measure quality for </w:t>
            </w:r>
            <w:r>
              <w:rPr>
                <w:rFonts w:ascii="Arial" w:eastAsia="Batang" w:hAnsi="Arial"/>
                <w:szCs w:val="22"/>
              </w:rPr>
              <w:t>Data Engineering</w:t>
            </w:r>
            <w:r w:rsidRPr="00472907">
              <w:rPr>
                <w:rFonts w:ascii="Arial" w:eastAsia="Batang" w:hAnsi="Arial"/>
                <w:szCs w:val="22"/>
              </w:rPr>
              <w:t xml:space="preserve"> </w:t>
            </w:r>
          </w:p>
          <w:p w14:paraId="1CA3C3BE" w14:textId="4559151F" w:rsidR="00B438E1" w:rsidRPr="00472907" w:rsidRDefault="00B438E1" w:rsidP="00B438E1">
            <w:pPr>
              <w:pStyle w:val="ListParagraph"/>
              <w:numPr>
                <w:ilvl w:val="0"/>
                <w:numId w:val="6"/>
              </w:numPr>
              <w:spacing w:before="120" w:line="240" w:lineRule="auto"/>
              <w:ind w:left="360"/>
              <w:rPr>
                <w:rFonts w:ascii="Arial" w:eastAsia="Batang" w:hAnsi="Arial"/>
                <w:szCs w:val="22"/>
              </w:rPr>
            </w:pPr>
            <w:r w:rsidRPr="00472907">
              <w:rPr>
                <w:rFonts w:ascii="Arial" w:eastAsia="Batang" w:hAnsi="Arial"/>
                <w:b/>
                <w:bCs/>
                <w:szCs w:val="22"/>
                <w:u w:val="single"/>
              </w:rPr>
              <w:t>Delivery Governance</w:t>
            </w:r>
            <w:r w:rsidRPr="00472907">
              <w:rPr>
                <w:rFonts w:ascii="Arial" w:eastAsia="Batang" w:hAnsi="Arial"/>
                <w:szCs w:val="22"/>
              </w:rPr>
              <w:t xml:space="preserve">: </w:t>
            </w:r>
            <w:r>
              <w:rPr>
                <w:rFonts w:ascii="Arial" w:eastAsia="Batang" w:hAnsi="Arial"/>
                <w:szCs w:val="22"/>
              </w:rPr>
              <w:t>SSIS, HADOOP and BODS</w:t>
            </w:r>
            <w:r w:rsidRPr="00472907">
              <w:rPr>
                <w:rFonts w:ascii="Arial" w:eastAsia="Batang" w:hAnsi="Arial"/>
                <w:szCs w:val="22"/>
              </w:rPr>
              <w:t xml:space="preserve"> leads from TCS ensure that Quality processes are followed in their respective tracks. Review with SDM is to assure it further. These reviews are conducted on a weekly basis. Primary aim is to ensure the work is being delivered as planned and that there are no quality issues. There is </w:t>
            </w:r>
            <w:r>
              <w:rPr>
                <w:rFonts w:ascii="Arial" w:eastAsia="Batang" w:hAnsi="Arial"/>
                <w:szCs w:val="22"/>
              </w:rPr>
              <w:t xml:space="preserve">a </w:t>
            </w:r>
            <w:r w:rsidRPr="00472907">
              <w:rPr>
                <w:rFonts w:ascii="Arial" w:eastAsia="Batang" w:hAnsi="Arial"/>
                <w:szCs w:val="22"/>
              </w:rPr>
              <w:t>standard checklist that is used to assess the work quality in these meetings</w:t>
            </w:r>
          </w:p>
          <w:p w14:paraId="51990E83" w14:textId="527756EE" w:rsidR="00B438E1" w:rsidRPr="00472907" w:rsidRDefault="00B438E1" w:rsidP="00B438E1">
            <w:pPr>
              <w:numPr>
                <w:ilvl w:val="0"/>
                <w:numId w:val="1"/>
              </w:numPr>
              <w:spacing w:before="120" w:line="240" w:lineRule="auto"/>
              <w:ind w:left="958"/>
              <w:contextualSpacing/>
              <w:rPr>
                <w:rFonts w:ascii="Arial" w:eastAsia="Batang" w:hAnsi="Arial"/>
                <w:b/>
                <w:bCs/>
                <w:szCs w:val="22"/>
              </w:rPr>
            </w:pPr>
            <w:r w:rsidRPr="00472907">
              <w:rPr>
                <w:rFonts w:ascii="Arial" w:eastAsia="Batang" w:hAnsi="Arial"/>
                <w:szCs w:val="22"/>
              </w:rPr>
              <w:t>For Project</w:t>
            </w:r>
            <w:r>
              <w:rPr>
                <w:rFonts w:ascii="Arial" w:eastAsia="Batang" w:hAnsi="Arial"/>
                <w:szCs w:val="22"/>
              </w:rPr>
              <w:t xml:space="preserve"> and Change Request</w:t>
            </w:r>
            <w:r w:rsidRPr="00472907">
              <w:rPr>
                <w:rFonts w:ascii="Arial" w:eastAsia="Batang" w:hAnsi="Arial"/>
                <w:szCs w:val="22"/>
              </w:rPr>
              <w:t xml:space="preserve"> delivery these checks would be: - (</w:t>
            </w:r>
            <w:r w:rsidRPr="00472907">
              <w:rPr>
                <w:rFonts w:ascii="Arial" w:eastAsia="Batang" w:hAnsi="Arial"/>
                <w:b/>
                <w:bCs/>
                <w:szCs w:val="22"/>
              </w:rPr>
              <w:t xml:space="preserve">for </w:t>
            </w:r>
            <w:r>
              <w:rPr>
                <w:rFonts w:ascii="Arial" w:eastAsia="Batang" w:hAnsi="Arial"/>
                <w:b/>
                <w:bCs/>
                <w:szCs w:val="22"/>
              </w:rPr>
              <w:t>SSIS, HADOOP</w:t>
            </w:r>
            <w:r w:rsidRPr="00472907">
              <w:rPr>
                <w:rFonts w:ascii="Arial" w:eastAsia="Batang" w:hAnsi="Arial"/>
                <w:b/>
                <w:bCs/>
                <w:szCs w:val="22"/>
              </w:rPr>
              <w:t xml:space="preserve"> and BW)</w:t>
            </w:r>
          </w:p>
          <w:p w14:paraId="4D7C9A4D" w14:textId="2B36E4CB"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Delivery tracker and check deliverable status</w:t>
            </w:r>
          </w:p>
          <w:p w14:paraId="40385AE8"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Check all quality procedures are followed such as standards, peer reviews etc.</w:t>
            </w:r>
          </w:p>
          <w:p w14:paraId="4D045571"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Identify and review TCS service delivery risk/issues</w:t>
            </w:r>
          </w:p>
          <w:p w14:paraId="3A4E9DC1"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Any recent feedback received from ESB leads</w:t>
            </w:r>
          </w:p>
          <w:p w14:paraId="1D92429B" w14:textId="77777777" w:rsidR="00B438E1" w:rsidRPr="001368A4" w:rsidRDefault="00B438E1" w:rsidP="00B438E1">
            <w:pPr>
              <w:numPr>
                <w:ilvl w:val="0"/>
                <w:numId w:val="1"/>
              </w:numPr>
              <w:spacing w:before="120" w:line="240" w:lineRule="auto"/>
              <w:ind w:left="958"/>
              <w:contextualSpacing/>
              <w:rPr>
                <w:rFonts w:ascii="Arial" w:eastAsia="Batang" w:hAnsi="Arial"/>
                <w:szCs w:val="22"/>
              </w:rPr>
            </w:pPr>
            <w:r w:rsidRPr="001368A4">
              <w:rPr>
                <w:rFonts w:ascii="Arial" w:eastAsia="Batang" w:hAnsi="Arial"/>
                <w:szCs w:val="22"/>
              </w:rPr>
              <w:t xml:space="preserve">For Support service delivery: Following service KPIs are checked </w:t>
            </w:r>
          </w:p>
          <w:p w14:paraId="0F11EC49"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Completeness of support request + ensuing communication with Business</w:t>
            </w:r>
          </w:p>
          <w:p w14:paraId="3DA253EF"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Quality and volume of tickets delivered</w:t>
            </w:r>
          </w:p>
          <w:p w14:paraId="177AC022"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 xml:space="preserve">Response times and Resolution times of Ops/tickets </w:t>
            </w:r>
          </w:p>
          <w:p w14:paraId="5B2996B1"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Support service delivery risk/issues</w:t>
            </w:r>
          </w:p>
          <w:p w14:paraId="6586E2EF" w14:textId="77777777" w:rsidR="00B438E1" w:rsidRPr="00472907" w:rsidRDefault="00B438E1" w:rsidP="00B438E1">
            <w:pPr>
              <w:numPr>
                <w:ilvl w:val="0"/>
                <w:numId w:val="2"/>
              </w:numPr>
              <w:spacing w:before="120" w:line="240" w:lineRule="auto"/>
              <w:ind w:left="1678"/>
              <w:contextualSpacing/>
              <w:rPr>
                <w:rFonts w:ascii="Arial" w:eastAsia="Batang" w:hAnsi="Arial"/>
                <w:szCs w:val="22"/>
              </w:rPr>
            </w:pPr>
            <w:r w:rsidRPr="00472907">
              <w:rPr>
                <w:rFonts w:ascii="Arial" w:eastAsia="Batang" w:hAnsi="Arial"/>
                <w:szCs w:val="22"/>
              </w:rPr>
              <w:t>Feedback received from ESB leads</w:t>
            </w:r>
          </w:p>
          <w:p w14:paraId="21300425" w14:textId="77777777" w:rsidR="00B438E1" w:rsidRPr="00472907" w:rsidRDefault="00B438E1" w:rsidP="00B438E1">
            <w:pPr>
              <w:pStyle w:val="ListParagraph"/>
              <w:numPr>
                <w:ilvl w:val="0"/>
                <w:numId w:val="6"/>
              </w:numPr>
              <w:spacing w:before="120" w:line="240" w:lineRule="auto"/>
              <w:ind w:left="317" w:hanging="283"/>
              <w:rPr>
                <w:rFonts w:ascii="Arial" w:eastAsia="Batang" w:hAnsi="Arial"/>
                <w:b/>
                <w:bCs/>
                <w:szCs w:val="22"/>
              </w:rPr>
            </w:pPr>
            <w:r w:rsidRPr="00472907">
              <w:rPr>
                <w:rFonts w:ascii="Arial" w:eastAsia="Batang" w:hAnsi="Arial"/>
                <w:b/>
                <w:bCs/>
                <w:szCs w:val="22"/>
                <w:u w:val="single"/>
              </w:rPr>
              <w:lastRenderedPageBreak/>
              <w:t>Technical Governance</w:t>
            </w:r>
            <w:r w:rsidRPr="00472907">
              <w:rPr>
                <w:rFonts w:ascii="Arial" w:eastAsia="Batang" w:hAnsi="Arial"/>
                <w:b/>
                <w:bCs/>
                <w:szCs w:val="22"/>
              </w:rPr>
              <w:t>:</w:t>
            </w:r>
            <w:r w:rsidRPr="00472907">
              <w:rPr>
                <w:rFonts w:ascii="Arial" w:eastAsia="Batang" w:hAnsi="Arial"/>
                <w:szCs w:val="22"/>
              </w:rPr>
              <w:t xml:space="preserve"> To ensure services are being delivered as per right technical standards, TCS follows below investigation methods: </w:t>
            </w:r>
            <w:r w:rsidRPr="00472907">
              <w:rPr>
                <w:rFonts w:ascii="Arial" w:eastAsia="Batang" w:hAnsi="Arial"/>
                <w:szCs w:val="22"/>
              </w:rPr>
              <w:softHyphen/>
              <w:t>-</w:t>
            </w:r>
          </w:p>
          <w:p w14:paraId="4A1BBF48" w14:textId="259EA808" w:rsidR="00B438E1" w:rsidRPr="00472907" w:rsidRDefault="00B438E1" w:rsidP="003E6992">
            <w:pPr>
              <w:rPr>
                <w:rFonts w:ascii="Arial" w:eastAsia="Batang" w:hAnsi="Arial"/>
                <w:b/>
                <w:bCs/>
                <w:szCs w:val="22"/>
                <w:u w:val="single"/>
              </w:rPr>
            </w:pPr>
            <w:r w:rsidRPr="00472907">
              <w:rPr>
                <w:rFonts w:ascii="Arial" w:eastAsia="Batang" w:hAnsi="Arial"/>
                <w:b/>
                <w:bCs/>
                <w:szCs w:val="22"/>
              </w:rPr>
              <w:t xml:space="preserve">        </w:t>
            </w:r>
            <w:r w:rsidRPr="00472907">
              <w:rPr>
                <w:rFonts w:ascii="Arial" w:eastAsia="Batang" w:hAnsi="Arial"/>
                <w:b/>
                <w:bCs/>
                <w:szCs w:val="22"/>
                <w:u w:val="single"/>
              </w:rPr>
              <w:t>B</w:t>
            </w:r>
            <w:r>
              <w:rPr>
                <w:rFonts w:ascii="Arial" w:eastAsia="Batang" w:hAnsi="Arial"/>
                <w:b/>
                <w:bCs/>
                <w:szCs w:val="22"/>
                <w:u w:val="single"/>
              </w:rPr>
              <w:t>ODS</w:t>
            </w:r>
            <w:r w:rsidRPr="00472907">
              <w:rPr>
                <w:rFonts w:ascii="Arial" w:eastAsia="Batang" w:hAnsi="Arial"/>
                <w:b/>
                <w:bCs/>
                <w:szCs w:val="22"/>
                <w:u w:val="single"/>
              </w:rPr>
              <w:t xml:space="preserve"> Technical investigation:</w:t>
            </w:r>
          </w:p>
          <w:p w14:paraId="258614B6" w14:textId="77777777" w:rsidR="00B438E1" w:rsidRPr="00472907" w:rsidRDefault="00B438E1" w:rsidP="00B438E1">
            <w:pPr>
              <w:pStyle w:val="ListParagraph"/>
              <w:numPr>
                <w:ilvl w:val="0"/>
                <w:numId w:val="7"/>
              </w:numPr>
              <w:spacing w:before="120" w:line="240" w:lineRule="auto"/>
              <w:rPr>
                <w:rFonts w:ascii="Arial" w:eastAsia="Batang" w:hAnsi="Arial"/>
                <w:szCs w:val="22"/>
              </w:rPr>
            </w:pPr>
            <w:r w:rsidRPr="00472907">
              <w:rPr>
                <w:rFonts w:ascii="Arial" w:eastAsia="Batang" w:hAnsi="Arial"/>
                <w:szCs w:val="22"/>
              </w:rPr>
              <w:t>Design review by Technical leads</w:t>
            </w:r>
          </w:p>
          <w:p w14:paraId="23D53EA5" w14:textId="77777777" w:rsidR="00B438E1" w:rsidRPr="00472907" w:rsidRDefault="00B438E1" w:rsidP="00B438E1">
            <w:pPr>
              <w:pStyle w:val="ListParagraph"/>
              <w:numPr>
                <w:ilvl w:val="0"/>
                <w:numId w:val="7"/>
              </w:numPr>
              <w:spacing w:before="120" w:line="240" w:lineRule="auto"/>
              <w:rPr>
                <w:rFonts w:ascii="Arial" w:eastAsia="Batang" w:hAnsi="Arial"/>
                <w:szCs w:val="22"/>
              </w:rPr>
            </w:pPr>
            <w:r w:rsidRPr="00472907">
              <w:rPr>
                <w:rFonts w:ascii="Arial" w:eastAsia="Batang" w:hAnsi="Arial"/>
                <w:szCs w:val="22"/>
              </w:rPr>
              <w:t>Peer review for development (code review)</w:t>
            </w:r>
          </w:p>
          <w:p w14:paraId="5AFCEBAF" w14:textId="646F1111" w:rsidR="00B438E1" w:rsidRDefault="00B438E1" w:rsidP="00B438E1">
            <w:pPr>
              <w:pStyle w:val="ListParagraph"/>
              <w:numPr>
                <w:ilvl w:val="0"/>
                <w:numId w:val="7"/>
              </w:numPr>
              <w:spacing w:before="120" w:line="240" w:lineRule="auto"/>
              <w:rPr>
                <w:rFonts w:ascii="Arial" w:eastAsia="Batang" w:hAnsi="Arial"/>
                <w:szCs w:val="22"/>
              </w:rPr>
            </w:pPr>
            <w:r w:rsidRPr="00472907">
              <w:rPr>
                <w:rFonts w:ascii="Arial" w:eastAsia="Batang" w:hAnsi="Arial"/>
                <w:szCs w:val="22"/>
              </w:rPr>
              <w:t>Test proof validation</w:t>
            </w:r>
          </w:p>
          <w:p w14:paraId="13EEA646" w14:textId="77777777" w:rsidR="00B438E1" w:rsidRPr="00472907" w:rsidRDefault="00B438E1" w:rsidP="00B438E1">
            <w:pPr>
              <w:pStyle w:val="ListParagraph"/>
              <w:spacing w:before="120" w:line="240" w:lineRule="auto"/>
              <w:ind w:left="2355"/>
              <w:rPr>
                <w:rFonts w:ascii="Arial" w:eastAsia="Batang" w:hAnsi="Arial"/>
                <w:szCs w:val="22"/>
              </w:rPr>
            </w:pPr>
          </w:p>
          <w:p w14:paraId="72464D58" w14:textId="1C9D11F9" w:rsidR="00B438E1" w:rsidRPr="00472907" w:rsidRDefault="00B438E1" w:rsidP="00B438E1">
            <w:pPr>
              <w:pStyle w:val="ListParagraph"/>
              <w:numPr>
                <w:ilvl w:val="0"/>
                <w:numId w:val="6"/>
              </w:numPr>
              <w:spacing w:before="120" w:line="240" w:lineRule="auto"/>
              <w:ind w:left="317" w:hanging="283"/>
              <w:rPr>
                <w:rFonts w:ascii="Arial" w:eastAsia="Batang" w:hAnsi="Arial"/>
                <w:szCs w:val="22"/>
              </w:rPr>
            </w:pPr>
            <w:r w:rsidRPr="00B438E1">
              <w:rPr>
                <w:rFonts w:ascii="Arial" w:eastAsia="Batang" w:hAnsi="Arial"/>
                <w:b/>
                <w:bCs/>
                <w:szCs w:val="22"/>
                <w:u w:val="single"/>
              </w:rPr>
              <w:t>Review by TCS DEG</w:t>
            </w:r>
            <w:r w:rsidRPr="00472907">
              <w:rPr>
                <w:rFonts w:ascii="Arial" w:eastAsia="Batang" w:hAnsi="Arial"/>
                <w:szCs w:val="22"/>
              </w:rPr>
              <w:t xml:space="preserve"> is conducted e</w:t>
            </w:r>
            <w:r w:rsidRPr="00472907">
              <w:rPr>
                <w:rFonts w:ascii="Arial" w:hAnsi="Arial"/>
                <w:szCs w:val="22"/>
              </w:rPr>
              <w:t>very quarter for all the projects in a planned manner to evaluate the compliance with iQMS and the effectiveness of the quality of the services delivered. The audits are conducted using checklist developed for each type of services and the findings are recorded, and any non-conformance and corresponding actions recorded. All of this is managed using in-house tool called TCS Quality Audit System (TQAS).</w:t>
            </w:r>
          </w:p>
          <w:p w14:paraId="0E12262D" w14:textId="77777777" w:rsidR="00B438E1" w:rsidRPr="00472907" w:rsidRDefault="00B438E1" w:rsidP="003E6992">
            <w:pPr>
              <w:ind w:left="842"/>
              <w:contextualSpacing/>
              <w:rPr>
                <w:rFonts w:ascii="Arial" w:hAnsi="Arial"/>
                <w:szCs w:val="22"/>
              </w:rPr>
            </w:pPr>
          </w:p>
          <w:p w14:paraId="694F53E7" w14:textId="77777777" w:rsidR="00B438E1" w:rsidRPr="00472907" w:rsidRDefault="00B438E1" w:rsidP="00B438E1">
            <w:pPr>
              <w:pStyle w:val="ListParagraph"/>
              <w:numPr>
                <w:ilvl w:val="0"/>
                <w:numId w:val="8"/>
              </w:numPr>
              <w:spacing w:before="120" w:line="240" w:lineRule="auto"/>
              <w:rPr>
                <w:rFonts w:ascii="Arial" w:eastAsia="Batang" w:hAnsi="Arial"/>
                <w:b/>
                <w:bCs/>
                <w:szCs w:val="22"/>
                <w:u w:val="single"/>
              </w:rPr>
            </w:pPr>
            <w:r w:rsidRPr="00472907">
              <w:rPr>
                <w:rFonts w:ascii="Arial" w:eastAsia="Batang" w:hAnsi="Arial"/>
                <w:b/>
                <w:bCs/>
                <w:szCs w:val="22"/>
                <w:u w:val="single"/>
              </w:rPr>
              <w:t>Publish/Present findings:</w:t>
            </w:r>
          </w:p>
          <w:p w14:paraId="2352B0AB" w14:textId="07D3D41C" w:rsidR="00B438E1" w:rsidRPr="00472907" w:rsidRDefault="00B438E1" w:rsidP="003E6992">
            <w:pPr>
              <w:rPr>
                <w:rFonts w:ascii="Arial" w:eastAsia="Batang" w:hAnsi="Arial"/>
                <w:szCs w:val="22"/>
              </w:rPr>
            </w:pPr>
            <w:r w:rsidRPr="00472907">
              <w:rPr>
                <w:rFonts w:ascii="Arial" w:eastAsia="Batang" w:hAnsi="Arial"/>
                <w:szCs w:val="22"/>
              </w:rPr>
              <w:t xml:space="preserve">TCS has enabled various forums to present </w:t>
            </w:r>
            <w:r w:rsidRPr="00472907">
              <w:rPr>
                <w:rFonts w:ascii="Arial" w:hAnsi="Arial"/>
                <w:szCs w:val="22"/>
              </w:rPr>
              <w:t>findings and recommendations</w:t>
            </w:r>
            <w:r w:rsidRPr="00472907">
              <w:rPr>
                <w:rFonts w:ascii="Arial" w:eastAsia="Batang" w:hAnsi="Arial"/>
                <w:szCs w:val="22"/>
              </w:rPr>
              <w:t xml:space="preserve">. Below sections will detail out how the findings gets presented for </w:t>
            </w:r>
            <w:r>
              <w:rPr>
                <w:rFonts w:ascii="Arial" w:eastAsia="Batang" w:hAnsi="Arial"/>
                <w:szCs w:val="22"/>
              </w:rPr>
              <w:t>SSIS, HADOOP and BODS</w:t>
            </w:r>
            <w:r w:rsidRPr="00472907">
              <w:rPr>
                <w:rFonts w:ascii="Arial" w:eastAsia="Batang" w:hAnsi="Arial"/>
                <w:szCs w:val="22"/>
              </w:rPr>
              <w:t xml:space="preserve">   </w:t>
            </w:r>
          </w:p>
          <w:p w14:paraId="36504B3E" w14:textId="77777777" w:rsidR="00B438E1" w:rsidRPr="00472907" w:rsidRDefault="00B438E1" w:rsidP="00B438E1">
            <w:pPr>
              <w:pStyle w:val="ListParagraph"/>
              <w:numPr>
                <w:ilvl w:val="0"/>
                <w:numId w:val="9"/>
              </w:numPr>
              <w:spacing w:before="120" w:line="240" w:lineRule="auto"/>
              <w:rPr>
                <w:rFonts w:ascii="Arial" w:eastAsia="Batang" w:hAnsi="Arial"/>
                <w:b/>
                <w:bCs/>
                <w:szCs w:val="22"/>
                <w:u w:val="single"/>
              </w:rPr>
            </w:pPr>
            <w:r w:rsidRPr="00472907">
              <w:rPr>
                <w:rFonts w:ascii="Arial" w:eastAsia="Batang" w:hAnsi="Arial"/>
                <w:b/>
                <w:bCs/>
                <w:szCs w:val="22"/>
                <w:u w:val="single"/>
              </w:rPr>
              <w:t>Individual TEAM level presentation:</w:t>
            </w:r>
          </w:p>
          <w:p w14:paraId="41634910" w14:textId="47ABA51E" w:rsidR="00B438E1" w:rsidRPr="00472907" w:rsidRDefault="00B438E1" w:rsidP="003E6992">
            <w:pPr>
              <w:rPr>
                <w:rFonts w:ascii="Arial" w:eastAsia="Batang" w:hAnsi="Arial"/>
                <w:b/>
                <w:bCs/>
                <w:szCs w:val="22"/>
                <w:u w:val="single"/>
              </w:rPr>
            </w:pPr>
            <w:r w:rsidRPr="00472907">
              <w:rPr>
                <w:rFonts w:ascii="Arial" w:eastAsia="Batang" w:hAnsi="Arial"/>
                <w:b/>
                <w:bCs/>
                <w:szCs w:val="22"/>
                <w:u w:val="single"/>
              </w:rPr>
              <w:t>B</w:t>
            </w:r>
            <w:r>
              <w:rPr>
                <w:rFonts w:ascii="Arial" w:eastAsia="Batang" w:hAnsi="Arial"/>
                <w:b/>
                <w:bCs/>
                <w:szCs w:val="22"/>
                <w:u w:val="single"/>
              </w:rPr>
              <w:t>ODS</w:t>
            </w:r>
            <w:r w:rsidRPr="00472907">
              <w:rPr>
                <w:rFonts w:ascii="Arial" w:eastAsia="Batang" w:hAnsi="Arial"/>
                <w:b/>
                <w:bCs/>
                <w:szCs w:val="22"/>
                <w:u w:val="single"/>
              </w:rPr>
              <w:t>:</w:t>
            </w:r>
          </w:p>
          <w:p w14:paraId="18F6C5DA" w14:textId="77777777" w:rsidR="00B438E1" w:rsidRPr="00472907" w:rsidRDefault="00B438E1" w:rsidP="003E6992">
            <w:pPr>
              <w:rPr>
                <w:rFonts w:ascii="Arial" w:eastAsia="Batang" w:hAnsi="Arial"/>
                <w:szCs w:val="22"/>
              </w:rPr>
            </w:pPr>
            <w:r w:rsidRPr="00472907">
              <w:rPr>
                <w:rFonts w:ascii="Arial" w:eastAsia="Batang" w:hAnsi="Arial"/>
                <w:szCs w:val="22"/>
              </w:rPr>
              <w:t>There are weekly reports and KPI’s which provide details on Service quality, issues, risks and recommendations. Based on nature of engagements in project delivery and support service delivery TCS adopts below method to publish/present findings-</w:t>
            </w:r>
          </w:p>
          <w:p w14:paraId="7EC3DD3E" w14:textId="77777777" w:rsidR="00B438E1" w:rsidRPr="00472907" w:rsidRDefault="00B438E1" w:rsidP="00B438E1">
            <w:pPr>
              <w:numPr>
                <w:ilvl w:val="0"/>
                <w:numId w:val="3"/>
              </w:numPr>
              <w:spacing w:before="120" w:line="240" w:lineRule="auto"/>
              <w:contextualSpacing/>
              <w:rPr>
                <w:rFonts w:ascii="Arial" w:eastAsia="Batang" w:hAnsi="Arial"/>
                <w:szCs w:val="22"/>
              </w:rPr>
            </w:pPr>
            <w:r w:rsidRPr="00472907">
              <w:rPr>
                <w:rFonts w:ascii="Arial" w:eastAsia="Batang" w:hAnsi="Arial"/>
                <w:szCs w:val="22"/>
              </w:rPr>
              <w:t xml:space="preserve">Daily stand up call between TCS team and ESB Lead. In this meeting daily delivery updates are presented, and any risk and issues are discussed. </w:t>
            </w:r>
          </w:p>
          <w:p w14:paraId="455781F1" w14:textId="075FDB1A" w:rsidR="00B438E1" w:rsidRPr="00472907" w:rsidRDefault="00B438E1" w:rsidP="00B438E1">
            <w:pPr>
              <w:numPr>
                <w:ilvl w:val="0"/>
                <w:numId w:val="3"/>
              </w:numPr>
              <w:spacing w:before="120" w:line="240" w:lineRule="auto"/>
              <w:contextualSpacing/>
              <w:rPr>
                <w:rFonts w:ascii="Arial" w:eastAsia="Batang" w:hAnsi="Arial"/>
                <w:szCs w:val="22"/>
              </w:rPr>
            </w:pPr>
            <w:r w:rsidRPr="00472907">
              <w:rPr>
                <w:rFonts w:ascii="Arial" w:eastAsia="Batang" w:hAnsi="Arial"/>
                <w:szCs w:val="22"/>
              </w:rPr>
              <w:t>Weekly status</w:t>
            </w:r>
            <w:r>
              <w:rPr>
                <w:rFonts w:ascii="Arial" w:eastAsia="Batang" w:hAnsi="Arial"/>
                <w:szCs w:val="22"/>
              </w:rPr>
              <w:t xml:space="preserve"> Meeting attended by ESB &amp; entire SAP BODS BAU team.</w:t>
            </w:r>
            <w:r w:rsidRPr="00472907">
              <w:rPr>
                <w:rFonts w:ascii="Arial" w:eastAsia="Batang" w:hAnsi="Arial"/>
                <w:szCs w:val="22"/>
              </w:rPr>
              <w:t xml:space="preserve"> In this meeting support KPI’s, progress o</w:t>
            </w:r>
            <w:r>
              <w:rPr>
                <w:rFonts w:ascii="Arial" w:eastAsia="Batang" w:hAnsi="Arial"/>
                <w:szCs w:val="22"/>
              </w:rPr>
              <w:t>n</w:t>
            </w:r>
            <w:r w:rsidRPr="00472907">
              <w:rPr>
                <w:rFonts w:ascii="Arial" w:eastAsia="Batang" w:hAnsi="Arial"/>
                <w:szCs w:val="22"/>
              </w:rPr>
              <w:t xml:space="preserve"> change requests</w:t>
            </w:r>
            <w:r>
              <w:rPr>
                <w:rFonts w:ascii="Arial" w:eastAsia="Batang" w:hAnsi="Arial"/>
                <w:szCs w:val="22"/>
              </w:rPr>
              <w:t xml:space="preserve"> are </w:t>
            </w:r>
            <w:r w:rsidRPr="00472907">
              <w:rPr>
                <w:rFonts w:ascii="Arial" w:eastAsia="Batang" w:hAnsi="Arial"/>
                <w:szCs w:val="22"/>
              </w:rPr>
              <w:t xml:space="preserve">presented. Weekly status reports are published </w:t>
            </w:r>
            <w:r w:rsidR="00F713E9">
              <w:rPr>
                <w:rFonts w:ascii="Arial" w:eastAsia="Batang" w:hAnsi="Arial"/>
                <w:szCs w:val="22"/>
              </w:rPr>
              <w:t>to</w:t>
            </w:r>
            <w:r w:rsidRPr="00472907">
              <w:rPr>
                <w:rFonts w:ascii="Arial" w:eastAsia="Batang" w:hAnsi="Arial"/>
                <w:szCs w:val="22"/>
              </w:rPr>
              <w:t xml:space="preserve"> SharePoint site.</w:t>
            </w:r>
          </w:p>
          <w:p w14:paraId="4920D61D" w14:textId="77777777" w:rsidR="00B438E1" w:rsidRPr="00472907" w:rsidRDefault="00B438E1" w:rsidP="003E6992">
            <w:pPr>
              <w:ind w:left="780"/>
              <w:contextualSpacing/>
              <w:rPr>
                <w:rFonts w:ascii="Arial" w:eastAsia="Batang" w:hAnsi="Arial"/>
                <w:szCs w:val="22"/>
              </w:rPr>
            </w:pPr>
          </w:p>
          <w:p w14:paraId="0BC2EF07" w14:textId="77777777" w:rsidR="00B438E1" w:rsidRPr="00472907" w:rsidRDefault="00B438E1" w:rsidP="003E6992">
            <w:pPr>
              <w:contextualSpacing/>
              <w:rPr>
                <w:rFonts w:ascii="Arial" w:eastAsia="Batang" w:hAnsi="Arial"/>
                <w:b/>
                <w:bCs/>
                <w:szCs w:val="22"/>
              </w:rPr>
            </w:pPr>
            <w:r w:rsidRPr="00472907">
              <w:rPr>
                <w:rFonts w:ascii="Arial" w:eastAsia="Batang" w:hAnsi="Arial"/>
                <w:b/>
                <w:bCs/>
                <w:szCs w:val="22"/>
              </w:rPr>
              <w:t>Weekly status reports for BW:</w:t>
            </w:r>
          </w:p>
          <w:p w14:paraId="5058A6E0" w14:textId="77777777" w:rsidR="00B438E1" w:rsidRPr="00472907" w:rsidRDefault="00B438E1" w:rsidP="003E6992">
            <w:pPr>
              <w:ind w:left="780"/>
              <w:contextualSpacing/>
              <w:rPr>
                <w:rFonts w:ascii="Arial" w:eastAsia="Batang" w:hAnsi="Arial"/>
                <w:b/>
                <w:bCs/>
                <w:color w:val="FF0000"/>
                <w:szCs w:val="22"/>
              </w:rPr>
            </w:pPr>
          </w:p>
          <w:tbl>
            <w:tblPr>
              <w:tblStyle w:val="TableGrid"/>
              <w:tblW w:w="0" w:type="auto"/>
              <w:tblLook w:val="04A0" w:firstRow="1" w:lastRow="0" w:firstColumn="1" w:lastColumn="0" w:noHBand="0" w:noVBand="1"/>
            </w:tblPr>
            <w:tblGrid>
              <w:gridCol w:w="7236"/>
            </w:tblGrid>
            <w:tr w:rsidR="00F713E9" w:rsidRPr="00472907" w14:paraId="6DE20894" w14:textId="77777777" w:rsidTr="003E6992">
              <w:trPr>
                <w:trHeight w:val="3330"/>
              </w:trPr>
              <w:tc>
                <w:tcPr>
                  <w:tcW w:w="3822" w:type="dxa"/>
                </w:tcPr>
                <w:p w14:paraId="7406B637" w14:textId="26D26082" w:rsidR="00F713E9" w:rsidRPr="00472907" w:rsidRDefault="00F713E9" w:rsidP="003E6992">
                  <w:pPr>
                    <w:rPr>
                      <w:rFonts w:ascii="Arial" w:hAnsi="Arial"/>
                      <w:noProof/>
                      <w:szCs w:val="22"/>
                    </w:rPr>
                  </w:pPr>
                  <w:r>
                    <w:rPr>
                      <w:noProof/>
                    </w:rPr>
                    <w:lastRenderedPageBreak/>
                    <w:drawing>
                      <wp:inline distT="0" distB="0" distL="0" distR="0" wp14:anchorId="6FCD3583" wp14:editId="2E8ADE13">
                        <wp:extent cx="444817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4362450"/>
                                </a:xfrm>
                                <a:prstGeom prst="rect">
                                  <a:avLst/>
                                </a:prstGeom>
                              </pic:spPr>
                            </pic:pic>
                          </a:graphicData>
                        </a:graphic>
                      </wp:inline>
                    </w:drawing>
                  </w:r>
                </w:p>
              </w:tc>
            </w:tr>
          </w:tbl>
          <w:p w14:paraId="1370094F" w14:textId="77777777" w:rsidR="00B438E1" w:rsidRPr="00472907" w:rsidRDefault="00B438E1" w:rsidP="003E6992">
            <w:pPr>
              <w:ind w:left="780"/>
              <w:contextualSpacing/>
              <w:rPr>
                <w:rFonts w:ascii="Arial" w:eastAsia="Batang" w:hAnsi="Arial"/>
                <w:szCs w:val="22"/>
              </w:rPr>
            </w:pPr>
          </w:p>
          <w:p w14:paraId="10EEB7E6" w14:textId="77777777" w:rsidR="00B438E1" w:rsidRPr="00472907" w:rsidRDefault="00B438E1" w:rsidP="00B438E1">
            <w:pPr>
              <w:pStyle w:val="ListParagraph"/>
              <w:numPr>
                <w:ilvl w:val="0"/>
                <w:numId w:val="9"/>
              </w:numPr>
              <w:spacing w:before="120" w:line="240" w:lineRule="auto"/>
              <w:rPr>
                <w:rFonts w:ascii="Arial" w:eastAsia="Batang" w:hAnsi="Arial"/>
                <w:szCs w:val="22"/>
              </w:rPr>
            </w:pPr>
            <w:r w:rsidRPr="00472907">
              <w:rPr>
                <w:rFonts w:ascii="Arial" w:eastAsia="Batang" w:hAnsi="Arial"/>
                <w:b/>
                <w:bCs/>
                <w:szCs w:val="22"/>
                <w:u w:val="single"/>
              </w:rPr>
              <w:t>Portfolio level presentation:</w:t>
            </w:r>
          </w:p>
          <w:p w14:paraId="3111B039" w14:textId="77777777" w:rsidR="00B438E1" w:rsidRPr="00472907" w:rsidRDefault="00B438E1" w:rsidP="00B438E1">
            <w:pPr>
              <w:numPr>
                <w:ilvl w:val="0"/>
                <w:numId w:val="3"/>
              </w:numPr>
              <w:spacing w:before="120" w:line="240" w:lineRule="auto"/>
              <w:contextualSpacing/>
              <w:rPr>
                <w:rFonts w:ascii="Arial" w:eastAsia="Batang" w:hAnsi="Arial"/>
                <w:szCs w:val="22"/>
              </w:rPr>
            </w:pPr>
            <w:r w:rsidRPr="00472907">
              <w:rPr>
                <w:rFonts w:ascii="Arial" w:eastAsia="Batang" w:hAnsi="Arial"/>
                <w:szCs w:val="22"/>
              </w:rPr>
              <w:t>Monthly review with Portfolio manager- Service score card, Project delivery and Support service delivery is discussed with portfolio manager in monthly Governance.</w:t>
            </w:r>
          </w:p>
          <w:p w14:paraId="0EA240FE" w14:textId="77777777" w:rsidR="00B438E1" w:rsidRPr="00472907" w:rsidRDefault="00B438E1" w:rsidP="003E6992">
            <w:pPr>
              <w:rPr>
                <w:rFonts w:ascii="Arial" w:eastAsia="Batang" w:hAnsi="Arial"/>
                <w:b/>
                <w:bCs/>
                <w:szCs w:val="22"/>
              </w:rPr>
            </w:pPr>
            <w:r w:rsidRPr="00472907">
              <w:rPr>
                <w:rFonts w:ascii="Arial" w:eastAsia="Batang" w:hAnsi="Arial"/>
                <w:b/>
                <w:bCs/>
                <w:szCs w:val="22"/>
              </w:rPr>
              <w:t>Service delivery dashboard:</w:t>
            </w:r>
          </w:p>
          <w:tbl>
            <w:tblPr>
              <w:tblStyle w:val="TableGrid"/>
              <w:tblW w:w="0" w:type="auto"/>
              <w:tblLook w:val="04A0" w:firstRow="1" w:lastRow="0" w:firstColumn="1" w:lastColumn="0" w:noHBand="0" w:noVBand="1"/>
            </w:tblPr>
            <w:tblGrid>
              <w:gridCol w:w="3988"/>
              <w:gridCol w:w="4296"/>
            </w:tblGrid>
            <w:tr w:rsidR="00B438E1" w:rsidRPr="00472907" w14:paraId="53FC7D6A" w14:textId="77777777" w:rsidTr="003E6992">
              <w:tc>
                <w:tcPr>
                  <w:tcW w:w="3988" w:type="dxa"/>
                </w:tcPr>
                <w:p w14:paraId="01A4124A" w14:textId="77777777" w:rsidR="00B438E1" w:rsidRPr="00472907" w:rsidRDefault="00B438E1" w:rsidP="003E6992">
                  <w:pPr>
                    <w:rPr>
                      <w:rFonts w:ascii="Arial" w:eastAsia="Batang" w:hAnsi="Arial"/>
                      <w:szCs w:val="22"/>
                    </w:rPr>
                  </w:pPr>
                  <w:r w:rsidRPr="00472907">
                    <w:rPr>
                      <w:rFonts w:ascii="Arial" w:hAnsi="Arial"/>
                      <w:noProof/>
                      <w:szCs w:val="22"/>
                    </w:rPr>
                    <w:drawing>
                      <wp:inline distT="0" distB="0" distL="0" distR="0" wp14:anchorId="78729428" wp14:editId="5EAAC009">
                        <wp:extent cx="2209800" cy="15690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0985" cy="1576994"/>
                                </a:xfrm>
                                <a:prstGeom prst="rect">
                                  <a:avLst/>
                                </a:prstGeom>
                              </pic:spPr>
                            </pic:pic>
                          </a:graphicData>
                        </a:graphic>
                      </wp:inline>
                    </w:drawing>
                  </w:r>
                </w:p>
              </w:tc>
              <w:tc>
                <w:tcPr>
                  <w:tcW w:w="3988" w:type="dxa"/>
                </w:tcPr>
                <w:p w14:paraId="0E5E5556" w14:textId="77777777" w:rsidR="00B438E1" w:rsidRPr="00472907" w:rsidRDefault="00B438E1" w:rsidP="003E6992">
                  <w:pPr>
                    <w:rPr>
                      <w:rFonts w:ascii="Arial" w:eastAsia="Batang" w:hAnsi="Arial"/>
                      <w:szCs w:val="22"/>
                    </w:rPr>
                  </w:pPr>
                  <w:r w:rsidRPr="00472907">
                    <w:rPr>
                      <w:rFonts w:ascii="Arial" w:hAnsi="Arial"/>
                      <w:noProof/>
                      <w:szCs w:val="22"/>
                    </w:rPr>
                    <w:drawing>
                      <wp:inline distT="0" distB="0" distL="0" distR="0" wp14:anchorId="5795FCB3" wp14:editId="300C3A4B">
                        <wp:extent cx="2590033" cy="155275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386" cy="1604524"/>
                                </a:xfrm>
                                <a:prstGeom prst="rect">
                                  <a:avLst/>
                                </a:prstGeom>
                              </pic:spPr>
                            </pic:pic>
                          </a:graphicData>
                        </a:graphic>
                      </wp:inline>
                    </w:drawing>
                  </w:r>
                </w:p>
              </w:tc>
            </w:tr>
          </w:tbl>
          <w:p w14:paraId="18642131" w14:textId="77777777" w:rsidR="00B438E1" w:rsidRPr="00472907" w:rsidRDefault="00B438E1" w:rsidP="003E6992">
            <w:pPr>
              <w:spacing w:after="0"/>
              <w:rPr>
                <w:rFonts w:ascii="Arial" w:eastAsia="Batang" w:hAnsi="Arial"/>
                <w:szCs w:val="22"/>
              </w:rPr>
            </w:pPr>
            <w:r w:rsidRPr="00472907">
              <w:rPr>
                <w:rFonts w:ascii="Arial" w:hAnsi="Arial"/>
                <w:noProof/>
                <w:szCs w:val="22"/>
              </w:rPr>
              <w:lastRenderedPageBreak/>
              <w:drawing>
                <wp:anchor distT="0" distB="0" distL="114300" distR="114300" simplePos="0" relativeHeight="251659264" behindDoc="1" locked="0" layoutInCell="1" allowOverlap="1" wp14:anchorId="60250BDD" wp14:editId="0844F51B">
                  <wp:simplePos x="0" y="0"/>
                  <wp:positionH relativeFrom="column">
                    <wp:posOffset>186055</wp:posOffset>
                  </wp:positionH>
                  <wp:positionV relativeFrom="paragraph">
                    <wp:posOffset>487680</wp:posOffset>
                  </wp:positionV>
                  <wp:extent cx="4615180" cy="27800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5180" cy="2780030"/>
                          </a:xfrm>
                          <a:prstGeom prst="rect">
                            <a:avLst/>
                          </a:prstGeom>
                        </pic:spPr>
                      </pic:pic>
                    </a:graphicData>
                  </a:graphic>
                  <wp14:sizeRelH relativeFrom="margin">
                    <wp14:pctWidth>0</wp14:pctWidth>
                  </wp14:sizeRelH>
                  <wp14:sizeRelV relativeFrom="margin">
                    <wp14:pctHeight>0</wp14:pctHeight>
                  </wp14:sizeRelV>
                </wp:anchor>
              </w:drawing>
            </w:r>
            <w:r w:rsidRPr="00472907">
              <w:rPr>
                <w:rFonts w:ascii="Arial" w:eastAsia="Batang" w:hAnsi="Arial"/>
                <w:szCs w:val="22"/>
              </w:rPr>
              <w:t>Overall Service score card, Project delivery and Support service delivery is discussed with portfolio manager in monthly Governance.</w:t>
            </w:r>
          </w:p>
          <w:p w14:paraId="545A1025" w14:textId="77777777" w:rsidR="00B438E1" w:rsidRPr="00472907" w:rsidRDefault="00B438E1" w:rsidP="003E6992">
            <w:pPr>
              <w:spacing w:after="0"/>
              <w:jc w:val="center"/>
              <w:rPr>
                <w:rFonts w:ascii="Arial" w:eastAsia="Batang" w:hAnsi="Arial"/>
                <w:szCs w:val="22"/>
              </w:rPr>
            </w:pPr>
            <w:r w:rsidRPr="00472907">
              <w:rPr>
                <w:rFonts w:ascii="Arial" w:eastAsia="Batang" w:hAnsi="Arial"/>
                <w:b/>
                <w:bCs/>
                <w:color w:val="215868"/>
                <w:szCs w:val="22"/>
              </w:rPr>
              <w:t>Portfolio level Scorecard</w:t>
            </w:r>
          </w:p>
          <w:p w14:paraId="537BE624" w14:textId="77777777" w:rsidR="00B438E1" w:rsidRPr="00472907" w:rsidRDefault="00B438E1" w:rsidP="003E6992">
            <w:pPr>
              <w:contextualSpacing/>
              <w:rPr>
                <w:rFonts w:ascii="Arial" w:eastAsia="Batang" w:hAnsi="Arial"/>
                <w:szCs w:val="22"/>
              </w:rPr>
            </w:pPr>
            <w:r w:rsidRPr="00472907">
              <w:rPr>
                <w:rFonts w:ascii="Arial" w:eastAsia="Batang" w:hAnsi="Arial"/>
                <w:b/>
                <w:bCs/>
                <w:szCs w:val="22"/>
                <w:u w:val="single"/>
              </w:rPr>
              <w:t>Take corrective measures/manage exception:</w:t>
            </w:r>
            <w:r w:rsidRPr="00472907">
              <w:rPr>
                <w:rFonts w:ascii="Arial" w:eastAsia="Batang" w:hAnsi="Arial"/>
                <w:szCs w:val="22"/>
              </w:rPr>
              <w:t xml:space="preserve"> As part of the recommendations, if TCS is to take any corrective measures, then the same is accomplished in a defined timeline with rigor and this has been a cornerstone of TCS quality delivery.</w:t>
            </w:r>
            <w:r>
              <w:rPr>
                <w:rFonts w:ascii="Arial" w:eastAsia="Batang" w:hAnsi="Arial"/>
                <w:szCs w:val="22"/>
              </w:rPr>
              <w:t xml:space="preserve"> TCS has always delivered corrections as per agreed plan and timeline</w:t>
            </w:r>
            <w:r w:rsidRPr="00472907">
              <w:rPr>
                <w:rFonts w:ascii="Arial" w:eastAsia="Batang" w:hAnsi="Arial"/>
                <w:szCs w:val="22"/>
              </w:rPr>
              <w:t xml:space="preserve">     </w:t>
            </w:r>
          </w:p>
          <w:p w14:paraId="5338C247" w14:textId="77777777" w:rsidR="00B438E1" w:rsidRPr="00472907" w:rsidRDefault="00B438E1" w:rsidP="003E6992">
            <w:pPr>
              <w:pStyle w:val="IntenseQuote"/>
              <w:spacing w:before="120" w:after="120"/>
              <w:ind w:left="862" w:right="862"/>
              <w:rPr>
                <w:rFonts w:cs="Arial"/>
                <w:szCs w:val="22"/>
              </w:rPr>
            </w:pPr>
            <w:r w:rsidRPr="00472907">
              <w:rPr>
                <w:rFonts w:cs="Arial"/>
                <w:szCs w:val="22"/>
              </w:rPr>
              <w:t>Good working relationship built up with TCS over a number of years</w:t>
            </w:r>
          </w:p>
          <w:p w14:paraId="4381F768" w14:textId="77777777" w:rsidR="00B438E1" w:rsidRPr="00472907" w:rsidRDefault="00B438E1" w:rsidP="003E6992">
            <w:pPr>
              <w:pStyle w:val="IntenseQuote"/>
              <w:spacing w:before="120" w:after="120"/>
              <w:ind w:left="862" w:right="862"/>
              <w:rPr>
                <w:rFonts w:cs="Arial"/>
                <w:b/>
                <w:bCs/>
                <w:noProof/>
                <w:szCs w:val="22"/>
              </w:rPr>
            </w:pPr>
            <w:r w:rsidRPr="00472907">
              <w:rPr>
                <w:rFonts w:cs="Arial"/>
                <w:szCs w:val="22"/>
              </w:rPr>
              <w:t>(</w:t>
            </w:r>
            <w:r w:rsidRPr="00472907">
              <w:rPr>
                <w:rFonts w:cs="Arial"/>
                <w:b/>
                <w:bCs/>
                <w:szCs w:val="22"/>
              </w:rPr>
              <w:t>as highlighted in service feedback received in Aug’20</w:t>
            </w:r>
            <w:r w:rsidRPr="00472907">
              <w:rPr>
                <w:rFonts w:cs="Arial"/>
                <w:b/>
                <w:bCs/>
                <w:noProof/>
                <w:color w:val="365F91"/>
                <w:szCs w:val="22"/>
              </w:rPr>
              <w:t>)</w:t>
            </w:r>
          </w:p>
          <w:p w14:paraId="6BBD5765" w14:textId="5E4C7EA2" w:rsidR="00B438E1" w:rsidRPr="00F713E9" w:rsidRDefault="00B438E1" w:rsidP="003E6992">
            <w:pPr>
              <w:rPr>
                <w:rFonts w:ascii="Arial" w:eastAsia="Batang" w:hAnsi="Arial"/>
                <w:szCs w:val="22"/>
              </w:rPr>
            </w:pPr>
            <w:r w:rsidRPr="00472907">
              <w:rPr>
                <w:rFonts w:ascii="Arial" w:eastAsia="Batang" w:hAnsi="Arial"/>
                <w:b/>
                <w:bCs/>
                <w:szCs w:val="22"/>
                <w:u w:val="single"/>
              </w:rPr>
              <w:t xml:space="preserve">While TCS has been able to deliver a high-quality service so far, the team is continuously looking for opportunities to improve. We shall bring the same rigor and commitment to drive high standards of quality assurance to the </w:t>
            </w:r>
            <w:r w:rsidR="00F713E9">
              <w:rPr>
                <w:rFonts w:ascii="Arial" w:eastAsia="Batang" w:hAnsi="Arial"/>
                <w:b/>
                <w:bCs/>
                <w:szCs w:val="22"/>
                <w:u w:val="single"/>
              </w:rPr>
              <w:t>SSIS, HADOOP and BODS</w:t>
            </w:r>
            <w:r w:rsidRPr="00472907">
              <w:rPr>
                <w:rFonts w:ascii="Arial" w:eastAsia="Batang" w:hAnsi="Arial"/>
                <w:b/>
                <w:bCs/>
                <w:szCs w:val="22"/>
                <w:u w:val="single"/>
              </w:rPr>
              <w:t xml:space="preserve"> work streams in future.  </w:t>
            </w:r>
          </w:p>
          <w:p w14:paraId="59CEB14E" w14:textId="549753FB" w:rsidR="00B438E1" w:rsidRPr="007B425C" w:rsidRDefault="00F713E9" w:rsidP="003E6992">
            <w:pPr>
              <w:rPr>
                <w:rFonts w:ascii="Arial" w:eastAsia="Batang" w:hAnsi="Arial"/>
                <w:szCs w:val="22"/>
              </w:rPr>
            </w:pPr>
            <w:r w:rsidRPr="00F713E9">
              <w:rPr>
                <w:rFonts w:ascii="Arial" w:eastAsia="Batang" w:hAnsi="Arial"/>
                <w:szCs w:val="22"/>
                <w:highlight w:val="yellow"/>
              </w:rPr>
              <w:t>Insert Screenshot of appreciation PPT</w:t>
            </w:r>
          </w:p>
          <w:p w14:paraId="6974E1AA" w14:textId="77777777" w:rsidR="00B438E1" w:rsidRDefault="00B438E1" w:rsidP="003E6992">
            <w:pPr>
              <w:rPr>
                <w:rFonts w:ascii="Arial" w:eastAsia="Batang" w:hAnsi="Arial"/>
                <w:szCs w:val="22"/>
              </w:rPr>
            </w:pPr>
          </w:p>
          <w:p w14:paraId="440218EA" w14:textId="77777777" w:rsidR="00B438E1" w:rsidRPr="007B425C" w:rsidRDefault="00B438E1" w:rsidP="003E6992">
            <w:pPr>
              <w:rPr>
                <w:rFonts w:ascii="Arial" w:eastAsia="Batang" w:hAnsi="Arial"/>
                <w:szCs w:val="22"/>
              </w:rPr>
            </w:pPr>
          </w:p>
          <w:p w14:paraId="1F82A0E7" w14:textId="37A2E472" w:rsidR="00B438E1" w:rsidRPr="00472907" w:rsidRDefault="00B438E1" w:rsidP="003E6992">
            <w:pPr>
              <w:rPr>
                <w:rFonts w:ascii="Arial" w:eastAsia="Batang" w:hAnsi="Arial"/>
                <w:szCs w:val="22"/>
              </w:rPr>
            </w:pPr>
            <w:r w:rsidRPr="00472907">
              <w:rPr>
                <w:rFonts w:ascii="Arial" w:eastAsia="Batang" w:hAnsi="Arial"/>
                <w:szCs w:val="22"/>
              </w:rPr>
              <w:t xml:space="preserve"> </w:t>
            </w:r>
          </w:p>
          <w:p w14:paraId="716373DD" w14:textId="77777777" w:rsidR="00B438E1" w:rsidRDefault="00B438E1" w:rsidP="003E6992">
            <w:pPr>
              <w:rPr>
                <w:rFonts w:ascii="Arial" w:hAnsi="Arial"/>
                <w:szCs w:val="22"/>
              </w:rPr>
            </w:pPr>
          </w:p>
          <w:p w14:paraId="0F60DD19" w14:textId="77777777" w:rsidR="00B438E1" w:rsidRPr="00472907" w:rsidRDefault="00B438E1" w:rsidP="003E6992">
            <w:pPr>
              <w:rPr>
                <w:rFonts w:ascii="Arial" w:hAnsi="Arial"/>
                <w:szCs w:val="22"/>
              </w:rPr>
            </w:pPr>
            <w:r>
              <w:rPr>
                <w:rFonts w:ascii="Arial" w:hAnsi="Arial"/>
                <w:szCs w:val="22"/>
              </w:rPr>
              <w:t xml:space="preserve">Few of the major deliverables by TCS team are detailed in </w:t>
            </w:r>
            <w:r w:rsidRPr="0002353D">
              <w:rPr>
                <w:rFonts w:ascii="Arial" w:hAnsi="Arial"/>
                <w:b/>
                <w:bCs/>
                <w:szCs w:val="22"/>
              </w:rPr>
              <w:t xml:space="preserve">Appendix </w:t>
            </w:r>
            <w:r>
              <w:rPr>
                <w:rFonts w:ascii="Arial" w:hAnsi="Arial"/>
                <w:b/>
                <w:bCs/>
                <w:szCs w:val="22"/>
              </w:rPr>
              <w:t>Q</w:t>
            </w:r>
            <w:r w:rsidRPr="0002353D">
              <w:rPr>
                <w:rFonts w:ascii="Arial" w:hAnsi="Arial"/>
                <w:b/>
                <w:bCs/>
                <w:szCs w:val="22"/>
              </w:rPr>
              <w:t>5.3.1.1_A</w:t>
            </w:r>
          </w:p>
        </w:tc>
      </w:tr>
    </w:tbl>
    <w:p w14:paraId="435D2C2A" w14:textId="77777777" w:rsidR="00B438E1" w:rsidRDefault="00B438E1"/>
    <w:sectPr w:rsidR="00B438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19A25" w14:textId="77777777" w:rsidR="002F48AA" w:rsidRDefault="002F48AA" w:rsidP="002F48AA">
      <w:pPr>
        <w:spacing w:after="0" w:line="240" w:lineRule="auto"/>
      </w:pPr>
      <w:r>
        <w:separator/>
      </w:r>
    </w:p>
  </w:endnote>
  <w:endnote w:type="continuationSeparator" w:id="0">
    <w:p w14:paraId="0ECB8990" w14:textId="77777777" w:rsidR="002F48AA" w:rsidRDefault="002F48AA" w:rsidP="002F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ED33C" w14:textId="77777777" w:rsidR="002F48AA" w:rsidRDefault="002F48AA" w:rsidP="002F48AA">
      <w:pPr>
        <w:spacing w:after="0" w:line="240" w:lineRule="auto"/>
      </w:pPr>
      <w:r>
        <w:separator/>
      </w:r>
    </w:p>
  </w:footnote>
  <w:footnote w:type="continuationSeparator" w:id="0">
    <w:p w14:paraId="4286525A" w14:textId="77777777" w:rsidR="002F48AA" w:rsidRDefault="002F48AA" w:rsidP="002F4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5287"/>
    <w:multiLevelType w:val="multilevel"/>
    <w:tmpl w:val="94C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05178"/>
    <w:multiLevelType w:val="hybridMultilevel"/>
    <w:tmpl w:val="1BA6EEB8"/>
    <w:lvl w:ilvl="0" w:tplc="8B781A90">
      <w:start w:val="1"/>
      <w:numFmt w:val="lowerLetter"/>
      <w:lvlText w:val="%1)"/>
      <w:lvlJc w:val="left"/>
      <w:pPr>
        <w:ind w:left="1080" w:hanging="360"/>
      </w:pPr>
      <w:rPr>
        <w:b/>
        <w:bCs/>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30E16B17"/>
    <w:multiLevelType w:val="hybridMultilevel"/>
    <w:tmpl w:val="525C2C18"/>
    <w:lvl w:ilvl="0" w:tplc="F0EC1924">
      <w:numFmt w:val="bullet"/>
      <w:lvlText w:val="•"/>
      <w:lvlJc w:val="left"/>
      <w:pPr>
        <w:ind w:left="1815" w:hanging="360"/>
      </w:pPr>
      <w:rPr>
        <w:rFonts w:hint="default"/>
      </w:rPr>
    </w:lvl>
    <w:lvl w:ilvl="1" w:tplc="18090003" w:tentative="1">
      <w:start w:val="1"/>
      <w:numFmt w:val="bullet"/>
      <w:lvlText w:val="o"/>
      <w:lvlJc w:val="left"/>
      <w:pPr>
        <w:ind w:left="2535" w:hanging="360"/>
      </w:pPr>
      <w:rPr>
        <w:rFonts w:ascii="Courier New" w:hAnsi="Courier New" w:cs="Courier New" w:hint="default"/>
      </w:rPr>
    </w:lvl>
    <w:lvl w:ilvl="2" w:tplc="18090005" w:tentative="1">
      <w:start w:val="1"/>
      <w:numFmt w:val="bullet"/>
      <w:lvlText w:val=""/>
      <w:lvlJc w:val="left"/>
      <w:pPr>
        <w:ind w:left="3255" w:hanging="360"/>
      </w:pPr>
      <w:rPr>
        <w:rFonts w:ascii="Wingdings" w:hAnsi="Wingdings" w:hint="default"/>
      </w:rPr>
    </w:lvl>
    <w:lvl w:ilvl="3" w:tplc="18090001" w:tentative="1">
      <w:start w:val="1"/>
      <w:numFmt w:val="bullet"/>
      <w:lvlText w:val=""/>
      <w:lvlJc w:val="left"/>
      <w:pPr>
        <w:ind w:left="3975" w:hanging="360"/>
      </w:pPr>
      <w:rPr>
        <w:rFonts w:ascii="Symbol" w:hAnsi="Symbol" w:hint="default"/>
      </w:rPr>
    </w:lvl>
    <w:lvl w:ilvl="4" w:tplc="18090003" w:tentative="1">
      <w:start w:val="1"/>
      <w:numFmt w:val="bullet"/>
      <w:lvlText w:val="o"/>
      <w:lvlJc w:val="left"/>
      <w:pPr>
        <w:ind w:left="4695" w:hanging="360"/>
      </w:pPr>
      <w:rPr>
        <w:rFonts w:ascii="Courier New" w:hAnsi="Courier New" w:cs="Courier New" w:hint="default"/>
      </w:rPr>
    </w:lvl>
    <w:lvl w:ilvl="5" w:tplc="18090005" w:tentative="1">
      <w:start w:val="1"/>
      <w:numFmt w:val="bullet"/>
      <w:lvlText w:val=""/>
      <w:lvlJc w:val="left"/>
      <w:pPr>
        <w:ind w:left="5415" w:hanging="360"/>
      </w:pPr>
      <w:rPr>
        <w:rFonts w:ascii="Wingdings" w:hAnsi="Wingdings" w:hint="default"/>
      </w:rPr>
    </w:lvl>
    <w:lvl w:ilvl="6" w:tplc="18090001" w:tentative="1">
      <w:start w:val="1"/>
      <w:numFmt w:val="bullet"/>
      <w:lvlText w:val=""/>
      <w:lvlJc w:val="left"/>
      <w:pPr>
        <w:ind w:left="6135" w:hanging="360"/>
      </w:pPr>
      <w:rPr>
        <w:rFonts w:ascii="Symbol" w:hAnsi="Symbol" w:hint="default"/>
      </w:rPr>
    </w:lvl>
    <w:lvl w:ilvl="7" w:tplc="18090003" w:tentative="1">
      <w:start w:val="1"/>
      <w:numFmt w:val="bullet"/>
      <w:lvlText w:val="o"/>
      <w:lvlJc w:val="left"/>
      <w:pPr>
        <w:ind w:left="6855" w:hanging="360"/>
      </w:pPr>
      <w:rPr>
        <w:rFonts w:ascii="Courier New" w:hAnsi="Courier New" w:cs="Courier New" w:hint="default"/>
      </w:rPr>
    </w:lvl>
    <w:lvl w:ilvl="8" w:tplc="18090005" w:tentative="1">
      <w:start w:val="1"/>
      <w:numFmt w:val="bullet"/>
      <w:lvlText w:val=""/>
      <w:lvlJc w:val="left"/>
      <w:pPr>
        <w:ind w:left="7575" w:hanging="360"/>
      </w:pPr>
      <w:rPr>
        <w:rFonts w:ascii="Wingdings" w:hAnsi="Wingdings" w:hint="default"/>
      </w:rPr>
    </w:lvl>
  </w:abstractNum>
  <w:abstractNum w:abstractNumId="3" w15:restartNumberingAfterBreak="0">
    <w:nsid w:val="36F0642C"/>
    <w:multiLevelType w:val="hybridMultilevel"/>
    <w:tmpl w:val="55C6E11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486107E5"/>
    <w:multiLevelType w:val="hybridMultilevel"/>
    <w:tmpl w:val="0518C774"/>
    <w:lvl w:ilvl="0" w:tplc="1809000F">
      <w:start w:val="1"/>
      <w:numFmt w:val="decimal"/>
      <w:lvlText w:val="%1."/>
      <w:lvlJc w:val="left"/>
      <w:pPr>
        <w:ind w:left="360" w:hanging="360"/>
      </w:pPr>
    </w:lvl>
    <w:lvl w:ilvl="1" w:tplc="18090019" w:tentative="1">
      <w:start w:val="1"/>
      <w:numFmt w:val="lowerLetter"/>
      <w:lvlText w:val="%2."/>
      <w:lvlJc w:val="left"/>
      <w:pPr>
        <w:ind w:left="655" w:hanging="360"/>
      </w:pPr>
    </w:lvl>
    <w:lvl w:ilvl="2" w:tplc="1809001B" w:tentative="1">
      <w:start w:val="1"/>
      <w:numFmt w:val="lowerRoman"/>
      <w:lvlText w:val="%3."/>
      <w:lvlJc w:val="right"/>
      <w:pPr>
        <w:ind w:left="1375" w:hanging="180"/>
      </w:pPr>
    </w:lvl>
    <w:lvl w:ilvl="3" w:tplc="1809000F" w:tentative="1">
      <w:start w:val="1"/>
      <w:numFmt w:val="decimal"/>
      <w:lvlText w:val="%4."/>
      <w:lvlJc w:val="left"/>
      <w:pPr>
        <w:ind w:left="2095" w:hanging="360"/>
      </w:pPr>
    </w:lvl>
    <w:lvl w:ilvl="4" w:tplc="18090019" w:tentative="1">
      <w:start w:val="1"/>
      <w:numFmt w:val="lowerLetter"/>
      <w:lvlText w:val="%5."/>
      <w:lvlJc w:val="left"/>
      <w:pPr>
        <w:ind w:left="2815" w:hanging="360"/>
      </w:pPr>
    </w:lvl>
    <w:lvl w:ilvl="5" w:tplc="1809001B" w:tentative="1">
      <w:start w:val="1"/>
      <w:numFmt w:val="lowerRoman"/>
      <w:lvlText w:val="%6."/>
      <w:lvlJc w:val="right"/>
      <w:pPr>
        <w:ind w:left="3535" w:hanging="180"/>
      </w:pPr>
    </w:lvl>
    <w:lvl w:ilvl="6" w:tplc="1809000F" w:tentative="1">
      <w:start w:val="1"/>
      <w:numFmt w:val="decimal"/>
      <w:lvlText w:val="%7."/>
      <w:lvlJc w:val="left"/>
      <w:pPr>
        <w:ind w:left="4255" w:hanging="360"/>
      </w:pPr>
    </w:lvl>
    <w:lvl w:ilvl="7" w:tplc="18090019" w:tentative="1">
      <w:start w:val="1"/>
      <w:numFmt w:val="lowerLetter"/>
      <w:lvlText w:val="%8."/>
      <w:lvlJc w:val="left"/>
      <w:pPr>
        <w:ind w:left="4975" w:hanging="360"/>
      </w:pPr>
    </w:lvl>
    <w:lvl w:ilvl="8" w:tplc="1809001B" w:tentative="1">
      <w:start w:val="1"/>
      <w:numFmt w:val="lowerRoman"/>
      <w:lvlText w:val="%9."/>
      <w:lvlJc w:val="right"/>
      <w:pPr>
        <w:ind w:left="5695" w:hanging="180"/>
      </w:pPr>
    </w:lvl>
  </w:abstractNum>
  <w:abstractNum w:abstractNumId="5" w15:restartNumberingAfterBreak="0">
    <w:nsid w:val="4FD30954"/>
    <w:multiLevelType w:val="hybridMultilevel"/>
    <w:tmpl w:val="1BA4E3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40D440E"/>
    <w:multiLevelType w:val="hybridMultilevel"/>
    <w:tmpl w:val="13422EAA"/>
    <w:lvl w:ilvl="0" w:tplc="1EEEEBC0">
      <w:start w:val="1"/>
      <w:numFmt w:val="bullet"/>
      <w:lvlText w:val=""/>
      <w:lvlJc w:val="left"/>
      <w:pPr>
        <w:ind w:left="360" w:hanging="360"/>
      </w:pPr>
      <w:rPr>
        <w:rFonts w:ascii="Wingdings" w:hAnsi="Wingding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5DE8569A"/>
    <w:multiLevelType w:val="hybridMultilevel"/>
    <w:tmpl w:val="D682DF1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63F86F95"/>
    <w:multiLevelType w:val="hybridMultilevel"/>
    <w:tmpl w:val="0816B1E4"/>
    <w:lvl w:ilvl="0" w:tplc="18090001">
      <w:start w:val="1"/>
      <w:numFmt w:val="bullet"/>
      <w:lvlText w:val=""/>
      <w:lvlJc w:val="left"/>
      <w:pPr>
        <w:ind w:left="1440" w:hanging="360"/>
      </w:pPr>
      <w:rPr>
        <w:rFonts w:ascii="Symbol" w:hAnsi="Symbol" w:hint="default"/>
      </w:rPr>
    </w:lvl>
    <w:lvl w:ilvl="1" w:tplc="1F3C83B6">
      <w:numFmt w:val="bullet"/>
      <w:lvlText w:val="-"/>
      <w:lvlJc w:val="left"/>
      <w:pPr>
        <w:ind w:left="2160" w:hanging="360"/>
      </w:pPr>
      <w:rPr>
        <w:rFonts w:ascii="Arial" w:eastAsia="Batang" w:hAnsi="Arial" w:cs="Arial"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68E31806"/>
    <w:multiLevelType w:val="hybridMultilevel"/>
    <w:tmpl w:val="BA886950"/>
    <w:lvl w:ilvl="0" w:tplc="F0EC1924">
      <w:numFmt w:val="bullet"/>
      <w:lvlText w:val="•"/>
      <w:lvlJc w:val="left"/>
      <w:pPr>
        <w:ind w:left="780" w:hanging="360"/>
      </w:pPr>
      <w:rPr>
        <w:rFonts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0" w15:restartNumberingAfterBreak="0">
    <w:nsid w:val="7B1A689C"/>
    <w:multiLevelType w:val="hybridMultilevel"/>
    <w:tmpl w:val="30547DE8"/>
    <w:lvl w:ilvl="0" w:tplc="763676B2">
      <w:start w:val="2"/>
      <w:numFmt w:val="bullet"/>
      <w:lvlText w:val="-"/>
      <w:lvlJc w:val="left"/>
      <w:pPr>
        <w:ind w:left="1800" w:hanging="360"/>
      </w:pPr>
      <w:rPr>
        <w:rFonts w:ascii="Arial" w:eastAsia="Batang" w:hAnsi="Arial" w:cs="Aria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8"/>
  </w:num>
  <w:num w:numId="2">
    <w:abstractNumId w:val="10"/>
  </w:num>
  <w:num w:numId="3">
    <w:abstractNumId w:val="9"/>
  </w:num>
  <w:num w:numId="4">
    <w:abstractNumId w:val="2"/>
  </w:num>
  <w:num w:numId="5">
    <w:abstractNumId w:val="5"/>
  </w:num>
  <w:num w:numId="6">
    <w:abstractNumId w:val="1"/>
  </w:num>
  <w:num w:numId="7">
    <w:abstractNumId w:val="3"/>
  </w:num>
  <w:num w:numId="8">
    <w:abstractNumId w:val="4"/>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AA"/>
    <w:rsid w:val="00074D25"/>
    <w:rsid w:val="00244104"/>
    <w:rsid w:val="00270FA3"/>
    <w:rsid w:val="002F48AA"/>
    <w:rsid w:val="003864A4"/>
    <w:rsid w:val="003C08BC"/>
    <w:rsid w:val="00517982"/>
    <w:rsid w:val="007F1EF3"/>
    <w:rsid w:val="008376BA"/>
    <w:rsid w:val="00A74122"/>
    <w:rsid w:val="00B438E1"/>
    <w:rsid w:val="00C74111"/>
    <w:rsid w:val="00E2448F"/>
    <w:rsid w:val="00EC7AF0"/>
    <w:rsid w:val="00F713E9"/>
    <w:rsid w:val="00F71EC1"/>
    <w:rsid w:val="00FF5D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85D7A"/>
  <w15:chartTrackingRefBased/>
  <w15:docId w15:val="{B1BA6105-99BD-41A7-8A58-D9D45C0A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8AA"/>
    <w:pPr>
      <w:spacing w:after="120"/>
      <w:jc w:val="both"/>
    </w:pPr>
    <w:rPr>
      <w:rFonts w:eastAsia="Calibri" w:cs="Arial"/>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GCP-Table Grid,new tab,TCS Table,Header Table Grid,Table Grid 1rgreg,SAP New Branding Table Style,Equifax table,Header Table,Infosys Table Style,Actors,CV table,EY Table,none,Smart Text Table,Table Rows,Template Table Grid,Bordure,Bordure1"/>
    <w:basedOn w:val="TableNormal"/>
    <w:uiPriority w:val="59"/>
    <w:rsid w:val="00B438E1"/>
    <w:pPr>
      <w:spacing w:after="0" w:line="240" w:lineRule="auto"/>
    </w:pPr>
    <w:rPr>
      <w:rFonts w:ascii="Times New Roman" w:eastAsia="MS Mincho" w:hAnsi="Times New Roman"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 Paragraph,Ref,Bulleted List1,Use Case List Paragraph,List Paragraph1,EG Bullet 1,Bullet List,FooterText,numbered,Paragraphe de liste,List Paragraph11,lp1,List Paragraph111,List Paragraph3,b1,Bullet for no #'s,Body Bullet,B1,b"/>
    <w:basedOn w:val="Normal"/>
    <w:link w:val="ListParagraphChar"/>
    <w:uiPriority w:val="34"/>
    <w:qFormat/>
    <w:rsid w:val="00B438E1"/>
    <w:pPr>
      <w:ind w:left="720"/>
      <w:contextualSpacing/>
    </w:pPr>
  </w:style>
  <w:style w:type="character" w:customStyle="1" w:styleId="ListParagraphChar">
    <w:name w:val="List Paragraph Char"/>
    <w:aliases w:val="Bullet List Paragraph Char,Ref Char,Bulleted List1 Char,Use Case List Paragraph Char,List Paragraph1 Char,EG Bullet 1 Char,Bullet List Char,FooterText Char,numbered Char,Paragraphe de liste Char,List Paragraph11 Char,lp1 Char,b1 Char"/>
    <w:basedOn w:val="DefaultParagraphFont"/>
    <w:link w:val="ListParagraph"/>
    <w:qFormat/>
    <w:locked/>
    <w:rsid w:val="00B438E1"/>
    <w:rPr>
      <w:rFonts w:eastAsia="Calibri" w:cs="Arial"/>
      <w:szCs w:val="18"/>
      <w:lang w:val="en-US"/>
    </w:rPr>
  </w:style>
  <w:style w:type="paragraph" w:styleId="IntenseQuote">
    <w:name w:val="Intense Quote"/>
    <w:basedOn w:val="Normal"/>
    <w:next w:val="Normal"/>
    <w:link w:val="IntenseQuoteChar"/>
    <w:uiPriority w:val="30"/>
    <w:qFormat/>
    <w:rsid w:val="00B438E1"/>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4"/>
      <w:lang w:val="en-GB" w:eastAsia="en-GB"/>
    </w:rPr>
  </w:style>
  <w:style w:type="character" w:customStyle="1" w:styleId="IntenseQuoteChar">
    <w:name w:val="Intense Quote Char"/>
    <w:basedOn w:val="DefaultParagraphFont"/>
    <w:link w:val="IntenseQuote"/>
    <w:uiPriority w:val="30"/>
    <w:rsid w:val="00B438E1"/>
    <w:rPr>
      <w:rFonts w:ascii="Arial" w:eastAsia="Times New Roman" w:hAnsi="Arial" w:cs="Times New Roman"/>
      <w:i/>
      <w:iCs/>
      <w:color w:val="4472C4" w:themeColor="accent1"/>
      <w:szCs w:val="24"/>
      <w:lang w:val="en-GB" w:eastAsia="en-GB"/>
    </w:rPr>
  </w:style>
  <w:style w:type="paragraph" w:customStyle="1" w:styleId="gd">
    <w:name w:val="gd"/>
    <w:basedOn w:val="Normal"/>
    <w:rsid w:val="00244104"/>
    <w:pPr>
      <w:spacing w:before="100" w:beforeAutospacing="1" w:after="100" w:afterAutospacing="1" w:line="240" w:lineRule="auto"/>
      <w:jc w:val="left"/>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973380">
      <w:bodyDiv w:val="1"/>
      <w:marLeft w:val="0"/>
      <w:marRight w:val="0"/>
      <w:marTop w:val="0"/>
      <w:marBottom w:val="0"/>
      <w:divBdr>
        <w:top w:val="none" w:sz="0" w:space="0" w:color="auto"/>
        <w:left w:val="none" w:sz="0" w:space="0" w:color="auto"/>
        <w:bottom w:val="none" w:sz="0" w:space="0" w:color="auto"/>
        <w:right w:val="none" w:sz="0" w:space="0" w:color="auto"/>
      </w:divBdr>
    </w:div>
    <w:div w:id="1180662899">
      <w:bodyDiv w:val="1"/>
      <w:marLeft w:val="0"/>
      <w:marRight w:val="0"/>
      <w:marTop w:val="0"/>
      <w:marBottom w:val="0"/>
      <w:divBdr>
        <w:top w:val="none" w:sz="0" w:space="0" w:color="auto"/>
        <w:left w:val="none" w:sz="0" w:space="0" w:color="auto"/>
        <w:bottom w:val="none" w:sz="0" w:space="0" w:color="auto"/>
        <w:right w:val="none" w:sz="0" w:space="0" w:color="auto"/>
      </w:divBdr>
    </w:div>
    <w:div w:id="194295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Ratnadip (Contractor - Tata Consultancy Services Ltd)</dc:creator>
  <cp:keywords/>
  <dc:description/>
  <cp:lastModifiedBy>Gatti. Sumanth (Contractor - Tata Consultancy Services Ltd)</cp:lastModifiedBy>
  <cp:revision>8</cp:revision>
  <dcterms:created xsi:type="dcterms:W3CDTF">2020-10-12T04:23:00Z</dcterms:created>
  <dcterms:modified xsi:type="dcterms:W3CDTF">2020-10-13T05:35:00Z</dcterms:modified>
</cp:coreProperties>
</file>