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1EE" w:rsidRDefault="005031EE" w:rsidP="005031EE">
      <w:pPr>
        <w:rPr>
          <w:rFonts w:ascii="Times New Roman" w:hAnsi="Times New Roman" w:cs="Times New Roman"/>
          <w:sz w:val="24"/>
          <w:szCs w:val="24"/>
        </w:rPr>
      </w:pPr>
      <w:r>
        <w:rPr>
          <w:rFonts w:ascii="Times New Roman" w:hAnsi="Times New Roman" w:cs="Times New Roman"/>
          <w:sz w:val="24"/>
          <w:szCs w:val="24"/>
        </w:rPr>
        <w:t>Sumi Choudhury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HW #5</w:t>
      </w:r>
    </w:p>
    <w:p w:rsidR="005031EE" w:rsidRDefault="005031EE" w:rsidP="005031EE">
      <w:pPr>
        <w:rPr>
          <w:rFonts w:ascii="Times New Roman" w:hAnsi="Times New Roman" w:cs="Times New Roman"/>
          <w:sz w:val="24"/>
          <w:szCs w:val="24"/>
        </w:rPr>
      </w:pPr>
      <w:r>
        <w:rPr>
          <w:rFonts w:ascii="Times New Roman" w:hAnsi="Times New Roman" w:cs="Times New Roman"/>
          <w:sz w:val="24"/>
          <w:szCs w:val="24"/>
        </w:rPr>
        <w:t>SDGB 7844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December 7, 2016</w:t>
      </w:r>
    </w:p>
    <w:p w:rsidR="00ED4174" w:rsidRDefault="00ED4174"/>
    <w:p w:rsidR="00BC4B8E" w:rsidRPr="00704410" w:rsidRDefault="00BC4B8E" w:rsidP="00BC4B8E">
      <w:pPr>
        <w:rPr>
          <w:rFonts w:ascii="Times New Roman" w:hAnsi="Times New Roman" w:cs="Times New Roman"/>
          <w:sz w:val="24"/>
          <w:szCs w:val="24"/>
          <w:u w:val="single"/>
        </w:rPr>
      </w:pPr>
      <w:r>
        <w:rPr>
          <w:rFonts w:ascii="Times New Roman" w:hAnsi="Times New Roman" w:cs="Times New Roman"/>
          <w:sz w:val="24"/>
          <w:szCs w:val="24"/>
          <w:u w:val="single"/>
        </w:rPr>
        <w:t>Solutions HW 5</w:t>
      </w:r>
    </w:p>
    <w:p w:rsidR="00BC4B8E" w:rsidRDefault="00BC4B8E" w:rsidP="00BC4B8E">
      <w:pPr>
        <w:rPr>
          <w:rFonts w:ascii="Times New Roman" w:hAnsi="Times New Roman" w:cs="Times New Roman"/>
          <w:sz w:val="24"/>
          <w:szCs w:val="24"/>
        </w:rPr>
      </w:pPr>
      <w:r w:rsidRPr="00BC4B8E">
        <w:rPr>
          <w:rFonts w:ascii="Times New Roman" w:hAnsi="Times New Roman" w:cs="Times New Roman"/>
          <w:sz w:val="24"/>
          <w:szCs w:val="24"/>
        </w:rPr>
        <w:t xml:space="preserve">1) </w:t>
      </w:r>
      <w:r>
        <w:rPr>
          <w:rFonts w:ascii="Times New Roman" w:hAnsi="Times New Roman" w:cs="Times New Roman"/>
          <w:sz w:val="24"/>
          <w:szCs w:val="24"/>
        </w:rPr>
        <w:t>For the reduced data set, we have:</w:t>
      </w:r>
    </w:p>
    <w:p w:rsidR="00BC4B8E" w:rsidRDefault="00BC4B8E" w:rsidP="00BC4B8E">
      <w:pPr>
        <w:rPr>
          <w:rFonts w:ascii="Times New Roman" w:hAnsi="Times New Roman" w:cs="Times New Roman"/>
          <w:sz w:val="24"/>
          <w:szCs w:val="24"/>
        </w:rPr>
      </w:pPr>
      <w:r>
        <w:rPr>
          <w:rFonts w:ascii="Times New Roman" w:hAnsi="Times New Roman" w:cs="Times New Roman"/>
          <w:sz w:val="24"/>
          <w:szCs w:val="24"/>
        </w:rPr>
        <w:t>Start date: 2003-01-08</w:t>
      </w:r>
    </w:p>
    <w:p w:rsidR="00BC4B8E" w:rsidRPr="00BC4B8E" w:rsidRDefault="00BC4B8E">
      <w:pPr>
        <w:rPr>
          <w:rFonts w:ascii="Times New Roman" w:hAnsi="Times New Roman" w:cs="Times New Roman"/>
          <w:sz w:val="24"/>
          <w:szCs w:val="24"/>
        </w:rPr>
      </w:pPr>
      <w:r>
        <w:rPr>
          <w:rFonts w:ascii="Times New Roman" w:hAnsi="Times New Roman" w:cs="Times New Roman"/>
          <w:sz w:val="24"/>
          <w:szCs w:val="24"/>
        </w:rPr>
        <w:t>End date: 2014-10-29</w:t>
      </w:r>
    </w:p>
    <w:p w:rsidR="00BC4B8E" w:rsidRDefault="00113F8F">
      <w:r>
        <w:rPr>
          <w:noProof/>
        </w:rPr>
        <w:drawing>
          <wp:inline distT="0" distB="0" distL="0" distR="0" wp14:anchorId="4FF75DCA" wp14:editId="5FD5E9B8">
            <wp:extent cx="5588000" cy="3259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93758" cy="3263026"/>
                    </a:xfrm>
                    <a:prstGeom prst="rect">
                      <a:avLst/>
                    </a:prstGeom>
                  </pic:spPr>
                </pic:pic>
              </a:graphicData>
            </a:graphic>
          </wp:inline>
        </w:drawing>
      </w:r>
    </w:p>
    <w:p w:rsidR="001A64B2" w:rsidRDefault="00ED5EA4" w:rsidP="001A64B2">
      <w:pPr>
        <w:rPr>
          <w:rFonts w:ascii="Times New Roman" w:hAnsi="Times New Roman" w:cs="Times New Roman"/>
          <w:sz w:val="24"/>
          <w:szCs w:val="24"/>
        </w:rPr>
      </w:pPr>
      <w:r>
        <w:rPr>
          <w:rFonts w:ascii="Times New Roman" w:hAnsi="Times New Roman" w:cs="Times New Roman"/>
          <w:sz w:val="24"/>
          <w:szCs w:val="24"/>
        </w:rPr>
        <w:t xml:space="preserve">Between 2004 and 2006, </w:t>
      </w:r>
      <w:r w:rsidR="00113F8F">
        <w:rPr>
          <w:rFonts w:ascii="Times New Roman" w:hAnsi="Times New Roman" w:cs="Times New Roman"/>
          <w:sz w:val="24"/>
          <w:szCs w:val="24"/>
        </w:rPr>
        <w:t xml:space="preserve">the </w:t>
      </w:r>
      <w:r>
        <w:rPr>
          <w:rFonts w:ascii="Times New Roman" w:hAnsi="Times New Roman" w:cs="Times New Roman"/>
          <w:sz w:val="24"/>
          <w:szCs w:val="24"/>
        </w:rPr>
        <w:t>Fed increased the risk free rate rapidly because they were uncomfortable about the growing inflation rate. Inflation did not seem to respond to the rising interest rates. However, between 2007 and 2008 during the global financial crisis, the Fed had to quickly respond by rapidly lowering interest rates, thus there is a sharp drop in the Fed Rate for that period. The Fed dropped interest rates in an effort to spur economic activity and growth, so that with lowered interest rates, consumers would borrow more, spend more and increase the money supply in the economy.</w:t>
      </w:r>
    </w:p>
    <w:p w:rsidR="00151EBD" w:rsidRDefault="00151EBD" w:rsidP="001A64B2">
      <w:pPr>
        <w:rPr>
          <w:rFonts w:ascii="Times New Roman" w:hAnsi="Times New Roman" w:cs="Times New Roman"/>
          <w:sz w:val="24"/>
          <w:szCs w:val="24"/>
        </w:rPr>
      </w:pPr>
    </w:p>
    <w:p w:rsidR="001A64B2" w:rsidRDefault="00107BB9" w:rsidP="001A64B2">
      <w:pPr>
        <w:contextualSpacing/>
        <w:rPr>
          <w:rFonts w:ascii="Times New Roman" w:hAnsi="Times New Roman" w:cs="Times New Roman"/>
          <w:sz w:val="24"/>
          <w:szCs w:val="24"/>
        </w:rPr>
      </w:pPr>
      <w:r>
        <w:rPr>
          <w:rFonts w:ascii="Times New Roman" w:hAnsi="Times New Roman" w:cs="Times New Roman"/>
          <w:sz w:val="24"/>
          <w:szCs w:val="24"/>
        </w:rPr>
        <w:t>2)</w:t>
      </w:r>
      <w:r w:rsidR="00717EBD">
        <w:rPr>
          <w:rFonts w:ascii="Times New Roman" w:hAnsi="Times New Roman" w:cs="Times New Roman"/>
          <w:sz w:val="24"/>
          <w:szCs w:val="24"/>
        </w:rPr>
        <w:t xml:space="preserve"> </w:t>
      </w:r>
      <w:r w:rsidR="001A64B2">
        <w:rPr>
          <w:rFonts w:ascii="Times New Roman" w:hAnsi="Times New Roman" w:cs="Times New Roman"/>
          <w:sz w:val="24"/>
          <w:szCs w:val="24"/>
        </w:rPr>
        <w:t>Number of observations in training set: 570</w:t>
      </w:r>
    </w:p>
    <w:p w:rsidR="001A64B2" w:rsidRDefault="001A64B2" w:rsidP="001A64B2">
      <w:pPr>
        <w:contextualSpacing/>
        <w:rPr>
          <w:rFonts w:ascii="Times New Roman" w:hAnsi="Times New Roman" w:cs="Times New Roman"/>
          <w:sz w:val="24"/>
          <w:szCs w:val="24"/>
        </w:rPr>
      </w:pPr>
      <w:r>
        <w:rPr>
          <w:rFonts w:ascii="Times New Roman" w:hAnsi="Times New Roman" w:cs="Times New Roman"/>
          <w:sz w:val="24"/>
          <w:szCs w:val="24"/>
        </w:rPr>
        <w:t xml:space="preserve">    Number of observations in test set: 43</w:t>
      </w:r>
    </w:p>
    <w:p w:rsidR="001A64B2" w:rsidRDefault="001A64B2" w:rsidP="001A64B2">
      <w:pPr>
        <w:contextualSpacing/>
        <w:rPr>
          <w:rFonts w:ascii="Times New Roman" w:hAnsi="Times New Roman" w:cs="Times New Roman"/>
          <w:sz w:val="24"/>
          <w:szCs w:val="24"/>
        </w:rPr>
      </w:pPr>
    </w:p>
    <w:p w:rsidR="001A64B2" w:rsidRDefault="001A64B2" w:rsidP="001A64B2">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151EBD">
        <w:rPr>
          <w:rFonts w:ascii="Times New Roman" w:hAnsi="Times New Roman" w:cs="Times New Roman"/>
          <w:sz w:val="24"/>
          <w:szCs w:val="24"/>
        </w:rPr>
        <w:t>S&amp;P Returns:</w:t>
      </w:r>
    </w:p>
    <w:p w:rsidR="00151EBD" w:rsidRDefault="00151EBD" w:rsidP="001A64B2">
      <w:pPr>
        <w:contextualSpacing/>
        <w:rPr>
          <w:rFonts w:ascii="Times New Roman" w:hAnsi="Times New Roman" w:cs="Times New Roman"/>
          <w:sz w:val="24"/>
          <w:szCs w:val="24"/>
        </w:rPr>
      </w:pPr>
    </w:p>
    <w:p w:rsidR="00151EBD" w:rsidRDefault="00151EBD" w:rsidP="001A64B2">
      <w:pPr>
        <w:contextualSpacing/>
        <w:rPr>
          <w:rFonts w:ascii="Times New Roman" w:hAnsi="Times New Roman" w:cs="Times New Roman"/>
          <w:sz w:val="24"/>
          <w:szCs w:val="24"/>
        </w:rPr>
      </w:pPr>
      <w:r>
        <w:rPr>
          <w:noProof/>
        </w:rPr>
        <w:drawing>
          <wp:inline distT="0" distB="0" distL="0" distR="0" wp14:anchorId="6B036406" wp14:editId="7C2131D6">
            <wp:extent cx="5397500" cy="31485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4114" cy="3152400"/>
                    </a:xfrm>
                    <a:prstGeom prst="rect">
                      <a:avLst/>
                    </a:prstGeom>
                  </pic:spPr>
                </pic:pic>
              </a:graphicData>
            </a:graphic>
          </wp:inline>
        </w:drawing>
      </w:r>
    </w:p>
    <w:p w:rsidR="001A64B2" w:rsidRDefault="00151EBD" w:rsidP="001A64B2">
      <w:pPr>
        <w:contextualSpacing/>
        <w:rPr>
          <w:rFonts w:ascii="Times New Roman" w:hAnsi="Times New Roman" w:cs="Times New Roman"/>
          <w:sz w:val="24"/>
          <w:szCs w:val="24"/>
        </w:rPr>
      </w:pPr>
      <w:r>
        <w:rPr>
          <w:rFonts w:ascii="Times New Roman" w:hAnsi="Times New Roman" w:cs="Times New Roman"/>
          <w:sz w:val="24"/>
          <w:szCs w:val="24"/>
        </w:rPr>
        <w:t>TLT Returns:</w:t>
      </w:r>
    </w:p>
    <w:p w:rsidR="00151EBD" w:rsidRDefault="00151EBD" w:rsidP="001A64B2">
      <w:pPr>
        <w:contextualSpacing/>
        <w:rPr>
          <w:rFonts w:ascii="Times New Roman" w:hAnsi="Times New Roman" w:cs="Times New Roman"/>
          <w:sz w:val="24"/>
          <w:szCs w:val="24"/>
        </w:rPr>
      </w:pPr>
      <w:r>
        <w:rPr>
          <w:noProof/>
        </w:rPr>
        <w:drawing>
          <wp:inline distT="0" distB="0" distL="0" distR="0" wp14:anchorId="0BFE55F9" wp14:editId="3734E47C">
            <wp:extent cx="5454650" cy="31818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58272" cy="3183994"/>
                    </a:xfrm>
                    <a:prstGeom prst="rect">
                      <a:avLst/>
                    </a:prstGeom>
                  </pic:spPr>
                </pic:pic>
              </a:graphicData>
            </a:graphic>
          </wp:inline>
        </w:drawing>
      </w:r>
    </w:p>
    <w:p w:rsidR="00151EBD" w:rsidRDefault="00151EBD" w:rsidP="001A64B2">
      <w:pPr>
        <w:contextualSpacing/>
        <w:rPr>
          <w:rFonts w:ascii="Times New Roman" w:hAnsi="Times New Roman" w:cs="Times New Roman"/>
          <w:sz w:val="24"/>
          <w:szCs w:val="24"/>
        </w:rPr>
      </w:pPr>
      <w:r>
        <w:rPr>
          <w:rFonts w:ascii="Times New Roman" w:hAnsi="Times New Roman" w:cs="Times New Roman"/>
          <w:sz w:val="24"/>
          <w:szCs w:val="24"/>
        </w:rPr>
        <w:t>The returns for S&amp;P 500 have a greater variation than the returns for Long-Term Treasury Bonds. Both have negative as well as positive returns. Both appear to have higher volatility during the financial crisis period.</w:t>
      </w:r>
    </w:p>
    <w:p w:rsidR="005357F8" w:rsidRDefault="005357F8" w:rsidP="001A64B2">
      <w:pPr>
        <w:contextualSpacing/>
        <w:rPr>
          <w:rFonts w:ascii="Times New Roman" w:hAnsi="Times New Roman" w:cs="Times New Roman"/>
          <w:sz w:val="24"/>
          <w:szCs w:val="24"/>
        </w:rPr>
      </w:pPr>
    </w:p>
    <w:p w:rsidR="005357F8" w:rsidRDefault="005357F8" w:rsidP="001A64B2">
      <w:pPr>
        <w:contextualSpacing/>
        <w:rPr>
          <w:rFonts w:ascii="Times New Roman" w:hAnsi="Times New Roman" w:cs="Times New Roman"/>
          <w:sz w:val="24"/>
          <w:szCs w:val="24"/>
        </w:rPr>
      </w:pPr>
    </w:p>
    <w:p w:rsidR="00BC14A7" w:rsidRDefault="00BC14A7" w:rsidP="001A64B2">
      <w:pPr>
        <w:contextualSpacing/>
        <w:rPr>
          <w:rFonts w:ascii="Times New Roman" w:hAnsi="Times New Roman" w:cs="Times New Roman"/>
          <w:sz w:val="24"/>
          <w:szCs w:val="24"/>
        </w:rPr>
      </w:pPr>
    </w:p>
    <w:p w:rsidR="005357F8" w:rsidRDefault="00BC14A7" w:rsidP="001A64B2">
      <w:pPr>
        <w:contextualSpacing/>
        <w:rPr>
          <w:rFonts w:ascii="Times New Roman" w:hAnsi="Times New Roman" w:cs="Times New Roman"/>
          <w:sz w:val="24"/>
          <w:szCs w:val="24"/>
        </w:rPr>
      </w:pPr>
      <w:r>
        <w:rPr>
          <w:rFonts w:ascii="Times New Roman" w:hAnsi="Times New Roman" w:cs="Times New Roman"/>
          <w:sz w:val="24"/>
          <w:szCs w:val="24"/>
        </w:rPr>
        <w:lastRenderedPageBreak/>
        <w:t>4)</w:t>
      </w:r>
    </w:p>
    <w:p w:rsidR="005357F8" w:rsidRDefault="005357F8" w:rsidP="001A64B2">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BC14A7">
        <w:rPr>
          <w:noProof/>
        </w:rPr>
        <w:drawing>
          <wp:inline distT="0" distB="0" distL="0" distR="0" wp14:anchorId="13B293F8" wp14:editId="44E35401">
            <wp:extent cx="5187950" cy="302630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87950" cy="3026304"/>
                    </a:xfrm>
                    <a:prstGeom prst="rect">
                      <a:avLst/>
                    </a:prstGeom>
                  </pic:spPr>
                </pic:pic>
              </a:graphicData>
            </a:graphic>
          </wp:inline>
        </w:drawing>
      </w:r>
    </w:p>
    <w:p w:rsidR="00BC14A7" w:rsidRDefault="00BC14A7" w:rsidP="001A64B2">
      <w:pPr>
        <w:contextualSpacing/>
        <w:rPr>
          <w:rFonts w:ascii="Times New Roman" w:hAnsi="Times New Roman" w:cs="Times New Roman"/>
          <w:sz w:val="24"/>
          <w:szCs w:val="24"/>
        </w:rPr>
      </w:pPr>
      <w:r>
        <w:rPr>
          <w:noProof/>
        </w:rPr>
        <w:drawing>
          <wp:inline distT="0" distB="0" distL="0" distR="0" wp14:anchorId="28C58034" wp14:editId="3BD40689">
            <wp:extent cx="5246914" cy="3060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46914" cy="3060700"/>
                    </a:xfrm>
                    <a:prstGeom prst="rect">
                      <a:avLst/>
                    </a:prstGeom>
                  </pic:spPr>
                </pic:pic>
              </a:graphicData>
            </a:graphic>
          </wp:inline>
        </w:drawing>
      </w:r>
    </w:p>
    <w:p w:rsidR="00BC14A7" w:rsidRDefault="00BC14A7" w:rsidP="001A64B2">
      <w:pPr>
        <w:contextualSpacing/>
        <w:rPr>
          <w:rFonts w:ascii="Times New Roman" w:hAnsi="Times New Roman" w:cs="Times New Roman"/>
          <w:sz w:val="24"/>
          <w:szCs w:val="24"/>
        </w:rPr>
      </w:pPr>
      <w:r>
        <w:rPr>
          <w:rFonts w:ascii="Times New Roman" w:hAnsi="Times New Roman" w:cs="Times New Roman"/>
          <w:sz w:val="24"/>
          <w:szCs w:val="24"/>
        </w:rPr>
        <w:t>The assumption of normality does not seem to be satisfied. In the distribution of SPY, we can see that the distribution is not normal.</w:t>
      </w:r>
      <w:r w:rsidR="00A0037F">
        <w:rPr>
          <w:rFonts w:ascii="Times New Roman" w:hAnsi="Times New Roman" w:cs="Times New Roman"/>
          <w:sz w:val="24"/>
          <w:szCs w:val="24"/>
        </w:rPr>
        <w:t xml:space="preserve"> This is evident in the s-</w:t>
      </w:r>
      <w:r>
        <w:rPr>
          <w:rFonts w:ascii="Times New Roman" w:hAnsi="Times New Roman" w:cs="Times New Roman"/>
          <w:sz w:val="24"/>
          <w:szCs w:val="24"/>
        </w:rPr>
        <w:t>shape</w:t>
      </w:r>
      <w:r w:rsidR="00A0037F">
        <w:rPr>
          <w:rFonts w:ascii="Times New Roman" w:hAnsi="Times New Roman" w:cs="Times New Roman"/>
          <w:sz w:val="24"/>
          <w:szCs w:val="24"/>
        </w:rPr>
        <w:t>d curve</w:t>
      </w:r>
      <w:r>
        <w:rPr>
          <w:rFonts w:ascii="Times New Roman" w:hAnsi="Times New Roman" w:cs="Times New Roman"/>
          <w:sz w:val="24"/>
          <w:szCs w:val="24"/>
        </w:rPr>
        <w:t xml:space="preserve"> of the plot. In the distribution of TLT, we can see that the distribution is not normal due to the tail ends of the plot, which indicate that the distribution likely has heavy tails. For data sets with a large number of observations, if we were to conduct a test for normality, we may </w:t>
      </w:r>
      <w:r w:rsidR="009A27CC">
        <w:rPr>
          <w:rFonts w:ascii="Times New Roman" w:hAnsi="Times New Roman" w:cs="Times New Roman"/>
          <w:sz w:val="24"/>
          <w:szCs w:val="24"/>
        </w:rPr>
        <w:t xml:space="preserve">even sometimes </w:t>
      </w:r>
      <w:r>
        <w:rPr>
          <w:rFonts w:ascii="Times New Roman" w:hAnsi="Times New Roman" w:cs="Times New Roman"/>
          <w:sz w:val="24"/>
          <w:szCs w:val="24"/>
        </w:rPr>
        <w:t xml:space="preserve">fail to reject the null hypothesis that the distribution is not normal. However, this type of analysis while statistically </w:t>
      </w:r>
      <w:r w:rsidR="00A0037F">
        <w:rPr>
          <w:rFonts w:ascii="Times New Roman" w:hAnsi="Times New Roman" w:cs="Times New Roman"/>
          <w:sz w:val="24"/>
          <w:szCs w:val="24"/>
        </w:rPr>
        <w:t>significant</w:t>
      </w:r>
      <w:r>
        <w:rPr>
          <w:rFonts w:ascii="Times New Roman" w:hAnsi="Times New Roman" w:cs="Times New Roman"/>
          <w:sz w:val="24"/>
          <w:szCs w:val="24"/>
        </w:rPr>
        <w:t xml:space="preserve"> may not be practically significant.</w:t>
      </w:r>
      <w:r w:rsidR="009A27CC">
        <w:rPr>
          <w:rFonts w:ascii="Times New Roman" w:hAnsi="Times New Roman" w:cs="Times New Roman"/>
          <w:sz w:val="24"/>
          <w:szCs w:val="24"/>
        </w:rPr>
        <w:t xml:space="preserve"> For large samples, the sampling distribution tends to be normal so we may ignore the distribution of the data. Yet we note that, with financial data this assumption can be violated even with a large sample size.</w:t>
      </w:r>
    </w:p>
    <w:p w:rsidR="00E82403" w:rsidRDefault="0039329C" w:rsidP="001A64B2">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E82403">
        <w:rPr>
          <w:rFonts w:ascii="Times New Roman" w:hAnsi="Times New Roman" w:cs="Times New Roman"/>
          <w:sz w:val="24"/>
          <w:szCs w:val="24"/>
        </w:rPr>
        <w:t xml:space="preserve">The correlation value between S&amp;P returns and Long-Term Treasury Bond returns is </w:t>
      </w:r>
    </w:p>
    <w:p w:rsidR="0039329C" w:rsidRDefault="00E82403" w:rsidP="001A64B2">
      <w:pPr>
        <w:contextualSpacing/>
        <w:rPr>
          <w:rFonts w:ascii="Times New Roman" w:hAnsi="Times New Roman" w:cs="Times New Roman"/>
          <w:sz w:val="24"/>
          <w:szCs w:val="24"/>
        </w:rPr>
      </w:pPr>
      <w:r w:rsidRPr="00E82403">
        <w:rPr>
          <w:rFonts w:ascii="Times New Roman" w:hAnsi="Times New Roman" w:cs="Times New Roman"/>
          <w:sz w:val="24"/>
          <w:szCs w:val="24"/>
        </w:rPr>
        <w:t>-0.3438971</w:t>
      </w:r>
      <w:r>
        <w:rPr>
          <w:rFonts w:ascii="Times New Roman" w:hAnsi="Times New Roman" w:cs="Times New Roman"/>
          <w:sz w:val="24"/>
          <w:szCs w:val="24"/>
        </w:rPr>
        <w:t>. This implies a moderate negative correlation between the two returns. This means that when S&amp;P returns increase, Treasury Bond returns tend to decrease, and vice versa.</w:t>
      </w:r>
    </w:p>
    <w:p w:rsidR="00E82403" w:rsidRDefault="00E82403" w:rsidP="001A64B2">
      <w:pPr>
        <w:contextualSpacing/>
        <w:rPr>
          <w:rFonts w:ascii="Times New Roman" w:hAnsi="Times New Roman" w:cs="Times New Roman"/>
          <w:sz w:val="24"/>
          <w:szCs w:val="24"/>
        </w:rPr>
      </w:pPr>
      <w:r>
        <w:rPr>
          <w:rFonts w:ascii="Times New Roman" w:hAnsi="Times New Roman" w:cs="Times New Roman"/>
          <w:sz w:val="24"/>
          <w:szCs w:val="24"/>
        </w:rPr>
        <w:t>The scatterplot is shown below:</w:t>
      </w:r>
    </w:p>
    <w:p w:rsidR="00E82403" w:rsidRDefault="00E82403" w:rsidP="001A64B2">
      <w:pPr>
        <w:contextualSpacing/>
        <w:rPr>
          <w:rFonts w:ascii="Times New Roman" w:hAnsi="Times New Roman" w:cs="Times New Roman"/>
          <w:sz w:val="24"/>
          <w:szCs w:val="24"/>
        </w:rPr>
      </w:pPr>
    </w:p>
    <w:p w:rsidR="00E82403" w:rsidRDefault="003A69DF" w:rsidP="001A64B2">
      <w:pPr>
        <w:contextualSpacing/>
        <w:rPr>
          <w:rFonts w:ascii="Times New Roman" w:hAnsi="Times New Roman" w:cs="Times New Roman"/>
          <w:sz w:val="24"/>
          <w:szCs w:val="24"/>
        </w:rPr>
      </w:pPr>
      <w:r>
        <w:rPr>
          <w:noProof/>
        </w:rPr>
        <w:drawing>
          <wp:inline distT="0" distB="0" distL="0" distR="0" wp14:anchorId="442304DA" wp14:editId="0E7DE807">
            <wp:extent cx="5378450" cy="313743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78450" cy="3137430"/>
                    </a:xfrm>
                    <a:prstGeom prst="rect">
                      <a:avLst/>
                    </a:prstGeom>
                  </pic:spPr>
                </pic:pic>
              </a:graphicData>
            </a:graphic>
          </wp:inline>
        </w:drawing>
      </w:r>
    </w:p>
    <w:p w:rsidR="00817764" w:rsidRDefault="00817764" w:rsidP="001A64B2">
      <w:pPr>
        <w:contextualSpacing/>
        <w:rPr>
          <w:rFonts w:ascii="Times New Roman" w:hAnsi="Times New Roman" w:cs="Times New Roman"/>
          <w:sz w:val="24"/>
          <w:szCs w:val="24"/>
        </w:rPr>
      </w:pPr>
    </w:p>
    <w:p w:rsidR="00817764" w:rsidRDefault="00817764" w:rsidP="001A64B2">
      <w:pPr>
        <w:contextualSpacing/>
        <w:rPr>
          <w:rFonts w:ascii="Times New Roman" w:hAnsi="Times New Roman" w:cs="Times New Roman"/>
          <w:sz w:val="24"/>
          <w:szCs w:val="24"/>
        </w:rPr>
      </w:pPr>
      <w:r>
        <w:rPr>
          <w:rFonts w:ascii="Times New Roman" w:hAnsi="Times New Roman" w:cs="Times New Roman"/>
          <w:sz w:val="24"/>
          <w:szCs w:val="24"/>
        </w:rPr>
        <w:t>Rolling-Window Correlation Time Series Plot (end of each rolling 24 week period):</w:t>
      </w:r>
    </w:p>
    <w:p w:rsidR="00461EA9" w:rsidRDefault="00461EA9" w:rsidP="001A64B2">
      <w:pPr>
        <w:contextualSpacing/>
        <w:rPr>
          <w:rFonts w:ascii="Times New Roman" w:hAnsi="Times New Roman" w:cs="Times New Roman"/>
          <w:sz w:val="24"/>
          <w:szCs w:val="24"/>
        </w:rPr>
      </w:pPr>
    </w:p>
    <w:p w:rsidR="00817764" w:rsidRDefault="00570013" w:rsidP="001A64B2">
      <w:pPr>
        <w:contextualSpacing/>
        <w:rPr>
          <w:rFonts w:ascii="Times New Roman" w:hAnsi="Times New Roman" w:cs="Times New Roman"/>
          <w:sz w:val="24"/>
          <w:szCs w:val="24"/>
        </w:rPr>
      </w:pPr>
      <w:r>
        <w:rPr>
          <w:noProof/>
        </w:rPr>
        <w:drawing>
          <wp:inline distT="0" distB="0" distL="0" distR="0" wp14:anchorId="241F0521" wp14:editId="55149244">
            <wp:extent cx="5340350" cy="311520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55703" cy="3124161"/>
                    </a:xfrm>
                    <a:prstGeom prst="rect">
                      <a:avLst/>
                    </a:prstGeom>
                  </pic:spPr>
                </pic:pic>
              </a:graphicData>
            </a:graphic>
          </wp:inline>
        </w:drawing>
      </w:r>
    </w:p>
    <w:p w:rsidR="00461EA9" w:rsidRPr="00461EA9" w:rsidRDefault="00461EA9" w:rsidP="00461EA9">
      <w:pPr>
        <w:rPr>
          <w:rFonts w:ascii="Times New Roman" w:hAnsi="Times New Roman" w:cs="Times New Roman"/>
          <w:sz w:val="24"/>
          <w:szCs w:val="24"/>
        </w:rPr>
      </w:pPr>
      <w:r w:rsidRPr="00461EA9">
        <w:rPr>
          <w:rFonts w:ascii="Times New Roman" w:hAnsi="Times New Roman" w:cs="Times New Roman"/>
          <w:sz w:val="24"/>
          <w:szCs w:val="24"/>
        </w:rPr>
        <w:lastRenderedPageBreak/>
        <w:t>With the rolling-window correlatio</w:t>
      </w:r>
      <w:r>
        <w:rPr>
          <w:rFonts w:ascii="Times New Roman" w:hAnsi="Times New Roman" w:cs="Times New Roman"/>
          <w:sz w:val="24"/>
          <w:szCs w:val="24"/>
        </w:rPr>
        <w:t>n, we can see the correlation with</w:t>
      </w:r>
      <w:r w:rsidRPr="00461EA9">
        <w:rPr>
          <w:rFonts w:ascii="Times New Roman" w:hAnsi="Times New Roman" w:cs="Times New Roman"/>
          <w:sz w:val="24"/>
          <w:szCs w:val="24"/>
        </w:rPr>
        <w:t xml:space="preserve"> a greater</w:t>
      </w:r>
      <w:r>
        <w:rPr>
          <w:rFonts w:ascii="Times New Roman" w:hAnsi="Times New Roman" w:cs="Times New Roman"/>
          <w:sz w:val="24"/>
          <w:szCs w:val="24"/>
        </w:rPr>
        <w:t xml:space="preserve"> frequency of time and shorter continuous intervals. This is better than the simple correlation because it shows that external factors might be present at some point of time which </w:t>
      </w:r>
      <w:proofErr w:type="gramStart"/>
      <w:r>
        <w:rPr>
          <w:rFonts w:ascii="Times New Roman" w:hAnsi="Times New Roman" w:cs="Times New Roman"/>
          <w:sz w:val="24"/>
          <w:szCs w:val="24"/>
        </w:rPr>
        <w:t>affect</w:t>
      </w:r>
      <w:proofErr w:type="gramEnd"/>
      <w:r>
        <w:rPr>
          <w:rFonts w:ascii="Times New Roman" w:hAnsi="Times New Roman" w:cs="Times New Roman"/>
          <w:sz w:val="24"/>
          <w:szCs w:val="24"/>
        </w:rPr>
        <w:t xml:space="preserve"> the relationship between the S&amp;P 500 returns and the Long-Term Treasury Bond returns.</w:t>
      </w:r>
    </w:p>
    <w:p w:rsidR="004E5ABD" w:rsidRDefault="00A977B1" w:rsidP="001A64B2">
      <w:pPr>
        <w:contextualSpacing/>
        <w:rPr>
          <w:rFonts w:ascii="Times New Roman" w:hAnsi="Times New Roman" w:cs="Times New Roman"/>
          <w:sz w:val="24"/>
          <w:szCs w:val="24"/>
        </w:rPr>
      </w:pPr>
      <w:r>
        <w:rPr>
          <w:rFonts w:ascii="Times New Roman" w:hAnsi="Times New Roman" w:cs="Times New Roman"/>
          <w:sz w:val="24"/>
          <w:szCs w:val="24"/>
        </w:rPr>
        <w:t xml:space="preserve">6) </w:t>
      </w:r>
      <w:r w:rsidR="00E47789" w:rsidRPr="00E47789">
        <w:rPr>
          <w:rFonts w:ascii="Times New Roman" w:hAnsi="Times New Roman" w:cs="Times New Roman"/>
          <w:sz w:val="24"/>
          <w:szCs w:val="24"/>
        </w:rPr>
        <w:t>The Sharpe ratio is the average return earned in excess of the</w:t>
      </w:r>
      <w:r w:rsidR="00E47789" w:rsidRPr="00E47789">
        <w:rPr>
          <w:rFonts w:ascii="Times New Roman" w:hAnsi="Times New Roman" w:cs="Times New Roman"/>
          <w:sz w:val="24"/>
          <w:szCs w:val="24"/>
        </w:rPr>
        <w:t> risk</w:t>
      </w:r>
      <w:r w:rsidR="00E47789" w:rsidRPr="00E47789">
        <w:rPr>
          <w:rFonts w:ascii="Times New Roman" w:hAnsi="Times New Roman" w:cs="Times New Roman"/>
          <w:sz w:val="24"/>
          <w:szCs w:val="24"/>
        </w:rPr>
        <w:t>-free rate per unit of</w:t>
      </w:r>
      <w:r w:rsidR="00E47789" w:rsidRPr="00E47789">
        <w:rPr>
          <w:rFonts w:ascii="Times New Roman" w:hAnsi="Times New Roman" w:cs="Times New Roman"/>
          <w:sz w:val="24"/>
          <w:szCs w:val="24"/>
        </w:rPr>
        <w:t> volatility </w:t>
      </w:r>
      <w:r w:rsidR="00E47789" w:rsidRPr="00E47789">
        <w:rPr>
          <w:rFonts w:ascii="Times New Roman" w:hAnsi="Times New Roman" w:cs="Times New Roman"/>
          <w:sz w:val="24"/>
          <w:szCs w:val="24"/>
        </w:rPr>
        <w:t>or total</w:t>
      </w:r>
      <w:r w:rsidR="00E47789" w:rsidRPr="00E47789">
        <w:rPr>
          <w:rFonts w:ascii="Times New Roman" w:hAnsi="Times New Roman" w:cs="Times New Roman"/>
          <w:sz w:val="24"/>
          <w:szCs w:val="24"/>
        </w:rPr>
        <w:t> risk</w:t>
      </w:r>
      <w:r w:rsidR="00E47789" w:rsidRPr="00E47789">
        <w:rPr>
          <w:rFonts w:ascii="Times New Roman" w:hAnsi="Times New Roman" w:cs="Times New Roman"/>
          <w:sz w:val="24"/>
          <w:szCs w:val="24"/>
        </w:rPr>
        <w:t>.</w:t>
      </w:r>
      <w:r w:rsidR="00E47789">
        <w:rPr>
          <w:rFonts w:ascii="Times New Roman" w:hAnsi="Times New Roman" w:cs="Times New Roman"/>
          <w:sz w:val="24"/>
          <w:szCs w:val="24"/>
        </w:rPr>
        <w:t xml:space="preserve"> </w:t>
      </w:r>
      <w:r w:rsidR="00E47789" w:rsidRPr="00E47789">
        <w:rPr>
          <w:rFonts w:ascii="Times New Roman" w:hAnsi="Times New Roman" w:cs="Times New Roman"/>
          <w:sz w:val="24"/>
          <w:szCs w:val="24"/>
        </w:rPr>
        <w:t>In other words, the</w:t>
      </w:r>
      <w:r w:rsidR="00E47789" w:rsidRPr="00E47789">
        <w:rPr>
          <w:rFonts w:ascii="Times New Roman" w:hAnsi="Times New Roman" w:cs="Times New Roman"/>
          <w:sz w:val="24"/>
          <w:szCs w:val="24"/>
        </w:rPr>
        <w:t xml:space="preserve"> idea of the ratio is to see how much additional return you are receiving for the additional</w:t>
      </w:r>
      <w:r w:rsidR="00E47789" w:rsidRPr="00E47789">
        <w:rPr>
          <w:rFonts w:ascii="Times New Roman" w:hAnsi="Times New Roman" w:cs="Times New Roman"/>
          <w:sz w:val="24"/>
          <w:szCs w:val="24"/>
        </w:rPr>
        <w:t> volatility </w:t>
      </w:r>
      <w:r w:rsidR="00E47789" w:rsidRPr="00E47789">
        <w:rPr>
          <w:rFonts w:ascii="Times New Roman" w:hAnsi="Times New Roman" w:cs="Times New Roman"/>
          <w:sz w:val="24"/>
          <w:szCs w:val="24"/>
        </w:rPr>
        <w:t>of holding the risky asset over a</w:t>
      </w:r>
      <w:r w:rsidR="00E47789" w:rsidRPr="00E47789">
        <w:rPr>
          <w:rFonts w:ascii="Times New Roman" w:hAnsi="Times New Roman" w:cs="Times New Roman"/>
          <w:sz w:val="24"/>
          <w:szCs w:val="24"/>
        </w:rPr>
        <w:t> risk</w:t>
      </w:r>
      <w:r w:rsidR="00E47789" w:rsidRPr="00E47789">
        <w:rPr>
          <w:rFonts w:ascii="Times New Roman" w:hAnsi="Times New Roman" w:cs="Times New Roman"/>
          <w:sz w:val="24"/>
          <w:szCs w:val="24"/>
        </w:rPr>
        <w:t>-free asset</w:t>
      </w:r>
      <w:r w:rsidR="00E47789">
        <w:rPr>
          <w:rFonts w:ascii="Times New Roman" w:hAnsi="Times New Roman" w:cs="Times New Roman"/>
          <w:sz w:val="24"/>
          <w:szCs w:val="24"/>
        </w:rPr>
        <w:t xml:space="preserve">. The higher a fund’s Sharpe ratio, the better a fund’s returns have been relative to the risk it has taken on. Because it uses standard deviation, the Sharpe ratio can be used to compare risk-adjusted returns across all fund categories. In this case, the Sharpe ratio for the S&amp;P 500 is 0.2807176 or 28.07%. The Sharpe ratio for Long-Term Treasury Bonds is -0.01095925 or -1.01%. The results indicate that </w:t>
      </w:r>
      <w:r w:rsidR="001D0D0C">
        <w:rPr>
          <w:rFonts w:ascii="Times New Roman" w:hAnsi="Times New Roman" w:cs="Times New Roman"/>
          <w:sz w:val="24"/>
          <w:szCs w:val="24"/>
        </w:rPr>
        <w:t xml:space="preserve">the </w:t>
      </w:r>
      <w:r w:rsidR="00E47789">
        <w:rPr>
          <w:rFonts w:ascii="Times New Roman" w:hAnsi="Times New Roman" w:cs="Times New Roman"/>
          <w:sz w:val="24"/>
          <w:szCs w:val="24"/>
        </w:rPr>
        <w:t>S&amp;P 500 is a better investment because of the higher Sharpe ratio, meaning higher standard returns over the risk</w:t>
      </w:r>
      <w:r w:rsidR="001D0D0C">
        <w:rPr>
          <w:rFonts w:ascii="Times New Roman" w:hAnsi="Times New Roman" w:cs="Times New Roman"/>
          <w:sz w:val="24"/>
          <w:szCs w:val="24"/>
        </w:rPr>
        <w:t>-free rate per unit of volatility.</w:t>
      </w:r>
    </w:p>
    <w:p w:rsidR="001D0D0C" w:rsidRDefault="001D0D0C" w:rsidP="001A64B2">
      <w:pPr>
        <w:contextualSpacing/>
        <w:rPr>
          <w:rFonts w:ascii="Times New Roman" w:hAnsi="Times New Roman" w:cs="Times New Roman"/>
          <w:sz w:val="24"/>
          <w:szCs w:val="24"/>
        </w:rPr>
      </w:pPr>
    </w:p>
    <w:p w:rsidR="00A52004" w:rsidRDefault="00A52004" w:rsidP="001A64B2">
      <w:pPr>
        <w:contextualSpacing/>
        <w:rPr>
          <w:rFonts w:ascii="Times New Roman" w:hAnsi="Times New Roman" w:cs="Times New Roman"/>
          <w:sz w:val="24"/>
          <w:szCs w:val="24"/>
        </w:rPr>
      </w:pPr>
      <w:r>
        <w:rPr>
          <w:rFonts w:ascii="Times New Roman" w:hAnsi="Times New Roman" w:cs="Times New Roman"/>
          <w:sz w:val="24"/>
          <w:szCs w:val="24"/>
        </w:rPr>
        <w:t>7)</w:t>
      </w:r>
    </w:p>
    <w:p w:rsidR="001D0D0C" w:rsidRDefault="00205E88" w:rsidP="001A64B2">
      <w:pPr>
        <w:contextualSpacing/>
        <w:rPr>
          <w:rFonts w:ascii="Times New Roman" w:hAnsi="Times New Roman" w:cs="Times New Roman"/>
          <w:sz w:val="24"/>
          <w:szCs w:val="24"/>
        </w:rPr>
      </w:pPr>
      <w:r>
        <w:rPr>
          <w:rFonts w:ascii="Times New Roman" w:hAnsi="Times New Roman" w:cs="Times New Roman"/>
          <w:sz w:val="24"/>
          <w:szCs w:val="24"/>
        </w:rPr>
        <w:t xml:space="preserve"> </w:t>
      </w:r>
      <w:r w:rsidR="00A52004">
        <w:rPr>
          <w:noProof/>
        </w:rPr>
        <w:drawing>
          <wp:inline distT="0" distB="0" distL="0" distR="0" wp14:anchorId="056941B6" wp14:editId="320A9565">
            <wp:extent cx="5232400" cy="305223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32400" cy="3052233"/>
                    </a:xfrm>
                    <a:prstGeom prst="rect">
                      <a:avLst/>
                    </a:prstGeom>
                  </pic:spPr>
                </pic:pic>
              </a:graphicData>
            </a:graphic>
          </wp:inline>
        </w:drawing>
      </w:r>
    </w:p>
    <w:p w:rsidR="00A52004" w:rsidRDefault="00A52004" w:rsidP="001A64B2">
      <w:pPr>
        <w:contextualSpacing/>
        <w:rPr>
          <w:rFonts w:ascii="Times New Roman" w:hAnsi="Times New Roman" w:cs="Times New Roman"/>
          <w:sz w:val="24"/>
          <w:szCs w:val="24"/>
        </w:rPr>
      </w:pPr>
      <w:r>
        <w:rPr>
          <w:rFonts w:ascii="Times New Roman" w:hAnsi="Times New Roman" w:cs="Times New Roman"/>
          <w:sz w:val="24"/>
          <w:szCs w:val="24"/>
        </w:rPr>
        <w:t>A portfolio weight of near 0.6 will produce the maximum Sharpe ratio.</w:t>
      </w:r>
    </w:p>
    <w:p w:rsidR="00A52004" w:rsidRDefault="00A52004" w:rsidP="001A64B2">
      <w:pPr>
        <w:contextualSpacing/>
        <w:rPr>
          <w:rFonts w:ascii="Times New Roman" w:hAnsi="Times New Roman" w:cs="Times New Roman"/>
          <w:sz w:val="24"/>
          <w:szCs w:val="24"/>
        </w:rPr>
      </w:pPr>
    </w:p>
    <w:p w:rsidR="00A52004" w:rsidRDefault="00A52004" w:rsidP="001A64B2">
      <w:pPr>
        <w:contextualSpacing/>
        <w:rPr>
          <w:rFonts w:ascii="Times New Roman" w:hAnsi="Times New Roman" w:cs="Times New Roman"/>
          <w:sz w:val="24"/>
          <w:szCs w:val="24"/>
        </w:rPr>
      </w:pPr>
      <w:r>
        <w:rPr>
          <w:rFonts w:ascii="Times New Roman" w:hAnsi="Times New Roman" w:cs="Times New Roman"/>
          <w:sz w:val="24"/>
          <w:szCs w:val="24"/>
        </w:rPr>
        <w:t>8)</w:t>
      </w:r>
      <w:r w:rsidR="007E0EF7">
        <w:rPr>
          <w:rFonts w:ascii="Times New Roman" w:hAnsi="Times New Roman" w:cs="Times New Roman"/>
          <w:sz w:val="24"/>
          <w:szCs w:val="24"/>
        </w:rPr>
        <w:t xml:space="preserve"> </w:t>
      </w:r>
      <w:r w:rsidR="00EF3D1F">
        <w:rPr>
          <w:rFonts w:ascii="Times New Roman" w:hAnsi="Times New Roman" w:cs="Times New Roman"/>
          <w:sz w:val="24"/>
          <w:szCs w:val="24"/>
        </w:rPr>
        <w:t xml:space="preserve">The S&amp;P 500 should have 59.585% of funds allocated and the Long-Term Treasury Bonds should have 40.415% of funds allocated. The Sharpe ratio for the overall portfolio is 0.3634139, meaning that it has an overall risk adjusted return per unit of volatility of 36.34%. The combined portfolio performs better than each </w:t>
      </w:r>
      <w:r w:rsidR="00805101">
        <w:rPr>
          <w:rFonts w:ascii="Times New Roman" w:hAnsi="Times New Roman" w:cs="Times New Roman"/>
          <w:sz w:val="24"/>
          <w:szCs w:val="24"/>
        </w:rPr>
        <w:t>of the funds individually (as shown in question 6), so it is better to invest in the combined portfolio.</w:t>
      </w:r>
    </w:p>
    <w:p w:rsidR="00805101" w:rsidRDefault="00805101" w:rsidP="001A64B2">
      <w:pPr>
        <w:contextualSpacing/>
        <w:rPr>
          <w:rFonts w:ascii="Times New Roman" w:hAnsi="Times New Roman" w:cs="Times New Roman"/>
          <w:sz w:val="24"/>
          <w:szCs w:val="24"/>
        </w:rPr>
      </w:pPr>
    </w:p>
    <w:p w:rsidR="00B53241" w:rsidRDefault="00B53241" w:rsidP="001A64B2">
      <w:pPr>
        <w:contextualSpacing/>
        <w:rPr>
          <w:rFonts w:ascii="Times New Roman" w:hAnsi="Times New Roman" w:cs="Times New Roman"/>
          <w:sz w:val="24"/>
          <w:szCs w:val="24"/>
        </w:rPr>
      </w:pPr>
    </w:p>
    <w:p w:rsidR="006F3377" w:rsidRDefault="006F3377" w:rsidP="001A64B2">
      <w:pPr>
        <w:contextualSpacing/>
        <w:rPr>
          <w:rFonts w:ascii="Times New Roman" w:hAnsi="Times New Roman" w:cs="Times New Roman"/>
          <w:sz w:val="24"/>
          <w:szCs w:val="24"/>
        </w:rPr>
      </w:pPr>
    </w:p>
    <w:p w:rsidR="006F3377" w:rsidRDefault="006F3377" w:rsidP="001A64B2">
      <w:pPr>
        <w:contextualSpacing/>
        <w:rPr>
          <w:rFonts w:ascii="Times New Roman" w:hAnsi="Times New Roman" w:cs="Times New Roman"/>
          <w:sz w:val="24"/>
          <w:szCs w:val="24"/>
        </w:rPr>
      </w:pPr>
      <w:r>
        <w:rPr>
          <w:rFonts w:ascii="Times New Roman" w:hAnsi="Times New Roman" w:cs="Times New Roman"/>
          <w:sz w:val="24"/>
          <w:szCs w:val="24"/>
        </w:rPr>
        <w:lastRenderedPageBreak/>
        <w:t>9)</w:t>
      </w:r>
    </w:p>
    <w:p w:rsidR="006F3377" w:rsidRDefault="006F3377" w:rsidP="001A64B2">
      <w:pPr>
        <w:contextualSpacing/>
        <w:rPr>
          <w:noProof/>
        </w:rPr>
      </w:pPr>
      <w:r w:rsidRPr="006F3377">
        <w:rPr>
          <w:noProof/>
        </w:rPr>
        <w:t xml:space="preserve"> </w:t>
      </w:r>
      <w:r w:rsidR="00DD05B0">
        <w:rPr>
          <w:noProof/>
        </w:rPr>
        <w:drawing>
          <wp:inline distT="0" distB="0" distL="0" distR="0" wp14:anchorId="3D57B902" wp14:editId="69614E4D">
            <wp:extent cx="4984750" cy="2907771"/>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5006" cy="2907920"/>
                    </a:xfrm>
                    <a:prstGeom prst="rect">
                      <a:avLst/>
                    </a:prstGeom>
                  </pic:spPr>
                </pic:pic>
              </a:graphicData>
            </a:graphic>
          </wp:inline>
        </w:drawing>
      </w:r>
    </w:p>
    <w:p w:rsidR="00C0101F" w:rsidRDefault="00C0101F" w:rsidP="001A64B2">
      <w:pPr>
        <w:contextualSpacing/>
        <w:rPr>
          <w:rFonts w:ascii="Times New Roman" w:hAnsi="Times New Roman" w:cs="Times New Roman"/>
          <w:noProof/>
          <w:sz w:val="24"/>
          <w:szCs w:val="24"/>
        </w:rPr>
      </w:pPr>
      <w:r w:rsidRPr="00C0101F">
        <w:rPr>
          <w:rFonts w:ascii="Times New Roman" w:hAnsi="Times New Roman" w:cs="Times New Roman"/>
          <w:noProof/>
          <w:sz w:val="24"/>
          <w:szCs w:val="24"/>
        </w:rPr>
        <w:t xml:space="preserve">The </w:t>
      </w:r>
      <w:r>
        <w:rPr>
          <w:rFonts w:ascii="Times New Roman" w:hAnsi="Times New Roman" w:cs="Times New Roman"/>
          <w:noProof/>
          <w:sz w:val="24"/>
          <w:szCs w:val="24"/>
        </w:rPr>
        <w:t xml:space="preserve">excess returns for the combined portfolio is consistently in between excess returns for the S&amp;P 500 and the Long-Term Treasury Bonds. </w:t>
      </w:r>
      <w:r w:rsidR="006E3357">
        <w:rPr>
          <w:rFonts w:ascii="Times New Roman" w:hAnsi="Times New Roman" w:cs="Times New Roman"/>
          <w:noProof/>
          <w:sz w:val="24"/>
          <w:szCs w:val="24"/>
        </w:rPr>
        <w:t>It is less volatile than the S&amp;P 500, so it provides less losses but at the same time less gains than the S&amp;P 500. The combined portfolio shows greater losses but also higher gains than the Long-Term Treasury Bonds.</w:t>
      </w:r>
    </w:p>
    <w:p w:rsidR="006E3357" w:rsidRDefault="006E3357" w:rsidP="001A64B2">
      <w:pPr>
        <w:contextualSpacing/>
        <w:rPr>
          <w:rFonts w:ascii="Times New Roman" w:hAnsi="Times New Roman" w:cs="Times New Roman"/>
          <w:noProof/>
          <w:sz w:val="24"/>
          <w:szCs w:val="24"/>
        </w:rPr>
      </w:pPr>
    </w:p>
    <w:p w:rsidR="005B1212" w:rsidRDefault="005B1212" w:rsidP="001A64B2">
      <w:pPr>
        <w:contextualSpacing/>
        <w:rPr>
          <w:rFonts w:ascii="Times New Roman" w:hAnsi="Times New Roman" w:cs="Times New Roman"/>
          <w:noProof/>
          <w:sz w:val="24"/>
          <w:szCs w:val="24"/>
        </w:rPr>
      </w:pPr>
      <w:r>
        <w:rPr>
          <w:rFonts w:ascii="Times New Roman" w:hAnsi="Times New Roman" w:cs="Times New Roman"/>
          <w:noProof/>
          <w:sz w:val="24"/>
          <w:szCs w:val="24"/>
        </w:rPr>
        <w:t>10) According to the results, investing $100 in each asset in the first week of January 2014, at the end of the test period we would have the following excess returns:</w:t>
      </w:r>
    </w:p>
    <w:p w:rsidR="005B1212" w:rsidRDefault="005B1212" w:rsidP="001A64B2">
      <w:pPr>
        <w:contextualSpacing/>
        <w:rPr>
          <w:rFonts w:ascii="Times New Roman" w:hAnsi="Times New Roman" w:cs="Times New Roman"/>
          <w:noProof/>
          <w:sz w:val="24"/>
          <w:szCs w:val="24"/>
        </w:rPr>
      </w:pPr>
      <w:r>
        <w:rPr>
          <w:rFonts w:ascii="Times New Roman" w:hAnsi="Times New Roman" w:cs="Times New Roman"/>
          <w:noProof/>
          <w:sz w:val="24"/>
          <w:szCs w:val="24"/>
        </w:rPr>
        <w:t>S&amp;P 500: $2.811</w:t>
      </w:r>
    </w:p>
    <w:p w:rsidR="005B1212" w:rsidRDefault="005B1212" w:rsidP="001A64B2">
      <w:pPr>
        <w:contextualSpacing/>
        <w:rPr>
          <w:rFonts w:ascii="Times New Roman" w:hAnsi="Times New Roman" w:cs="Times New Roman"/>
          <w:noProof/>
          <w:sz w:val="24"/>
          <w:szCs w:val="24"/>
        </w:rPr>
      </w:pPr>
      <w:r>
        <w:rPr>
          <w:rFonts w:ascii="Times New Roman" w:hAnsi="Times New Roman" w:cs="Times New Roman"/>
          <w:noProof/>
          <w:sz w:val="24"/>
          <w:szCs w:val="24"/>
        </w:rPr>
        <w:t>Long-Term Treasury Bonds: -$1.004</w:t>
      </w:r>
    </w:p>
    <w:p w:rsidR="005B1212" w:rsidRDefault="005B1212" w:rsidP="001A64B2">
      <w:pPr>
        <w:contextualSpacing/>
        <w:rPr>
          <w:rFonts w:ascii="Times New Roman" w:hAnsi="Times New Roman" w:cs="Times New Roman"/>
          <w:noProof/>
          <w:sz w:val="24"/>
          <w:szCs w:val="24"/>
        </w:rPr>
      </w:pPr>
      <w:r>
        <w:rPr>
          <w:rFonts w:ascii="Times New Roman" w:hAnsi="Times New Roman" w:cs="Times New Roman"/>
          <w:noProof/>
          <w:sz w:val="24"/>
          <w:szCs w:val="24"/>
        </w:rPr>
        <w:t>Combined Portfolio: $1.269</w:t>
      </w:r>
    </w:p>
    <w:p w:rsidR="005B1212" w:rsidRDefault="005B1212" w:rsidP="001A64B2">
      <w:pPr>
        <w:contextualSpacing/>
        <w:rPr>
          <w:rFonts w:ascii="Times New Roman" w:hAnsi="Times New Roman" w:cs="Times New Roman"/>
          <w:noProof/>
          <w:sz w:val="24"/>
          <w:szCs w:val="24"/>
        </w:rPr>
      </w:pPr>
      <w:r>
        <w:rPr>
          <w:rFonts w:ascii="Times New Roman" w:hAnsi="Times New Roman" w:cs="Times New Roman"/>
          <w:noProof/>
          <w:sz w:val="24"/>
          <w:szCs w:val="24"/>
        </w:rPr>
        <w:t>In the test, the</w:t>
      </w:r>
      <w:r w:rsidR="00A84345">
        <w:rPr>
          <w:rFonts w:ascii="Times New Roman" w:hAnsi="Times New Roman" w:cs="Times New Roman"/>
          <w:noProof/>
          <w:sz w:val="24"/>
          <w:szCs w:val="24"/>
        </w:rPr>
        <w:t xml:space="preserve"> combined</w:t>
      </w:r>
      <w:r>
        <w:rPr>
          <w:rFonts w:ascii="Times New Roman" w:hAnsi="Times New Roman" w:cs="Times New Roman"/>
          <w:noProof/>
          <w:sz w:val="24"/>
          <w:szCs w:val="24"/>
        </w:rPr>
        <w:t xml:space="preserve"> portfolio did not perform as well as the S&amp;P 500, but performed better than Long-Term Treasury Bonds. This is most likely due to the current state of the economy at the time of the investments. </w:t>
      </w:r>
      <w:r w:rsidR="00010D80">
        <w:rPr>
          <w:rFonts w:ascii="Times New Roman" w:hAnsi="Times New Roman" w:cs="Times New Roman"/>
          <w:noProof/>
          <w:sz w:val="24"/>
          <w:szCs w:val="24"/>
        </w:rPr>
        <w:t xml:space="preserve">Although combined porfolios of safer Treasury Bond investments and riskier stock market investments can provide a better </w:t>
      </w:r>
      <w:bookmarkStart w:id="0" w:name="_GoBack"/>
      <w:bookmarkEnd w:id="0"/>
      <w:r w:rsidR="00010D80">
        <w:rPr>
          <w:rFonts w:ascii="Times New Roman" w:hAnsi="Times New Roman" w:cs="Times New Roman"/>
          <w:noProof/>
          <w:sz w:val="24"/>
          <w:szCs w:val="24"/>
        </w:rPr>
        <w:t xml:space="preserve">return at times, in this case the fed rate is much lower in 2014, allowing for greater excess returns overall. It can be noted that here we are measuring the returns in excess of the risk-free rate. So, the S&amp;P 500 appears to perform better. However in the previous example, where we calculated the Sharpe ratio, we measure the </w:t>
      </w:r>
      <w:r w:rsidR="00A84345">
        <w:rPr>
          <w:rFonts w:ascii="Times New Roman" w:hAnsi="Times New Roman" w:cs="Times New Roman"/>
          <w:noProof/>
          <w:sz w:val="24"/>
          <w:szCs w:val="24"/>
        </w:rPr>
        <w:t>excess return per unit of volitility. So, the combined portfolio performs better when we take into account the volitility.</w:t>
      </w:r>
    </w:p>
    <w:p w:rsidR="005B1212" w:rsidRDefault="005B1212" w:rsidP="001A64B2">
      <w:pPr>
        <w:contextualSpacing/>
        <w:rPr>
          <w:rFonts w:ascii="Times New Roman" w:hAnsi="Times New Roman" w:cs="Times New Roman"/>
          <w:noProof/>
          <w:sz w:val="24"/>
          <w:szCs w:val="24"/>
        </w:rPr>
      </w:pPr>
    </w:p>
    <w:p w:rsidR="005B1212" w:rsidRPr="005B1212" w:rsidRDefault="005B1212" w:rsidP="005B121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3" w:lineRule="atLeast"/>
        <w:rPr>
          <w:rFonts w:ascii="Lucida Console" w:eastAsia="Times New Roman" w:hAnsi="Lucida Console" w:cs="Courier New"/>
          <w:color w:val="C397D8"/>
          <w:sz w:val="20"/>
          <w:szCs w:val="20"/>
        </w:rPr>
      </w:pPr>
      <w:r w:rsidRPr="005B1212">
        <w:rPr>
          <w:rFonts w:ascii="Lucida Console" w:eastAsia="Times New Roman" w:hAnsi="Lucida Console" w:cs="Courier New"/>
          <w:color w:val="C397D8"/>
          <w:sz w:val="20"/>
          <w:szCs w:val="20"/>
        </w:rPr>
        <w:t>&gt; print(Test_Set$Et_SPY[43]*100)</w:t>
      </w:r>
    </w:p>
    <w:p w:rsidR="005B1212" w:rsidRPr="005B1212" w:rsidRDefault="005B1212" w:rsidP="005B121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3" w:lineRule="atLeast"/>
        <w:rPr>
          <w:rFonts w:ascii="Lucida Console" w:eastAsia="Times New Roman" w:hAnsi="Lucida Console" w:cs="Courier New"/>
          <w:color w:val="DEDEDE"/>
          <w:sz w:val="20"/>
          <w:szCs w:val="20"/>
        </w:rPr>
      </w:pPr>
      <w:r w:rsidRPr="005B1212">
        <w:rPr>
          <w:rFonts w:ascii="Lucida Console" w:eastAsia="Times New Roman" w:hAnsi="Lucida Console" w:cs="Courier New"/>
          <w:color w:val="DEDEDE"/>
          <w:sz w:val="20"/>
          <w:szCs w:val="20"/>
        </w:rPr>
        <w:t>[1] 2.811077</w:t>
      </w:r>
    </w:p>
    <w:p w:rsidR="005B1212" w:rsidRPr="005B1212" w:rsidRDefault="005B1212" w:rsidP="005B121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3" w:lineRule="atLeast"/>
        <w:rPr>
          <w:rFonts w:ascii="Lucida Console" w:eastAsia="Times New Roman" w:hAnsi="Lucida Console" w:cs="Courier New"/>
          <w:color w:val="C397D8"/>
          <w:sz w:val="20"/>
          <w:szCs w:val="20"/>
        </w:rPr>
      </w:pPr>
      <w:r w:rsidRPr="005B1212">
        <w:rPr>
          <w:rFonts w:ascii="Lucida Console" w:eastAsia="Times New Roman" w:hAnsi="Lucida Console" w:cs="Courier New"/>
          <w:color w:val="C397D8"/>
          <w:sz w:val="20"/>
          <w:szCs w:val="20"/>
        </w:rPr>
        <w:t>&gt; print(Test_Set$Et_tlt[43]*100)</w:t>
      </w:r>
    </w:p>
    <w:p w:rsidR="005B1212" w:rsidRPr="005B1212" w:rsidRDefault="005B1212" w:rsidP="005B121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3" w:lineRule="atLeast"/>
        <w:rPr>
          <w:rFonts w:ascii="Lucida Console" w:eastAsia="Times New Roman" w:hAnsi="Lucida Console" w:cs="Courier New"/>
          <w:color w:val="DEDEDE"/>
          <w:sz w:val="20"/>
          <w:szCs w:val="20"/>
        </w:rPr>
      </w:pPr>
      <w:r w:rsidRPr="005B1212">
        <w:rPr>
          <w:rFonts w:ascii="Lucida Console" w:eastAsia="Times New Roman" w:hAnsi="Lucida Console" w:cs="Courier New"/>
          <w:color w:val="DEDEDE"/>
          <w:sz w:val="20"/>
          <w:szCs w:val="20"/>
        </w:rPr>
        <w:t>[1] -1.004466</w:t>
      </w:r>
    </w:p>
    <w:p w:rsidR="005B1212" w:rsidRPr="005B1212" w:rsidRDefault="005B1212" w:rsidP="005B121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3" w:lineRule="atLeast"/>
        <w:rPr>
          <w:rFonts w:ascii="Lucida Console" w:eastAsia="Times New Roman" w:hAnsi="Lucida Console" w:cs="Courier New"/>
          <w:color w:val="C397D8"/>
          <w:sz w:val="20"/>
          <w:szCs w:val="20"/>
        </w:rPr>
      </w:pPr>
      <w:r w:rsidRPr="005B1212">
        <w:rPr>
          <w:rFonts w:ascii="Lucida Console" w:eastAsia="Times New Roman" w:hAnsi="Lucida Console" w:cs="Courier New"/>
          <w:color w:val="C397D8"/>
          <w:sz w:val="20"/>
          <w:szCs w:val="20"/>
        </w:rPr>
        <w:t>&gt; print(Test_Set$Et_Portfolio[43]*100)</w:t>
      </w:r>
    </w:p>
    <w:p w:rsidR="005B1212" w:rsidRPr="005B1212" w:rsidRDefault="005B1212" w:rsidP="005B121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3" w:lineRule="atLeast"/>
        <w:rPr>
          <w:rFonts w:ascii="Lucida Console" w:eastAsia="Times New Roman" w:hAnsi="Lucida Console" w:cs="Courier New"/>
          <w:color w:val="DEDEDE"/>
          <w:sz w:val="20"/>
          <w:szCs w:val="20"/>
        </w:rPr>
      </w:pPr>
      <w:r w:rsidRPr="005B1212">
        <w:rPr>
          <w:rFonts w:ascii="Lucida Console" w:eastAsia="Times New Roman" w:hAnsi="Lucida Console" w:cs="Courier New"/>
          <w:color w:val="DEDEDE"/>
          <w:sz w:val="20"/>
          <w:szCs w:val="20"/>
        </w:rPr>
        <w:t>[1] 1.269026</w:t>
      </w:r>
    </w:p>
    <w:p w:rsidR="006E3357" w:rsidRPr="00C0101F" w:rsidRDefault="006E3357" w:rsidP="001A64B2">
      <w:pPr>
        <w:contextualSpacing/>
        <w:rPr>
          <w:rFonts w:ascii="Times New Roman" w:hAnsi="Times New Roman" w:cs="Times New Roman"/>
          <w:noProof/>
          <w:sz w:val="24"/>
          <w:szCs w:val="24"/>
        </w:rPr>
      </w:pPr>
    </w:p>
    <w:sectPr w:rsidR="006E3357" w:rsidRPr="00C01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E1B7B"/>
    <w:multiLevelType w:val="hybridMultilevel"/>
    <w:tmpl w:val="BEE63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1EE"/>
    <w:rsid w:val="00010D80"/>
    <w:rsid w:val="00107BB9"/>
    <w:rsid w:val="00113F8F"/>
    <w:rsid w:val="00151EBD"/>
    <w:rsid w:val="001A64B2"/>
    <w:rsid w:val="001D0D0C"/>
    <w:rsid w:val="00205E88"/>
    <w:rsid w:val="0039329C"/>
    <w:rsid w:val="003A69DF"/>
    <w:rsid w:val="003E13AF"/>
    <w:rsid w:val="00461EA9"/>
    <w:rsid w:val="004E5ABD"/>
    <w:rsid w:val="005031EE"/>
    <w:rsid w:val="005357F8"/>
    <w:rsid w:val="00570013"/>
    <w:rsid w:val="005B1212"/>
    <w:rsid w:val="00624E68"/>
    <w:rsid w:val="006E3357"/>
    <w:rsid w:val="006F3377"/>
    <w:rsid w:val="00717EBD"/>
    <w:rsid w:val="007E0EF7"/>
    <w:rsid w:val="00805101"/>
    <w:rsid w:val="00817764"/>
    <w:rsid w:val="00830975"/>
    <w:rsid w:val="009A27CC"/>
    <w:rsid w:val="00A0037F"/>
    <w:rsid w:val="00A52004"/>
    <w:rsid w:val="00A84345"/>
    <w:rsid w:val="00A977B1"/>
    <w:rsid w:val="00B53241"/>
    <w:rsid w:val="00BC14A7"/>
    <w:rsid w:val="00BC4B8E"/>
    <w:rsid w:val="00C0101F"/>
    <w:rsid w:val="00DD05B0"/>
    <w:rsid w:val="00E47789"/>
    <w:rsid w:val="00E82403"/>
    <w:rsid w:val="00ED4174"/>
    <w:rsid w:val="00ED5EA4"/>
    <w:rsid w:val="00EF3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B8E"/>
    <w:pPr>
      <w:ind w:left="720"/>
      <w:contextualSpacing/>
    </w:pPr>
  </w:style>
  <w:style w:type="paragraph" w:styleId="BalloonText">
    <w:name w:val="Balloon Text"/>
    <w:basedOn w:val="Normal"/>
    <w:link w:val="BalloonTextChar"/>
    <w:uiPriority w:val="99"/>
    <w:semiHidden/>
    <w:unhideWhenUsed/>
    <w:rsid w:val="00113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8F"/>
    <w:rPr>
      <w:rFonts w:ascii="Tahoma" w:hAnsi="Tahoma" w:cs="Tahoma"/>
      <w:sz w:val="16"/>
      <w:szCs w:val="16"/>
    </w:rPr>
  </w:style>
  <w:style w:type="character" w:customStyle="1" w:styleId="apple-converted-space">
    <w:name w:val="apple-converted-space"/>
    <w:basedOn w:val="DefaultParagraphFont"/>
    <w:rsid w:val="00E47789"/>
  </w:style>
  <w:style w:type="character" w:styleId="Emphasis">
    <w:name w:val="Emphasis"/>
    <w:basedOn w:val="DefaultParagraphFont"/>
    <w:uiPriority w:val="20"/>
    <w:qFormat/>
    <w:rsid w:val="00E4778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1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B8E"/>
    <w:pPr>
      <w:ind w:left="720"/>
      <w:contextualSpacing/>
    </w:pPr>
  </w:style>
  <w:style w:type="paragraph" w:styleId="BalloonText">
    <w:name w:val="Balloon Text"/>
    <w:basedOn w:val="Normal"/>
    <w:link w:val="BalloonTextChar"/>
    <w:uiPriority w:val="99"/>
    <w:semiHidden/>
    <w:unhideWhenUsed/>
    <w:rsid w:val="00113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8F"/>
    <w:rPr>
      <w:rFonts w:ascii="Tahoma" w:hAnsi="Tahoma" w:cs="Tahoma"/>
      <w:sz w:val="16"/>
      <w:szCs w:val="16"/>
    </w:rPr>
  </w:style>
  <w:style w:type="character" w:customStyle="1" w:styleId="apple-converted-space">
    <w:name w:val="apple-converted-space"/>
    <w:basedOn w:val="DefaultParagraphFont"/>
    <w:rsid w:val="00E47789"/>
  </w:style>
  <w:style w:type="character" w:styleId="Emphasis">
    <w:name w:val="Emphasis"/>
    <w:basedOn w:val="DefaultParagraphFont"/>
    <w:uiPriority w:val="20"/>
    <w:qFormat/>
    <w:rsid w:val="00E477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35758">
      <w:bodyDiv w:val="1"/>
      <w:marLeft w:val="0"/>
      <w:marRight w:val="0"/>
      <w:marTop w:val="0"/>
      <w:marBottom w:val="0"/>
      <w:divBdr>
        <w:top w:val="none" w:sz="0" w:space="0" w:color="auto"/>
        <w:left w:val="none" w:sz="0" w:space="0" w:color="auto"/>
        <w:bottom w:val="none" w:sz="0" w:space="0" w:color="auto"/>
        <w:right w:val="none" w:sz="0" w:space="0" w:color="auto"/>
      </w:divBdr>
    </w:div>
    <w:div w:id="1581862845">
      <w:bodyDiv w:val="1"/>
      <w:marLeft w:val="0"/>
      <w:marRight w:val="0"/>
      <w:marTop w:val="0"/>
      <w:marBottom w:val="0"/>
      <w:divBdr>
        <w:top w:val="none" w:sz="0" w:space="0" w:color="auto"/>
        <w:left w:val="none" w:sz="0" w:space="0" w:color="auto"/>
        <w:bottom w:val="none" w:sz="0" w:space="0" w:color="auto"/>
        <w:right w:val="none" w:sz="0" w:space="0" w:color="auto"/>
      </w:divBdr>
    </w:div>
    <w:div w:id="1872037089">
      <w:bodyDiv w:val="1"/>
      <w:marLeft w:val="0"/>
      <w:marRight w:val="0"/>
      <w:marTop w:val="0"/>
      <w:marBottom w:val="0"/>
      <w:divBdr>
        <w:top w:val="none" w:sz="0" w:space="0" w:color="auto"/>
        <w:left w:val="none" w:sz="0" w:space="0" w:color="auto"/>
        <w:bottom w:val="none" w:sz="0" w:space="0" w:color="auto"/>
        <w:right w:val="none" w:sz="0" w:space="0" w:color="auto"/>
      </w:divBdr>
    </w:div>
    <w:div w:id="187341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6</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dc:creator>
  <cp:lastModifiedBy>Sumi</cp:lastModifiedBy>
  <cp:revision>21</cp:revision>
  <dcterms:created xsi:type="dcterms:W3CDTF">2016-12-05T02:40:00Z</dcterms:created>
  <dcterms:modified xsi:type="dcterms:W3CDTF">2016-12-07T17:12:00Z</dcterms:modified>
</cp:coreProperties>
</file>