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00"/>
      </w:pPr>
    </w:p>
    <w:p>
      <w:pPr>
        <w:pStyle w:val="Title"/>
        <w:spacing w:after="1500"/>
      </w:pPr>
      <w:r>
        <w:t>공개 장애 보고서 비교를 통한</w:t>
        <w:br/>
        <w:t>네트워크와 서버 장애 대응의</w:t>
        <w:br/>
        <w:t>개선 방안</w:t>
      </w:r>
    </w:p>
    <w:p>
      <w:pPr>
        <w:jc w:val="center"/>
      </w:pPr>
      <w:r>
        <w:t>작성자: 우수민</w:t>
      </w:r>
    </w:p>
    <w:p>
      <w:pPr>
        <w:jc w:val="center"/>
      </w:pPr>
      <w:r>
        <w:t>작성일: 2026년 10월 29일</w:t>
      </w:r>
    </w:p>
    <w:p>
      <w:r>
        <w:br w:type="page"/>
      </w:r>
    </w:p>
    <w:p>
      <w:pPr>
        <w:pStyle w:val="Heading1"/>
      </w:pPr>
      <w:r>
        <w:t>초록</w:t>
      </w:r>
    </w:p>
    <w:p>
      <w:r>
        <w:t>네트워크·서버 장애의 대응 요구를 도출하기 위해 학술논문 5편과 7개 운영사의 공개 장애 사례 20건을 비교하였다. 원인·복구 방해 요인·조치·회복 기준을 구분해 복구 도구의 의존성, 백업 복원 검증, 단계별 회복 판정의 필요성을 도출하였다. 보조 분석에서 변경·인프라 관련 장애의 지속시간 중앙값은 93분·186분으로 기존 가설은 지지되지 않았다. 제안은 문헌과 사례에 근거하며 실제 도입 효과를 입증한 결과는 아니다.</w:t>
      </w:r>
    </w:p>
    <w:p>
      <w:r>
        <w:t>주제어: 네트워크, 서버, 장애 대응, 공개 보고서, 문헌·사례 비교</w:t>
      </w:r>
    </w:p>
    <w:p>
      <w:pPr>
        <w:pStyle w:val="Heading1"/>
      </w:pPr>
      <w:r>
        <w:t>서론</w:t>
      </w:r>
    </w:p>
    <w:p>
      <w:r>
        <w:t>네트워크와 서버의 장애 대응에서는 고장 난 구성요소를 찾는 일과 실제 서비스 기능을 회복하는 일이 반드시 일치하지 않는다. 연결 경로를 복원했더라도 데이터베이스의 복구가 남을 수 있고, 주 서비스 장애가 진단 도구와 관리 접근 수단까지 중단시킬 수 있다. 따라서 장애 대응의 개선 방향은 최초 원인의 이름만으로 정하기보다, 복구 과정에서 어떤 의존성과 제약이 작동했는지를 함께 검토하여 도출할 필요가 있다.</w:t>
      </w:r>
    </w:p>
    <w:p>
      <w:r>
        <w:t>선행연구는 이러한 문제를 서로 다른 관점에서 다룬다. 문헌[2]은 실제 인터넷 서비스의 장애 보고서를 분석하여 운영 오류와 복구 도구의 중요성을 논의하였다. 문헌[3]은 네트워크 장비의 장애, 트래픽 영향 및 이중화 효과를 구분하여 평가하였다. 문헌[7]은 분산 시스템의 장애 사례에서 오류가 사용자에게 보이는 실패로 이어지는 과정을 분석하였다. 문헌[8]은 구성요소 감시와 응용이 인식하는 장애 사이의 차이를 설명하였다. 국내 연구[1]는 메트릭과 장애 기록을 이용한 탐지를 다루지만, 탐지 성능이 곧 복구 절차의 효과를 뜻하지는 않는다.</w:t>
      </w:r>
    </w:p>
    <w:p>
      <w:r>
        <w:t>이들 연구로부터 장애 탐지와 복구 검증을 구분해야 한다는 배경을 얻을 수 있다. 그러나 서로 다른 운영사의 보고서에서 어떤 복구 제약이 반복되는지, 그 제약을 운영자가 확인할 수 있는 절차로 어떻게 표현할지는 별도의 비교가 필요하다. 본 연구는 새로운 장애 예측 기법이나 보편적인 원인별 복구시간 법칙을 제시하지 않고, 공개 기록에서 확인할 수 있는 대응 요구를 구체화한다.</w:t>
      </w:r>
    </w:p>
    <w:p>
      <w:r>
        <w:t>중심 연구 질문은 ‘네트워크·서버 장애 사례에서 복구를 어렵게 만든 요인은 무엇이며, 이를 대응 절차에 어떻게 반영할 수 있는가’이다. 기존에 설정한 검증 가설은 ‘설정·배포·유지보수 변경 관련 장애는 물리 인프라 장애·자원 공급 지연 장애보다 보고된 지속시간의 중앙값이 길다’이며, 이를 변경하지 않고 보조 분석으로 유지한다. 가설의 비교 변수는 원인 집단, 결과 변수는 보고된 지속시간이다. 관찰 자료이므로 두 변수의 관계를 검토할 뿐 인과적 영향을 추정하지 않는다.</w:t>
      </w:r>
    </w:p>
    <w:p>
      <w:pPr>
        <w:pStyle w:val="Heading1"/>
      </w:pPr>
      <w:r>
        <w:t>방법</w:t>
      </w:r>
    </w:p>
    <w:p>
      <w:pPr>
        <w:pStyle w:val="Heading2"/>
      </w:pPr>
      <w:r>
        <w:t>연구 구성과 자료의 역할</w:t>
      </w:r>
    </w:p>
    <w:p>
      <w:r>
        <w:t>본 연구는 학술문헌 검토, 공식 장애 보고서의 질적 비교, 기존 가설에 대한 기술통계 분석을 결합한 탐색적 문헌·사례 연구이다. 학술논문 5편[1-3,7,8]은 개념과 방법의 배경이며 독립적인 장애 관측 건수에 합산하지 않는다. 사건 자료는 GitHub의 2023년 2~4월 가용성 보고서에 실린 13건[4-6]과, 6개 운영사의 추가 7건[9-15]으로 총 20건이다. 보고서 문서 수와 사건 수를 구분한다.</w:t>
      </w:r>
    </w:p>
    <w:p>
      <w:r>
        <w:t>GitHub 사건은 정한 세 보고서에 수록된 대상 기간 사건 전체를 포함하고 중복 서술은 한 건으로 처리하였다. 추가 사례는 기존 탐색에서 확인한 운영사 원문 가운데 원인과 복구 과정의 사실을 추출할 수 있는 사건을 목적 표집하였다. 전체 인터넷 장애의 전수 또는 무작위 표본은 아니다. 분석은 2017~2023년의 사례에 한정되며 최신 기술 환경 전체의 분포를 대표하지 않는다. GitHub 기록은 2026년 10월 28일, 추가 기록은 10월 29일 열람·전사하였다. 이번 재구성에서는 기존 사건을 추가하거나 삭제하지 않았다.</w:t>
      </w:r>
    </w:p>
    <w:p>
      <w:r>
        <w:t>자료의 단위는 공식 문서에서 추출한 사건별 기록이다. 원자료 파일은 서버 패킷 로그가 아니라 출처·근거 위치·원래 시간 표현을 보존한 전사 기록이다. 원문 전문의 보존본은 포함하지 않는다. 모든 사건을 수치로 통합하지 않고, 정보가 없는 항목은 ‘기록에서 확인하지 못함’으로 남긴다. 보고서에 기술되지 않았다는 이유로 해당 문제가 없었다고 판단하지 않는다.</w:t>
      </w:r>
    </w:p>
    <w:p>
      <w:pPr>
        <w:pStyle w:val="Heading2"/>
      </w:pPr>
      <w:r>
        <w:t>비교 기준과 기록 절차</w:t>
      </w:r>
    </w:p>
    <w:p>
      <w:r>
        <w:t>동일 사건에서 최초 촉발 원인, 복구 방해 요인, 실제 수행한 조치, 회복 판정, 연구자의 개선 제안을 분리한다. 복구 방해 요인은 진단·접근·복원·조정 과정의 제약이 원문에 명시된 경우에만 기록한다. 여러 요인이 함께 있는 사건은 단일 원인으로 강제 환원하지 않는다. 원문에 원인과 결과의 연결이 불명확하면 추정으로 보충하지 않는다.</w:t>
      </w:r>
    </w:p>
    <w:p>
      <w:pPr>
        <w:keepNext/>
      </w:pPr>
      <w:r>
        <w:t>표 1. 자료 비교와 보조 분석의 설계</w:t>
      </w:r>
    </w:p>
    <w:tbl>
      <w:tblPr>
        <w:tblW w:type="auto" w:w="0"/>
        <w:tblLayout w:type="fixed"/>
        <w:tblLook w:firstColumn="1" w:firstRow="1" w:lastColumn="0" w:lastRow="0" w:noHBand="0" w:noVBand="1" w:val="04A0"/>
      </w:tblPr>
      <w:tblGrid>
        <w:gridCol w:w="4819"/>
        <w:gridCol w:w="4819"/>
      </w:tblGrid>
      <w:tr>
        <w:trPr>
          <w:cantSplit/>
          <w:tblHeader/>
        </w:trPr>
        <w:tc>
          <w:tcPr>
            <w:tcW w:type="dxa" w:w="2268"/>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구분</w:t>
            </w:r>
          </w:p>
        </w:tc>
        <w:tc>
          <w:tcPr>
            <w:tcW w:type="dxa" w:w="7370"/>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정한 기준</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중심 비교</w:t>
            </w:r>
          </w:p>
        </w:tc>
        <w:tc>
          <w:tcPr>
            <w:tcW w:type="dxa" w:w="7370"/>
            <w:tcBorders>
              <w:top w:val="single" w:sz="4" w:color="D9D9D9"/>
              <w:left w:val="single" w:sz="4" w:color="D9D9D9"/>
              <w:bottom w:val="single" w:sz="4" w:color="D9D9D9"/>
              <w:right w:val="single" w:sz="4" w:color="D9D9D9"/>
            </w:tcBorders>
          </w:tcPr>
          <w:p>
            <w:pPr>
              <w:spacing w:after="80" w:before="80" w:line="300" w:lineRule="auto"/>
            </w:pPr>
            <w:r>
              <w:rPr>
                <w:b w:val="0"/>
                <w:sz w:val="18"/>
              </w:rPr>
              <w:t>사례의 촉발 원인, 복구 제약, 실제 조치, 회복 종점, 개선 요구</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비교 조건</w:t>
            </w:r>
          </w:p>
        </w:tc>
        <w:tc>
          <w:tcPr>
            <w:tcW w:type="dxa" w:w="7370"/>
            <w:tcBorders>
              <w:top w:val="single" w:sz="4" w:color="D9D9D9"/>
              <w:left w:val="single" w:sz="4" w:color="D9D9D9"/>
              <w:bottom w:val="single" w:sz="4" w:color="D9D9D9"/>
              <w:right w:val="single" w:sz="4" w:color="D9D9D9"/>
            </w:tcBorders>
          </w:tcPr>
          <w:p>
            <w:pPr>
              <w:spacing w:after="80" w:before="80" w:line="300" w:lineRule="auto"/>
            </w:pPr>
            <w:r>
              <w:rPr>
                <w:b w:val="0"/>
                <w:sz w:val="18"/>
              </w:rPr>
              <w:t>사건별 기술 계층과 복구 과정. 연구자가 장애 조건을 조작하지 않음</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고정 기준</w:t>
            </w:r>
          </w:p>
        </w:tc>
        <w:tc>
          <w:tcPr>
            <w:tcW w:type="dxa" w:w="7370"/>
            <w:tcBorders>
              <w:top w:val="single" w:sz="4" w:color="D9D9D9"/>
              <w:left w:val="single" w:sz="4" w:color="D9D9D9"/>
              <w:bottom w:val="single" w:sz="4" w:color="D9D9D9"/>
              <w:right w:val="single" w:sz="4" w:color="D9D9D9"/>
            </w:tcBorders>
          </w:tcPr>
          <w:p>
            <w:pPr>
              <w:spacing w:after="80" w:before="80" w:line="300" w:lineRule="auto"/>
            </w:pPr>
            <w:r>
              <w:rPr>
                <w:b w:val="0"/>
                <w:sz w:val="18"/>
              </w:rPr>
              <w:t>사건 단위, 출처 기록, 사실과 제안 분리, 미기재를 부재로 코딩하지 않기</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표본</w:t>
            </w:r>
          </w:p>
        </w:tc>
        <w:tc>
          <w:tcPr>
            <w:tcW w:type="dxa" w:w="7370"/>
            <w:tcBorders>
              <w:top w:val="single" w:sz="4" w:color="D9D9D9"/>
              <w:left w:val="single" w:sz="4" w:color="D9D9D9"/>
              <w:bottom w:val="single" w:sz="4" w:color="D9D9D9"/>
              <w:right w:val="single" w:sz="4" w:color="D9D9D9"/>
            </w:tcBorders>
          </w:tcPr>
          <w:p>
            <w:pPr>
              <w:spacing w:after="80" w:before="80" w:line="300" w:lineRule="auto"/>
            </w:pPr>
            <w:r>
              <w:rPr>
                <w:b w:val="0"/>
                <w:sz w:val="18"/>
              </w:rPr>
              <w:t>사례 20건. 보조 정량 분석은 GitHub 13건 중 분류 가능한 8건</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수치</w:t>
            </w:r>
          </w:p>
        </w:tc>
        <w:tc>
          <w:tcPr>
            <w:tcW w:type="dxa" w:w="7370"/>
            <w:tcBorders>
              <w:top w:val="single" w:sz="4" w:color="D9D9D9"/>
              <w:left w:val="single" w:sz="4" w:color="D9D9D9"/>
              <w:bottom w:val="single" w:sz="4" w:color="D9D9D9"/>
              <w:right w:val="single" w:sz="4" w:color="D9D9D9"/>
            </w:tcBorders>
          </w:tcPr>
          <w:p>
            <w:pPr>
              <w:spacing w:after="80" w:before="80" w:line="300" w:lineRule="auto"/>
            </w:pPr>
            <w:r>
              <w:rPr>
                <w:b w:val="0"/>
                <w:sz w:val="18"/>
              </w:rPr>
              <w:t>사건 수, 지속시간(분), 집단별 중앙값·평균·범위, 최초 보고값 민감도</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가설 반박 조건</w:t>
            </w:r>
          </w:p>
        </w:tc>
        <w:tc>
          <w:tcPr>
            <w:tcW w:type="dxa" w:w="7370"/>
            <w:tcBorders>
              <w:top w:val="single" w:sz="4" w:color="D9D9D9"/>
              <w:left w:val="single" w:sz="4" w:color="D9D9D9"/>
              <w:bottom w:val="single" w:sz="4" w:color="D9D9D9"/>
              <w:right w:val="single" w:sz="4" w:color="D9D9D9"/>
            </w:tcBorders>
          </w:tcPr>
          <w:p>
            <w:pPr>
              <w:spacing w:after="80" w:before="80" w:line="300" w:lineRule="auto"/>
            </w:pPr>
            <w:r>
              <w:rPr>
                <w:b w:val="0"/>
                <w:sz w:val="18"/>
              </w:rPr>
              <w:t>변경 관련 집단의 중앙값이 인프라 관련 집단 이하이면 방향 가설 미지지</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통제 불가</w:t>
            </w:r>
          </w:p>
        </w:tc>
        <w:tc>
          <w:tcPr>
            <w:tcW w:type="dxa" w:w="7370"/>
            <w:tcBorders>
              <w:top w:val="single" w:sz="4" w:color="D9D9D9"/>
              <w:left w:val="single" w:sz="4" w:color="D9D9D9"/>
              <w:bottom w:val="single" w:sz="4" w:color="D9D9D9"/>
              <w:right w:val="single" w:sz="4" w:color="D9D9D9"/>
            </w:tcBorders>
          </w:tcPr>
          <w:p>
            <w:pPr>
              <w:spacing w:after="80" w:before="80" w:line="300" w:lineRule="auto"/>
            </w:pPr>
            <w:r>
              <w:rPr>
                <w:b w:val="0"/>
                <w:sz w:val="18"/>
              </w:rPr>
              <w:t>심각도, 이용자 수, 담당자, 서비스 구조, 실제 중간 네트워크 경로</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반복의 의미</w:t>
            </w:r>
          </w:p>
        </w:tc>
        <w:tc>
          <w:tcPr>
            <w:tcW w:type="dxa" w:w="7370"/>
            <w:tcBorders>
              <w:top w:val="single" w:sz="4" w:color="D9D9D9"/>
              <w:left w:val="single" w:sz="4" w:color="D9D9D9"/>
              <w:bottom w:val="single" w:sz="4" w:color="D9D9D9"/>
              <w:right w:val="single" w:sz="4" w:color="D9D9D9"/>
            </w:tcBorders>
          </w:tcPr>
          <w:p>
            <w:pPr>
              <w:spacing w:after="80" w:before="80" w:line="300" w:lineRule="auto"/>
            </w:pPr>
            <w:r>
              <w:rPr>
                <w:b w:val="0"/>
                <w:sz w:val="18"/>
              </w:rPr>
              <w:t>서로 다른 사건을 비교함. 프로그램 반복 실행을 독립 표본으로 세지 않음</w:t>
            </w:r>
          </w:p>
        </w:tc>
      </w:tr>
    </w:tbl>
    <w:p>
      <w:pPr>
        <w:spacing w:after="40"/>
      </w:pPr>
    </w:p>
    <w:p>
      <w:r>
        <w:t>원인별 시간 비교에서 변경 관련은 원문이 설정·배포·유지보수 변경을 원인으로 설명한 사건이다. 인프라 관련은 데이터센터 장애·디스크 불량·자원 할당 지연이 설명된 사건이다. 복구 중 재배포했다는 사실만으로 변경 관련으로 분류하지 않는다. 불확실 사건은 삭제하지 않고 정량 비교에서만 제외하였다. 분 단위 환산은 보고서 표제의 지속시간을 사용하며, 본문 시각 차이와 일치하지 않는 경우 그 불일치도 보존한다.</w:t>
      </w:r>
    </w:p>
    <w:p>
      <w:pPr>
        <w:pStyle w:val="Heading2"/>
      </w:pPr>
      <w:r>
        <w:t>분석과 재현</w:t>
      </w:r>
    </w:p>
    <w:p>
      <w:r>
        <w:t>질적 비교는 각 원문에서 추출한 사실을 공통 비교표에 배치하고, 복구 과정의 공통점과 차이를 대조하였다. 사례에서 관찰된 문제를 필요한 운영 점검 항목에 연결하되, 제안의 효과가 측정되었다고 해석하지 않았다. 주제 재구성 후 만들어진 비교표는 사후 탐색적 종합이며 새로운 사전등록 가설의 검증 결과가 아니다. 개선 요구의 전체 산업 내 발생 빈도는 산출하지 않았다.</w:t>
      </w:r>
    </w:p>
    <w:p>
      <w:r>
        <w:t>보조 분석은 변경 5건과 인프라 3건의 중앙값을 비교하였다. 최초 보고값을 사용하는 민감도 분석과 분류가 모호한 3월 31일 사건을 제외하는 사후 분석을 구분하였다. 분류 불확실 5건은 전체 표에 남겼다. 표본이 작고 시간 정의가 다르므로 유의성 검정·인과효과 추정·운영사 간 복구시간 순위는 수행하지 않았다.</w:t>
      </w:r>
    </w:p>
    <w:p>
      <w:r>
        <w:t>Python 3 표준 라이브러리로 전사 기록의 중복, 건수, 분류와 저장 계산값의 일치를 확인한다. 독립된 한 건의 기록 시험은 최초 전체 집계 후 수행되었으므로 사전 시험을 완료한 것으로 소급 표기하지 않는다. 문헌 열람, 추출, 분류와 초안에는 AI를 사용했으며 독립된 사람 분류자의 일치도는 측정하지 않았다. 사용자에게 확인되지 않은 해석을 사용자 본인의 판단으로 기재하지 않았다.</w:t>
      </w:r>
    </w:p>
    <w:p>
      <w:pPr>
        <w:pStyle w:val="Heading1"/>
      </w:pPr>
      <w:r>
        <w:t>결과</w:t>
      </w:r>
    </w:p>
    <w:p>
      <w:pPr>
        <w:pStyle w:val="Heading2"/>
      </w:pPr>
      <w:r>
        <w:t>공개 사례에서 확인한 복구 제약</w:t>
      </w:r>
    </w:p>
    <w:p>
      <w:pPr>
        <w:keepNext/>
      </w:pPr>
      <w:r>
        <w:t>표 2는 다중 운영사 7건의 사건별 비교이다. GitHub 13건의 원래 기록은 표 3과 재현 자료에 전부 남겼다. 아래 행은 한 사건이며, 항목들은 독립적인 실험 효과가 아니다.</w:t>
      </w:r>
    </w:p>
    <w:p>
      <w:pPr>
        <w:keepNext/>
      </w:pPr>
      <w:r>
        <w:t>표 2. 공식 보고서의 복구 제약과 개선 요구</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2268"/>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사례·출처</w:t>
            </w:r>
          </w:p>
        </w:tc>
        <w:tc>
          <w:tcPr>
            <w:tcW w:type="dxa" w:w="3685"/>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원문에서 확인한 사실</w:t>
            </w:r>
          </w:p>
        </w:tc>
        <w:tc>
          <w:tcPr>
            <w:tcW w:type="dxa" w:w="3685"/>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이번 연구에서 도출한 개선 요구</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Cloudflare 2022 [9]</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BGP 정책 변경 이후 장애. 되돌리기 과정에서 작업이 충돌함</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변경 이력과 조치 담당자를 연결하고 동시 작업을 조정</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Cloudflare 2023 [10]</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전원 장애가 제어·분석 기능에 영향. 일부 재해복구가 지연됨</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주 서비스와 운영 기능의 의존성·대체 복구 경로 점검</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Google Cloud 2019 [11]</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네트워크 혼잡이 진단·복구 도구에도 영향을 줌</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사용자 통신과 관리 통신의 공통 의존성 확인</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Azure 2023 [12]</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전원·냉각 사건 후 저장·DB 의존성에 따라 회복이 지연됨</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시설·데이터·응용의 회복 종점을 별도 판정</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GitLab 2017 [13]</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DB 데이터 실수 삭제 이후 백업 실패와 복원 제약이 드러남</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백업 성공 확인과 실제 복원 시험을 분리하여 기록</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Meta 2021 [14]</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백본 장애가 DNS·내부 도구·원격 접근에도 영향</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DNS·관리 접근·현장 접근을 포함한 대체 복구 절차 점검</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카카오 2022 [15]</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운영 도구 이중화와 가용 자원 등 미흡 사항을 조사·발표함</w:t>
            </w:r>
          </w:p>
        </w:tc>
        <w:tc>
          <w:tcPr>
            <w:tcW w:type="dxa" w:w="3685"/>
            <w:tcBorders>
              <w:top w:val="single" w:sz="4" w:color="D9D9D9"/>
              <w:left w:val="single" w:sz="4" w:color="D9D9D9"/>
              <w:bottom w:val="single" w:sz="4" w:color="D9D9D9"/>
              <w:right w:val="single" w:sz="4" w:color="D9D9D9"/>
            </w:tcBorders>
          </w:tcPr>
          <w:p>
            <w:pPr>
              <w:spacing w:after="80" w:before="80" w:line="300" w:lineRule="auto"/>
            </w:pPr>
            <w:r>
              <w:rPr>
                <w:b w:val="0"/>
                <w:sz w:val="18"/>
              </w:rPr>
              <w:t>데이터센터·플랫폼·운영 도구의 복구 범위를 함께 확인</w:t>
            </w:r>
          </w:p>
        </w:tc>
      </w:tr>
    </w:tbl>
    <w:p>
      <w:pPr>
        <w:spacing w:after="40"/>
      </w:pPr>
    </w:p>
    <w:p>
      <w:r>
        <w:t>첫째, 주 서비스에 장애가 발생했을 때 진단과 복구 수단도 함께 영향을 받을 수 있었다. Google Cloud와 Meta는 관리·진단에 사용하는 기능이 장애와 의존성을 공유할 수 있음을 보여준다[11,14]. Cloudflare의 제어·분석 기능 사례도 서비스 제공 경로와 운영 기능의 복구 범위를 별도로 살펴볼 필요를 제기한다[10]. 모든 사례에 동일한 메커니즘이 있었다는 뜻은 아니다.</w:t>
      </w:r>
    </w:p>
    <w:p>
      <w:r>
        <w:t>둘째, 백업이나 이중화가 존재한다는 설명과 실제 복구 가능성은 구분해야 했다. GitLab의 사건은 복원 과정에서 확인된 제약을 구체적으로 보여준다[13]. 카카오 자료는 운영사가 발표한 원인 조사와 개선 계획으로서 이중화 범위를 검토할 근거이나, 계획을 실행한 효과의 측정 자료는 아니다[15].</w:t>
      </w:r>
    </w:p>
    <w:p>
      <w:r>
        <w:t>셋째, 하나의 장애 종료 시각으로 모든 기능의 회복을 표현하기 어려웠다. Azure는 대부분의 서비스 회복 이후에도 일부 의존 서비스의 영향이 남았다고 기술하였다[12]. Cloudflare 2022의 전체 데이터센터 복구와 사건 종료 선언도 구분된다[9]. 따라서 전원 복원, 일부 완화, 핵심 기능 회복과 완전 종료를 섞어 운영사 간 지속시간을 비교하지 않았다.</w:t>
      </w:r>
    </w:p>
    <w:p>
      <w:pPr>
        <w:pStyle w:val="Heading2"/>
      </w:pPr>
      <w:r>
        <w:t>기존 가설의 보조 검토</w:t>
      </w:r>
    </w:p>
    <w:p>
      <w:pPr>
        <w:keepNext/>
      </w:pPr>
      <w:r>
        <w:t>표 3. GitHub 사건 전체와 원래 분류</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268"/>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사건일</w:t>
            </w:r>
          </w:p>
        </w:tc>
        <w:tc>
          <w:tcPr>
            <w:tcW w:type="dxa" w:w="2381"/>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서비스</w:t>
            </w:r>
          </w:p>
        </w:tc>
        <w:tc>
          <w:tcPr>
            <w:tcW w:type="dxa" w:w="2608"/>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지속시간(분)</w:t>
            </w:r>
          </w:p>
        </w:tc>
        <w:tc>
          <w:tcPr>
            <w:tcW w:type="dxa" w:w="2381"/>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원인 집단</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2023-02-07</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Codespaces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1235</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인프라</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2023-02-18</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GitHub.com 등</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146</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불확실</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2023-02-28</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Codespaces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86</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인프라</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2023-03-01</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Packages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186</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인프라</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2023-03-02</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Actions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138</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변경</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2023-03-15</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Packages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80</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변경</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2023-03-27</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복수 서비스</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93</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변경</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2023-03-29</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Actions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297</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불확실</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2023-03-31</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Pull requests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120</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변경</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2023-04-18</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Issues/Pull requests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11</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변경</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2023-04-26</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Copilot</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64</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불확실</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2023-04-27</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Packages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57</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불확실</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2023-04-28</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Codespaces</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19</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불확실</w:t>
            </w:r>
          </w:p>
        </w:tc>
      </w:tr>
    </w:tbl>
    <w:p>
      <w:pPr>
        <w:spacing w:after="40"/>
      </w:pPr>
    </w:p>
    <w:p>
      <w:r>
        <w:t>자료: GitHub 가용성 보고서[4-6]에서 추출. 사건별 근거 위치는 raw_records.json, 분류 이유는 coding.json에 보존하였다.</w:t>
      </w:r>
    </w:p>
    <w:p>
      <w:pPr>
        <w:keepNext/>
      </w:pPr>
      <w:r>
        <w:t>표 4. 원인 집단별 보고된 지속시간</w:t>
      </w:r>
    </w:p>
    <w:tbl>
      <w:tblPr>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268"/>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집단</w:t>
            </w:r>
          </w:p>
        </w:tc>
        <w:tc>
          <w:tcPr>
            <w:tcW w:type="dxa" w:w="1134"/>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건수</w:t>
            </w:r>
          </w:p>
        </w:tc>
        <w:tc>
          <w:tcPr>
            <w:tcW w:type="dxa" w:w="1701"/>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중앙값(분)</w:t>
            </w:r>
          </w:p>
        </w:tc>
        <w:tc>
          <w:tcPr>
            <w:tcW w:type="dxa" w:w="1701"/>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평균(분)</w:t>
            </w:r>
          </w:p>
        </w:tc>
        <w:tc>
          <w:tcPr>
            <w:tcW w:type="dxa" w:w="2835"/>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범위(분)</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변경</w:t>
            </w:r>
          </w:p>
        </w:tc>
        <w:tc>
          <w:tcPr>
            <w:tcW w:type="dxa" w:w="1134"/>
            <w:tcBorders>
              <w:top w:val="single" w:sz="4" w:color="D9D9D9"/>
              <w:left w:val="single" w:sz="4" w:color="D9D9D9"/>
              <w:bottom w:val="single" w:sz="4" w:color="D9D9D9"/>
              <w:right w:val="single" w:sz="4" w:color="D9D9D9"/>
            </w:tcBorders>
          </w:tcPr>
          <w:p>
            <w:pPr>
              <w:spacing w:after="80" w:before="80" w:line="300" w:lineRule="auto"/>
            </w:pPr>
            <w:r>
              <w:rPr>
                <w:b w:val="0"/>
                <w:sz w:val="18"/>
              </w:rPr>
              <w:t>5</w:t>
            </w:r>
          </w:p>
        </w:tc>
        <w:tc>
          <w:tcPr>
            <w:tcW w:type="dxa" w:w="1701"/>
            <w:tcBorders>
              <w:top w:val="single" w:sz="4" w:color="D9D9D9"/>
              <w:left w:val="single" w:sz="4" w:color="D9D9D9"/>
              <w:bottom w:val="single" w:sz="4" w:color="D9D9D9"/>
              <w:right w:val="single" w:sz="4" w:color="D9D9D9"/>
            </w:tcBorders>
          </w:tcPr>
          <w:p>
            <w:pPr>
              <w:spacing w:after="80" w:before="80" w:line="300" w:lineRule="auto"/>
            </w:pPr>
            <w:r>
              <w:rPr>
                <w:b w:val="0"/>
                <w:sz w:val="18"/>
              </w:rPr>
              <w:t>93</w:t>
            </w:r>
          </w:p>
        </w:tc>
        <w:tc>
          <w:tcPr>
            <w:tcW w:type="dxa" w:w="1701"/>
            <w:tcBorders>
              <w:top w:val="single" w:sz="4" w:color="D9D9D9"/>
              <w:left w:val="single" w:sz="4" w:color="D9D9D9"/>
              <w:bottom w:val="single" w:sz="4" w:color="D9D9D9"/>
              <w:right w:val="single" w:sz="4" w:color="D9D9D9"/>
            </w:tcBorders>
          </w:tcPr>
          <w:p>
            <w:pPr>
              <w:spacing w:after="80" w:before="80" w:line="300" w:lineRule="auto"/>
            </w:pPr>
            <w:r>
              <w:rPr>
                <w:b w:val="0"/>
                <w:sz w:val="18"/>
              </w:rPr>
              <w:t>88.4</w:t>
            </w:r>
          </w:p>
        </w:tc>
        <w:tc>
          <w:tcPr>
            <w:tcW w:type="dxa" w:w="2835"/>
            <w:tcBorders>
              <w:top w:val="single" w:sz="4" w:color="D9D9D9"/>
              <w:left w:val="single" w:sz="4" w:color="D9D9D9"/>
              <w:bottom w:val="single" w:sz="4" w:color="D9D9D9"/>
              <w:right w:val="single" w:sz="4" w:color="D9D9D9"/>
            </w:tcBorders>
          </w:tcPr>
          <w:p>
            <w:pPr>
              <w:spacing w:after="80" w:before="80" w:line="300" w:lineRule="auto"/>
            </w:pPr>
            <w:r>
              <w:rPr>
                <w:b w:val="0"/>
                <w:sz w:val="18"/>
              </w:rPr>
              <w:t>11-138</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인프라</w:t>
            </w:r>
          </w:p>
        </w:tc>
        <w:tc>
          <w:tcPr>
            <w:tcW w:type="dxa" w:w="1134"/>
            <w:tcBorders>
              <w:top w:val="single" w:sz="4" w:color="D9D9D9"/>
              <w:left w:val="single" w:sz="4" w:color="D9D9D9"/>
              <w:bottom w:val="single" w:sz="4" w:color="D9D9D9"/>
              <w:right w:val="single" w:sz="4" w:color="D9D9D9"/>
            </w:tcBorders>
          </w:tcPr>
          <w:p>
            <w:pPr>
              <w:spacing w:after="80" w:before="80" w:line="300" w:lineRule="auto"/>
            </w:pPr>
            <w:r>
              <w:rPr>
                <w:b w:val="0"/>
                <w:sz w:val="18"/>
              </w:rPr>
              <w:t>3</w:t>
            </w:r>
          </w:p>
        </w:tc>
        <w:tc>
          <w:tcPr>
            <w:tcW w:type="dxa" w:w="1701"/>
            <w:tcBorders>
              <w:top w:val="single" w:sz="4" w:color="D9D9D9"/>
              <w:left w:val="single" w:sz="4" w:color="D9D9D9"/>
              <w:bottom w:val="single" w:sz="4" w:color="D9D9D9"/>
              <w:right w:val="single" w:sz="4" w:color="D9D9D9"/>
            </w:tcBorders>
          </w:tcPr>
          <w:p>
            <w:pPr>
              <w:spacing w:after="80" w:before="80" w:line="300" w:lineRule="auto"/>
            </w:pPr>
            <w:r>
              <w:rPr>
                <w:b w:val="0"/>
                <w:sz w:val="18"/>
              </w:rPr>
              <w:t>186</w:t>
            </w:r>
          </w:p>
        </w:tc>
        <w:tc>
          <w:tcPr>
            <w:tcW w:type="dxa" w:w="1701"/>
            <w:tcBorders>
              <w:top w:val="single" w:sz="4" w:color="D9D9D9"/>
              <w:left w:val="single" w:sz="4" w:color="D9D9D9"/>
              <w:bottom w:val="single" w:sz="4" w:color="D9D9D9"/>
              <w:right w:val="single" w:sz="4" w:color="D9D9D9"/>
            </w:tcBorders>
          </w:tcPr>
          <w:p>
            <w:pPr>
              <w:spacing w:after="80" w:before="80" w:line="300" w:lineRule="auto"/>
            </w:pPr>
            <w:r>
              <w:rPr>
                <w:b w:val="0"/>
                <w:sz w:val="18"/>
              </w:rPr>
              <w:t>502.3</w:t>
            </w:r>
          </w:p>
        </w:tc>
        <w:tc>
          <w:tcPr>
            <w:tcW w:type="dxa" w:w="2835"/>
            <w:tcBorders>
              <w:top w:val="single" w:sz="4" w:color="D9D9D9"/>
              <w:left w:val="single" w:sz="4" w:color="D9D9D9"/>
              <w:bottom w:val="single" w:sz="4" w:color="D9D9D9"/>
              <w:right w:val="single" w:sz="4" w:color="D9D9D9"/>
            </w:tcBorders>
          </w:tcPr>
          <w:p>
            <w:pPr>
              <w:spacing w:after="80" w:before="80" w:line="300" w:lineRule="auto"/>
            </w:pPr>
            <w:r>
              <w:rPr>
                <w:b w:val="0"/>
                <w:sz w:val="18"/>
              </w:rPr>
              <w:t>86-1235</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불확실</w:t>
            </w:r>
          </w:p>
        </w:tc>
        <w:tc>
          <w:tcPr>
            <w:tcW w:type="dxa" w:w="1134"/>
            <w:tcBorders>
              <w:top w:val="single" w:sz="4" w:color="D9D9D9"/>
              <w:left w:val="single" w:sz="4" w:color="D9D9D9"/>
              <w:bottom w:val="single" w:sz="4" w:color="D9D9D9"/>
              <w:right w:val="single" w:sz="4" w:color="D9D9D9"/>
            </w:tcBorders>
          </w:tcPr>
          <w:p>
            <w:pPr>
              <w:spacing w:after="80" w:before="80" w:line="300" w:lineRule="auto"/>
            </w:pPr>
            <w:r>
              <w:rPr>
                <w:b w:val="0"/>
                <w:sz w:val="18"/>
              </w:rPr>
              <w:t>5</w:t>
            </w:r>
          </w:p>
        </w:tc>
        <w:tc>
          <w:tcPr>
            <w:tcW w:type="dxa" w:w="1701"/>
            <w:tcBorders>
              <w:top w:val="single" w:sz="4" w:color="D9D9D9"/>
              <w:left w:val="single" w:sz="4" w:color="D9D9D9"/>
              <w:bottom w:val="single" w:sz="4" w:color="D9D9D9"/>
              <w:right w:val="single" w:sz="4" w:color="D9D9D9"/>
            </w:tcBorders>
          </w:tcPr>
          <w:p>
            <w:pPr>
              <w:spacing w:after="80" w:before="80" w:line="300" w:lineRule="auto"/>
            </w:pPr>
            <w:r>
              <w:rPr>
                <w:b w:val="0"/>
                <w:sz w:val="18"/>
              </w:rPr>
              <w:t>64</w:t>
            </w:r>
          </w:p>
        </w:tc>
        <w:tc>
          <w:tcPr>
            <w:tcW w:type="dxa" w:w="1701"/>
            <w:tcBorders>
              <w:top w:val="single" w:sz="4" w:color="D9D9D9"/>
              <w:left w:val="single" w:sz="4" w:color="D9D9D9"/>
              <w:bottom w:val="single" w:sz="4" w:color="D9D9D9"/>
              <w:right w:val="single" w:sz="4" w:color="D9D9D9"/>
            </w:tcBorders>
          </w:tcPr>
          <w:p>
            <w:pPr>
              <w:spacing w:after="80" w:before="80" w:line="300" w:lineRule="auto"/>
            </w:pPr>
            <w:r>
              <w:rPr>
                <w:b w:val="0"/>
                <w:sz w:val="18"/>
              </w:rPr>
              <w:t>116.6</w:t>
            </w:r>
          </w:p>
        </w:tc>
        <w:tc>
          <w:tcPr>
            <w:tcW w:type="dxa" w:w="2835"/>
            <w:tcBorders>
              <w:top w:val="single" w:sz="4" w:color="D9D9D9"/>
              <w:left w:val="single" w:sz="4" w:color="D9D9D9"/>
              <w:bottom w:val="single" w:sz="4" w:color="D9D9D9"/>
              <w:right w:val="single" w:sz="4" w:color="D9D9D9"/>
            </w:tcBorders>
          </w:tcPr>
          <w:p>
            <w:pPr>
              <w:spacing w:after="80" w:before="80" w:line="300" w:lineRule="auto"/>
            </w:pPr>
            <w:r>
              <w:rPr>
                <w:b w:val="0"/>
                <w:sz w:val="18"/>
              </w:rPr>
              <w:t>19-297</w:t>
            </w:r>
          </w:p>
        </w:tc>
      </w:tr>
    </w:tbl>
    <w:p>
      <w:pPr>
        <w:spacing w:after="40"/>
      </w:pPr>
    </w:p>
    <w:p>
      <w:r>
        <w:t>변경 집단 관측값은 11, 80, 93, 120, 138분이고 인프라 집단은 86, 186, 1235분이다. 중앙값 차이(변경-인프라)는 -93분으로, 변경 관련 장애가 더 길다는 가설은 이 표본에서 지지되지 않았다. 반대 결과를 그대로 유지하였다. 인프라 집단의 장시간 사건은 평균에 영향을 주지만 중앙값에서도 방향이 같으므로 그 사건 하나만으로 결과를 설명할 수 없다.</w:t>
      </w:r>
    </w:p>
    <w:p>
      <w:r>
        <w:t>최초 보고값을 적용하면 변경 집단 중앙값은 80분, 인프라 집단은 186분이었다. 3월 31일 사건을 제외한 사후 분석에서 변경 집단 중앙값은 86.5분이었다. 방향은 유지되지만 비교 표본의 대표성이나 인과성이 확보되는 것은 아니다. 3월 29일 269→297분, 3월 31일 52→120분의 후속 보고 변경과 3월 27일 표제 93분·본문 시각 차이 63분의 불일치도 원기록에 보존하였다[5,6].</w:t>
      </w:r>
    </w:p>
    <w:p>
      <w:pPr>
        <w:pStyle w:val="Heading1"/>
      </w:pPr>
      <w:r>
        <w:t>논의</w:t>
      </w:r>
    </w:p>
    <w:p>
      <w:pPr>
        <w:pStyle w:val="Heading2"/>
      </w:pPr>
      <w:r>
        <w:t>사례 비교에서 개선 방안으로의 연결</w:t>
      </w:r>
    </w:p>
    <w:p>
      <w:r>
        <w:t>본 연구가 새로 제시하는 것은 장애 대응 기법의 발명이 아니라, 서로 다른 공개 사례에서 추출한 복구 제약을 운영자가 점검할 수 있는 항목으로 연결한 비교 틀이다. 원인별 시간의 보조 분석은 초기 예상의 한계를 보여주고, 질적 비교는 시간의 우열 대신 어떤 복구 조건을 확인할지 구체화한다. 두 결과는 서로 다른 질문에 답하므로 정량 비교가 아래 제안의 효과를 입증한다고 해석하지 않는다.</w:t>
      </w:r>
    </w:p>
    <w:p>
      <w:pPr>
        <w:keepNext/>
      </w:pPr>
      <w:r>
        <w:t>표 5. 근거와 연결한 개선 항목 및 향후 평가 방법</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268"/>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개선 항목</w:t>
            </w:r>
          </w:p>
        </w:tc>
        <w:tc>
          <w:tcPr>
            <w:tcW w:type="dxa" w:w="2381"/>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근거</w:t>
            </w:r>
          </w:p>
        </w:tc>
        <w:tc>
          <w:tcPr>
            <w:tcW w:type="dxa" w:w="2608"/>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운영 절차에 반영할 내용</w:t>
            </w:r>
          </w:p>
        </w:tc>
        <w:tc>
          <w:tcPr>
            <w:tcW w:type="dxa" w:w="2381"/>
            <w:tcBorders>
              <w:top w:val="single" w:sz="4" w:color="D9D9D9"/>
              <w:left w:val="single" w:sz="4" w:color="D9D9D9"/>
              <w:bottom w:val="single" w:sz="4" w:color="D9D9D9"/>
              <w:right w:val="single" w:sz="4" w:color="D9D9D9"/>
            </w:tcBorders>
            <w:shd w:fill="EDF3F7"/>
          </w:tcPr>
          <w:p>
            <w:pPr>
              <w:spacing w:after="80" w:before="80" w:line="300" w:lineRule="auto"/>
            </w:pPr>
            <w:r>
              <w:rPr>
                <w:b/>
                <w:sz w:val="18"/>
              </w:rPr>
              <w:t>도입 후 확인할 지표</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관리 접근 의존성 점검</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[10,11,14]</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주 경로 장애 시 DNS·관리 도구·접근 경로 사용 가능 여부 시험</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대체 접근 성공 여부·진단 시작까지 시간</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복원 가능성 검증</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[13,15]</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담당자·백업 확인·격리 복원 시험·데이터 무결성 확인 기록</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복원 성공 여부·누락 데이터·복원 소요시간</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조치의 충돌 방지</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[9] 및 GitHub 복구 기록[4]</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변경 담당자·동시 조치·되돌리기 조건·중단 기준 기록</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충돌한 조치 수·되돌리기 성공 여부</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line="300" w:lineRule="auto"/>
            </w:pPr>
            <w:r>
              <w:rPr>
                <w:b w:val="0"/>
                <w:sz w:val="18"/>
              </w:rPr>
              <w:t>단계별 회복 판정</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[9,10,12]와 [8]</w:t>
            </w:r>
          </w:p>
        </w:tc>
        <w:tc>
          <w:tcPr>
            <w:tcW w:type="dxa" w:w="2608"/>
            <w:tcBorders>
              <w:top w:val="single" w:sz="4" w:color="D9D9D9"/>
              <w:left w:val="single" w:sz="4" w:color="D9D9D9"/>
              <w:bottom w:val="single" w:sz="4" w:color="D9D9D9"/>
              <w:right w:val="single" w:sz="4" w:color="D9D9D9"/>
            </w:tcBorders>
          </w:tcPr>
          <w:p>
            <w:pPr>
              <w:spacing w:after="80" w:before="80" w:line="300" w:lineRule="auto"/>
            </w:pPr>
            <w:r>
              <w:rPr>
                <w:b w:val="0"/>
                <w:sz w:val="18"/>
              </w:rPr>
              <w:t>시설·DB·응용 기능별 회복과 실제 요청 성공 확인</w:t>
            </w:r>
          </w:p>
        </w:tc>
        <w:tc>
          <w:tcPr>
            <w:tcW w:type="dxa" w:w="2381"/>
            <w:tcBorders>
              <w:top w:val="single" w:sz="4" w:color="D9D9D9"/>
              <w:left w:val="single" w:sz="4" w:color="D9D9D9"/>
              <w:bottom w:val="single" w:sz="4" w:color="D9D9D9"/>
              <w:right w:val="single" w:sz="4" w:color="D9D9D9"/>
            </w:tcBorders>
          </w:tcPr>
          <w:p>
            <w:pPr>
              <w:spacing w:after="80" w:before="80" w:line="300" w:lineRule="auto"/>
            </w:pPr>
            <w:r>
              <w:rPr>
                <w:b w:val="0"/>
                <w:sz w:val="18"/>
              </w:rPr>
              <w:t>단계별 시각·요청 성공률·잔여 대기 작업</w:t>
            </w:r>
          </w:p>
        </w:tc>
      </w:tr>
    </w:tbl>
    <w:p>
      <w:pPr>
        <w:spacing w:after="40"/>
      </w:pPr>
    </w:p>
    <w:p>
      <w:pPr>
        <w:keepNext/>
      </w:pPr>
      <w:r>
        <w:t>표 5의 지표는 앞으로 실제 적용 시 평가할 항목이며 이번 연구에서 측정한 성과가 아니다. 예컨대 대체 관리 경로를 갖추는 것과 실제 장애에서 그 경로가 작동하는 것은 다르다. 백업 성공 알림도 복원 성공의 대체 지표로 사용할 수 없다. 실제로 어떤 장애를 가정해 어떤 기능을 확인할지 기록해야 제안의 효과를 후속 연구에서 검증할 수 있다.</w:t>
      </w:r>
    </w:p>
    <w:p>
      <w:pPr>
        <w:pStyle w:val="Heading2"/>
      </w:pPr>
      <w:r>
        <w:t>반대 결과와 대안 설명</w:t>
      </w:r>
    </w:p>
    <w:p>
      <w:r>
        <w:t>기존 가설과 반대인 결과에는 적어도 세 설명이 가능하다. 서비스 구성과 장애 범위의 차이, 복구 방법과 의존성의 차이, 원인 분류 및 시간 정의의 불완전성이다. 보고값 버전과 분류 모호함은 민감도 분석으로 일부 확인했으나, 이용자 수·부하·담당자 자료가 없어 앞의 설명을 분리 검증하지 못했다. 따라서 ‘인프라 장애가 본래 더 오래 걸린다’는 반대 방향의 보편 가설로 바꾸지 않는다.</w:t>
      </w:r>
    </w:p>
    <w:p>
      <w:r>
        <w:t>질적 비교 역시 모든 장애가 관리 도구 장애나 백업 실패로 설명되는 것은 아니다. Cloudflare 2022는 작업 조정, Azure는 단계별 의존성 복구, GitLab은 데이터 복원이라는 서로 다른 쟁점을 보여준다. 공통 항목으로 묶더라도 각 사례의 차이를 보존해야 한다. 공개 보고서에 특정 요인이 언급되지 않은 사건을 그 요인이 없는 대조군으로 삼지는 않았다.</w:t>
      </w:r>
    </w:p>
    <w:p>
      <w:pPr>
        <w:pStyle w:val="Heading1"/>
      </w:pPr>
      <w:r>
        <w:t>결론</w:t>
      </w:r>
    </w:p>
    <w:p>
      <w:r>
        <w:t>본 연구는 학술논문 5편과 7개 운영사의 공개 장애 사례 20건을 검토하여, 네트워크와 서버의 장애 대응에서 최초 원인뿐 아니라 복구 과정의 제약을 함께 살펴야 한다는 점을 정리하였다. 분석은 서로 다른 사건을 동일한 시간 지표로 강제 통합하기보다, 촉발 원인·복구 방해 요인·실제 조치·회복 판정을 구분하는 방식으로 수행하였다. 이를 통해 관리 접근 수단의 의존성, 백업의 실제 복원 가능성, 복구 조치의 충돌, 기능별 회복 종점이라는 대응 쟁점을 도출하였다.</w:t>
      </w:r>
    </w:p>
    <w:p>
      <w:r>
        <w:t>사례 비교에서는 네트워크 장애가 진단 도구와 관리 접근에도 영향을 주거나, 시설 복원 이후에도 데이터 및 응용 기능의 회복이 남는 상황을 확인하였다. 따라서 장애 대응의 개선 항목으로 대체 관리 접근의 사용 가능성 시험, 백업 복원과 데이터 무결성 확인, 조치 담당자와 중단 기준의 기록, 기능별 회복 시각과 요청 성공 확인을 제안하였다. 이 제안의 의미는 특정 도구의 도입을 일괄 권고하는 데 있지 않고, 각 운영 환경의 의존성과 복구 절차를 실제로 확인할 항목으로 구체화한 데 있다. 이미 알려진 장애 대응 원칙을 새로운 기술로 주장하지 않고, 공개 사례의 근거와 점검 항목을 추적 가능하게 연결하였다.</w:t>
      </w:r>
    </w:p>
    <w:p>
      <w:r>
        <w:t>기존 가설의 보조 분석에서 변경 관련 장애 5건과 인프라 관련 장애 3건의 보고된 지속시간 중앙값은 각각 93분과 186분이었다. 변경 관련 장애가 더 오래 지속된다는 가설은 이 표본에서 지지되지 않았다. 최초 보고값을 적용하거나 분류가 모호한 사건을 제외해도 비교 방향은 같았지만, 이 결과를 인프라 장애가 일반적으로 더 오래 지속된다는 법칙으로 바꾸어 해석할 수는 없다. 원인 유형만으로 복구 우선순위를 결정하기보다 서비스 구조와 복원 조건을 함께 검토해야 한다는 제한적인 시사점으로 받아들여야 한다.</w:t>
      </w:r>
    </w:p>
    <w:p>
      <w:r>
        <w:t>이 결론의 적용 범위에는 한계가 있다. 공식 보고서는 운영사가 선택해 공개한 설명이며 내부 로그 전체를 대체하지 않는다. 추가 사례는 목적 표집이고 문서의 상세 수준도 달라 산업 전체를 대표하지 않으며, 정량 비교는 한 운영사의 3개월 중 비교 가능한 8건에 한정된다. 사건 전체가 20건이라는 사실이 이 정량 표본의 한계를 해소하지는 않는다. 또한 독립된 사람 분류자의 검토와 원문 전문 보존이 없고, 한글 학술논문은 1편이어서 전사·해석 오류와 문헌 범위의 제약이 남는다. 따라서 본 연구는 복구시간 단축의 인과효과나 제안의 실제 도입 성과를 입증한 것으로 볼 수 없다.</w:t>
      </w:r>
    </w:p>
    <w:p>
      <w:r>
        <w:t>후속 연구에서는 비교 범위를 사전에 정하고, 동일한 서비스 영향 수준과 시간 정의를 적용한 기록을 확보할 필요가 있다. 복수 검토자가 사례 분류를 대조하고, 관리 접근 성공 여부·복원 성공 여부·기능별 회복 시각을 실제 운영 훈련에서 측정한다면 제안의 적절성을 더 구체적으로 평가할 수 있다. 본 연구는 그 평가에 앞서 공개 문헌과 장애 보고서에서 확인한 문제를 점검 절차로 연결한 기초 사례 연구로 의의를 갖는다.</w:t>
      </w:r>
    </w:p>
    <w:p>
      <w:r>
        <w:br w:type="page"/>
      </w:r>
    </w:p>
    <w:p>
      <w:pPr>
        <w:pStyle w:val="Heading1"/>
      </w:pPr>
      <w:r>
        <w:t>참고문헌</w:t>
      </w:r>
    </w:p>
    <w:p>
      <w:pPr>
        <w:spacing w:line="288" w:lineRule="auto"/>
      </w:pPr>
      <w:r>
        <w:rPr>
          <w:sz w:val="18"/>
        </w:rPr>
        <w:t>[1] 발행처 한국산학기술학회. (2024). 클라우드 환경에서 메트릭 로그와 머신러닝을 이용한 지능형 장애 탐지 모델 고찰. *한국산학기술학회논문지*, 25(1), 773–779. https://www.kais99.org/jkais/journal/Vol25No01/vol25no01p87.pdf</w:t>
      </w:r>
    </w:p>
    <w:p>
      <w:pPr>
        <w:spacing w:line="288" w:lineRule="auto"/>
      </w:pPr>
      <w:r>
        <w:rPr>
          <w:sz w:val="18"/>
        </w:rPr>
        <w:t>[2] 발행처 USENIX. (2003). Why Do Internet Services Fail, and What Can Be Done About It? *Proceedings of USITS ’03*, 1–16. USENIX. https://www.usenix.org/ (문헌 제목으로 원문 검색)</w:t>
      </w:r>
    </w:p>
    <w:p>
      <w:pPr>
        <w:spacing w:line="288" w:lineRule="auto"/>
      </w:pPr>
      <w:r>
        <w:rPr>
          <w:sz w:val="18"/>
        </w:rPr>
        <w:t>[3] 발행처 ACM. (2011). Understanding Network Failures in Data Centers: Measurement, Analysis, and Implications. *Proceedings of ACM SIGCOMM ’11*. ACM. https://www.microsoft.com/en-us/research/publication/understanding-network-failures-data-centers-measurement-analysis-implications/</w:t>
      </w:r>
    </w:p>
    <w:p>
      <w:pPr>
        <w:spacing w:line="288" w:lineRule="auto"/>
      </w:pPr>
      <w:r>
        <w:rPr>
          <w:sz w:val="18"/>
        </w:rPr>
        <w:t>[4] 발행처 GitHub. (2023, March 1; updated March 7). GitHub Availability Report: February 2023. *The GitHub Blog*. https://github.blog/news-insights/company-news/github-availability-report-february-2023/</w:t>
      </w:r>
    </w:p>
    <w:p>
      <w:pPr>
        <w:spacing w:line="288" w:lineRule="auto"/>
      </w:pPr>
      <w:r>
        <w:rPr>
          <w:sz w:val="18"/>
        </w:rPr>
        <w:t>[5] 발행처 GitHub. (2023, April 5). GitHub Availability Report: March 2023. *The GitHub Blog*. https://github.blog/news-insights/company-news/github-availability-report-march-2023/</w:t>
      </w:r>
    </w:p>
    <w:p>
      <w:pPr>
        <w:spacing w:line="288" w:lineRule="auto"/>
      </w:pPr>
      <w:r>
        <w:rPr>
          <w:sz w:val="18"/>
        </w:rPr>
        <w:t>[6] 발행처 GitHub. (2023, May 3). GitHub Availability Report: April 2023. *The GitHub Blog*. https://github.blog/news-insights/company-news/github-availability-report-april-2023/</w:t>
      </w:r>
    </w:p>
    <w:p>
      <w:pPr>
        <w:spacing w:line="288" w:lineRule="auto"/>
      </w:pPr>
      <w:r>
        <w:rPr>
          <w:sz w:val="18"/>
        </w:rPr>
        <w:t>[7] 발행처 USENIX. (2014). Simple Testing Can Prevent Most Critical Failures: An Analysis of Production Failures in Distributed Data-Intensive Systems. *Proceedings of OSDI ’14*, 249–265. USENIX. https://www.usenix.org/ (문헌 제목으로 원문 검색)</w:t>
      </w:r>
    </w:p>
    <w:p>
      <w:pPr>
        <w:spacing w:line="288" w:lineRule="auto"/>
      </w:pPr>
      <w:r>
        <w:rPr>
          <w:sz w:val="18"/>
        </w:rPr>
        <w:t>[8] 발행처 ACM. (2017). Gray Failure: The Achilles’ Heel of Cloud-Scale Systems. *Proceedings of HotOS ’17*. ACM. https://www.microsoft.com/en-us/research/wp-content/uploads/2017/06/paper-1.pdf</w:t>
      </w:r>
    </w:p>
    <w:p>
      <w:pPr>
        <w:spacing w:line="288" w:lineRule="auto"/>
      </w:pPr>
      <w:r>
        <w:rPr>
          <w:sz w:val="18"/>
        </w:rPr>
        <w:t>[9] 발행처 Cloudflare. (2022-06-21). Cloudflare outage on June 21, 2022. Cloudflare 공식 공개 자료. https://blog.cloudflare.com/cloudflare-outage-on-june-21-2022/ (열람일: 2026-10-29).</w:t>
      </w:r>
    </w:p>
    <w:p>
      <w:pPr>
        <w:spacing w:line="288" w:lineRule="auto"/>
      </w:pPr>
      <w:r>
        <w:rPr>
          <w:sz w:val="18"/>
        </w:rPr>
        <w:t>[10] 발행처 Cloudflare. (2023-11-04). Post mortem on the Cloudflare Control Plane and Analytics Outage. Cloudflare 공식 공개 자료. https://blog.cloudflare.com/post-mortem-on-cloudflare-control-plane-and-analytics-outage/ (열람일: 2026-10-29).</w:t>
      </w:r>
    </w:p>
    <w:p>
      <w:pPr>
        <w:spacing w:line="288" w:lineRule="auto"/>
      </w:pPr>
      <w:r>
        <w:rPr>
          <w:sz w:val="18"/>
        </w:rPr>
        <w:t>[11] Google Cloud. (2019-06-06). The network congestion issue in eastern USA, affecting Google Cloud, G Suite, and YouTube. Google Cloud 공식 공개 자료. https://status.cloud.google.com/incidents/Nm7HSYZu9RqCY2HXRQQf (열람일: 2026-10-29).</w:t>
      </w:r>
    </w:p>
    <w:p>
      <w:pPr>
        <w:spacing w:line="288" w:lineRule="auto"/>
      </w:pPr>
      <w:r>
        <w:rPr>
          <w:sz w:val="18"/>
        </w:rPr>
        <w:t>[12] Microsoft Azure. (2023-08-30 (사건 표기일; 최종 수정일 미표시)). Post Incident Review (PIR) - Services impacted after power/cooling issue - Australia East. Microsoft Azure 공식 공개 자료. https://azure.status.microsoft/en-us/status/history/?trackingId=VVTQ-J98 (열람일: 2026-10-29).</w:t>
      </w:r>
    </w:p>
    <w:p>
      <w:pPr>
        <w:spacing w:line="288" w:lineRule="auto"/>
      </w:pPr>
      <w:r>
        <w:rPr>
          <w:sz w:val="18"/>
        </w:rPr>
        <w:t>[13] GitLab. (2017-02-10). Postmortem of database outage of January 31. GitLab 공식 공개 자료. https://about.gitlab.com/blog/postmortem-of-database-outage-of-january-31/ (열람일: 2026-10-29).</w:t>
      </w:r>
    </w:p>
    <w:p>
      <w:pPr>
        <w:spacing w:line="288" w:lineRule="auto"/>
      </w:pPr>
      <w:r>
        <w:rPr>
          <w:sz w:val="18"/>
        </w:rPr>
        <w:t>[14] Meta Engineering. (2021-10-05). More details about the October 4 outage. Meta 공식 공개 자료. https://engineering.fb.com/2021/10/05/networking-traffic/outage-details/ (열람일: 2026-10-29).</w:t>
      </w:r>
    </w:p>
    <w:p>
      <w:pPr>
        <w:spacing w:line="288" w:lineRule="auto"/>
      </w:pPr>
      <w:r>
        <w:rPr>
          <w:sz w:val="18"/>
        </w:rPr>
        <w:t>[15] 카카오. (2022-12-07). 카카오, 개발자 컨퍼런스 'if (kakao) dev 2022’에서 서비스 장애 재발방지 대책 발표. 카카오 공식 공개 자료. https://www.kakaocorp.com/page/detail/9843 (열람일: 2026-10-29).</w:t>
      </w:r>
    </w:p>
    <w:p>
      <w:r>
        <w:br w:type="page"/>
      </w:r>
    </w:p>
    <w:p>
      <w:pPr>
        <w:pStyle w:val="Heading1"/>
      </w:pPr>
      <w:r>
        <w:t>부록: 재현 방법</w:t>
      </w:r>
    </w:p>
    <w:p>
      <w:r>
        <w:t>동봉 ZIP의 reproduction 폴더에서 Python 3로 analyze.py --check, analyze.py, supplementary.py, verify_additional.py, compare_cases.py를 차례로 실행한다. 외부 패키지나 네트워크가 필요 없다. 13건의 시간 비교와 7건의 추가 기록이 확인되고 facts_matrix.csv에는 사건 20행이 생성되어야 한다. 보조 분석 중앙값은 93분과 186분이다. 문헌 해석은 SOURCE_MAP.md의 근거 위치와 원문을 대조한다. 이 절차는 계산과 전사 기록의 추적을 돕지만 독립적인 사람 검토를 대체하지 않는다.</w:t>
      </w:r>
    </w:p>
    <w:p>
      <w:pPr>
        <w:spacing w:before="160"/>
      </w:pPr>
      <w:r>
        <w:t>공개용 사본 안내: 개인 이름을 남기지 않기 위해 참고문헌의 개인 저자명은 생략하고 발행처·제목·연도를 유지했습니다. 이름이 포함된 원문 경로 두 곳은 기관 홈페이지로 표시했습니다. 문헌 번호와 연구 내용·분석 결과는 유지했습니다.</w:t>
      </w:r>
    </w:p>
    <w:sectPr w:rsidR="00FC693F" w:rsidRPr="0006063C" w:rsidSect="00034616">
      <w:footerReference w:type="default" r:id="rId9"/>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60" w:lineRule="auto"/>
      <w:jc w:val="center"/>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20" w:after="160" w:line="360" w:lineRule="auto"/>
      <w:jc w:val="center"/>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60" w:lineRule="auto"/>
      <w:contextualSpacing/>
      <w:jc w:val="center"/>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60"/>
    </w:pPr>
    <w:rPr>
      <w:rFonts w:ascii="맑은 고딕" w:hAnsi="맑은 고딕" w:eastAsia="맑은 고딕"/>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공개 장애 보고서 비교를 통한 네트워크와 서버 장애 대응의 개선 방안</dc:title>
  <dc:subject/>
  <dc:creator>우수민</dc:creator>
  <cp:keywords/>
  <dc:description/>
  <cp:lastModifiedBy>우수민</cp:lastModifiedBy>
  <cp:revision>1</cp:revision>
  <dcterms:created xsi:type="dcterms:W3CDTF">2013-12-23T23:15:00Z</dcterms:created>
  <dcterms:modified xsi:type="dcterms:W3CDTF">2013-12-23T23:15:00Z</dcterms:modified>
  <cp:category/>
</cp:coreProperties>
</file>