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spacing w:line="408" w:lineRule="auto"/>
        <w:jc w:val="center"/>
      </w:pPr>
      <w:r>
        <w:rPr>
          <w:rFonts w:ascii="맑은 고딕" w:hAnsi="맑은 고딕" w:eastAsia="맑은 고딕"/>
          <w:sz w:val="22"/>
        </w:rPr>
        <w:t>보이스피싱 공개 사례의 유형과 요구 행동 분석을 통한 상황별 대응 안내체계 구축 방안</w:t>
      </w:r>
    </w:p>
    <w:p/>
    <w:p>
      <w:pPr>
        <w:jc w:val="center"/>
      </w:pPr>
      <w:r>
        <w:rPr>
          <w:rFonts w:ascii="맑은 고딕" w:hAnsi="맑은 고딕" w:eastAsia="맑은 고딕"/>
          <w:sz w:val="22"/>
        </w:rPr>
        <w:t>최근 공개된 주요 사례의 비교와 안내 누락 점검</w:t>
      </w:r>
    </w:p>
    <w:p/>
    <w:p/>
    <w:p/>
    <w:p/>
    <w:p/>
    <w:p>
      <w:pPr>
        <w:jc w:val="center"/>
      </w:pPr>
      <w:r>
        <w:rPr>
          <w:rFonts w:ascii="맑은 고딕" w:hAnsi="맑은 고딕" w:eastAsia="맑은 고딕"/>
          <w:sz w:val="22"/>
        </w:rPr>
        <w:t>작성자  우수민</w:t>
      </w:r>
    </w:p>
    <w:p>
      <w:pPr>
        <w:jc w:val="center"/>
      </w:pPr>
      <w:r>
        <w:rPr>
          <w:rFonts w:ascii="맑은 고딕" w:hAnsi="맑은 고딕" w:eastAsia="맑은 고딕"/>
          <w:sz w:val="22"/>
        </w:rPr>
        <w:t>작성일  2026년 11월 2일</w:t>
      </w:r>
    </w:p>
    <w:p>
      <w:r>
        <w:rPr>
          <w:rFonts w:ascii="맑은 고딕" w:hAnsi="맑은 고딕" w:eastAsia="맑은 고딕"/>
          <w:sz w:val="22"/>
        </w:rPr>
        <w:br w:type="page"/>
      </w:r>
    </w:p>
    <w:p>
      <w:pPr>
        <w:pStyle w:val="Heading1"/>
        <w:jc w:val="center"/>
      </w:pPr>
      <w:r>
        <w:rPr>
          <w:rFonts w:ascii="맑은 고딕" w:hAnsi="맑은 고딕" w:eastAsia="맑은 고딕"/>
          <w:sz w:val="22"/>
        </w:rPr>
        <w:t>초록</w:t>
      </w:r>
    </w:p>
    <w:p>
      <w:r>
        <w:rPr>
          <w:rFonts w:ascii="맑은 고딕" w:hAnsi="맑은 고딕" w:eastAsia="맑은 고딕"/>
          <w:sz w:val="22"/>
        </w:rPr>
        <w:t>보이스피싱 의심 상황에 맞는 안내체계를 마련하기 위해 2024~2025년 공식 공개 기록 10개를 분석했다. 유형별 공통 안내와 요구·실행 행동을 반영한 안내를 문서 기반 참조표로 비교했다. 필수 항목 36개 중 누락은 8개에서 1개로 줄었으나, 유형별 전체 안내를 제공하면 누락은 0개였다. 결과는 규칙 구성에 의존하며 실제 예방 효과를 뜻하지 않는다. 사례 학습과 실행 상태 확인, 공식 도움 연결을 분리하는 체계를 제안하고 해외 안내의 누락을 보완 과제로 제시한다.</w:t>
      </w:r>
    </w:p>
    <w:p>
      <w:r>
        <w:rPr>
          <w:rFonts w:ascii="맑은 고딕" w:hAnsi="맑은 고딕" w:eastAsia="맑은 고딕"/>
          <w:sz w:val="22"/>
        </w:rPr>
        <w:t>주제어  보이스피싱, 공개 사례 분석, 요구 행동, 대응 안내, 정보보안</w:t>
      </w:r>
    </w:p>
    <w:p>
      <w:pPr>
        <w:pStyle w:val="Heading1"/>
        <w:jc w:val="center"/>
      </w:pPr>
      <w:r>
        <w:rPr>
          <w:rFonts w:ascii="맑은 고딕" w:hAnsi="맑은 고딕" w:eastAsia="맑은 고딕"/>
          <w:sz w:val="22"/>
        </w:rPr>
        <w:t>서론</w:t>
      </w:r>
    </w:p>
    <w:p>
      <w:r>
        <w:rPr>
          <w:rFonts w:ascii="맑은 고딕" w:hAnsi="맑은 고딕" w:eastAsia="맑은 고딕"/>
          <w:sz w:val="22"/>
        </w:rPr>
        <w:t>보이스피싱이 의심될 때 필요한 것은 범죄 유형의 이름을 아는 것뿐 아니라 지금 해야 할 행동을 찾는 일이다. 법원을 사칭한 연락이라도 링크를 받기만 한 상황, 개인정보를 전달한 상황, 앱을 설치한 상황은 같지 않다. 따라서 사례를 기관명으로만 묶으면 상황의 차이가 안내에서 사라질 수 있다.</w:t>
      </w:r>
    </w:p>
    <w:p>
      <w:r>
        <w:rPr>
          <w:rFonts w:ascii="맑은 고딕" w:hAnsi="맑은 고딕" w:eastAsia="맑은 고딕"/>
          <w:sz w:val="22"/>
        </w:rPr>
        <w:t>본 연구의 관심 분야는 IT 정보보안과 이용자 보호이다. 공식 기관이 공개한 사례·수법에서 공통점과 차이를 찾고, 이를 상황별 대응 안내체계로 연결하는 것을 목적으로 한다. 연구에서 보이스피싱은 전화뿐 아니라 문자·메신저·종이 안내에서 전화로 이어지는 관련 사칭 수법까지 포함한다. 명칭이 비슷하다는 이유로 투자사기 등 다른 범죄를 모두 합치지는 않는다.</w:t>
      </w:r>
    </w:p>
    <w:p>
      <w:r>
        <w:rPr>
          <w:rFonts w:ascii="맑은 고딕" w:hAnsi="맑은 고딕" w:eastAsia="맑은 고딕"/>
          <w:sz w:val="22"/>
        </w:rPr>
        <w:t>연구 질문은 “사칭 유형과 함께 요구 행동 및 이미 실행한 행동을 반영하면 필요한 안내의 누락을 줄일 수 있는가”이다. 공개 기록을 분석하고, 안내 규칙을 구성한 뒤, 같은 기록에 적용하여 문서에 근거한 항목이 빠지는지 점검한다. 실제 이용자의 이해도나 피해 감소를 검증하는 연구와는 구분한다.</w:t>
      </w:r>
    </w:p>
    <w:p>
      <w:pPr>
        <w:pStyle w:val="Heading1"/>
        <w:jc w:val="center"/>
      </w:pPr>
      <w:r>
        <w:rPr>
          <w:rFonts w:ascii="맑은 고딕" w:hAnsi="맑은 고딕" w:eastAsia="맑은 고딕"/>
          <w:sz w:val="22"/>
        </w:rPr>
        <w:t>연구방법</w:t>
      </w:r>
    </w:p>
    <w:p>
      <w:pPr>
        <w:pStyle w:val="Heading2"/>
        <w:jc w:val="center"/>
      </w:pPr>
      <w:r>
        <w:rPr>
          <w:rFonts w:ascii="맑은 고딕" w:hAnsi="맑은 고딕" w:eastAsia="맑은 고딕"/>
          <w:sz w:val="22"/>
        </w:rPr>
        <w:t>자료와 분석 범위</w:t>
      </w:r>
    </w:p>
    <w:p>
      <w:r>
        <w:rPr>
          <w:rFonts w:ascii="맑은 고딕" w:hAnsi="맑은 고딕" w:eastAsia="맑은 고딕"/>
          <w:sz w:val="22"/>
        </w:rPr>
        <w:t>참고문헌은 2020년 이후 발표 자료로 제한했다. 사례는 2025년 공개 자료를 우선 선정하되, 상세한 진행 과정을 확인할 수 있는 경찰청의 2024년 재구성 자료 한 건을 보완적으로 포함했다. 수집일은 2026년 11월 2일이다. 학술자료는 분석 관점을 참고한 문헌이며 사례 표본은 아니다[1–4, 11].</w:t>
      </w:r>
    </w:p>
    <w:p>
      <w:r>
        <w:rPr>
          <w:rFonts w:ascii="맑은 고딕" w:hAnsi="맑은 고딕" w:eastAsia="맑은 고딕"/>
          <w:sz w:val="22"/>
        </w:rPr>
        <w:t>사법연수원의 예시 세 개, 재외공관의 사례 요약 다섯 개, 제주 농업기술원의 공통 수법 설명 한 개, 경찰청 자료의 접근·기망 단계 한 개를 합쳐 10개 기록을 분석했다[5–8]. 제주 자료의 피해 접수 3건은 개별 내용이 없어 한 기록으로 묶었다. 표본 수 10은 피해자 10명이나 독립 실험 10회를 뜻하지 않는다. 10개 기록은 네 문서에 묶여 있어 서로 독립적이지 않다.</w:t>
      </w:r>
    </w:p>
    <w:p>
      <w:r>
        <w:rPr>
          <w:rFonts w:ascii="맑은 고딕" w:hAnsi="맑은 고딕" w:eastAsia="맑은 고딕"/>
          <w:sz w:val="22"/>
        </w:rPr>
        <w:t>공개된 날짜와 사건 발생일을 구분했다. 사례별 사건 날짜가 없는 부분은 미상으로 두었다. 따라서 이 연구는 “최근 발생한 사건”이나 “유행 순위”가 아닌 “최근 공개된 주요 사례”를 다룬다. 경찰 피싱안심SOS의 2026년 최신 게시물은 목록에서 제목·날짜만 확인한 경우 상세 분석에 포함하지 않았다.</w:t>
      </w:r>
    </w:p>
    <w:p>
      <w:pPr>
        <w:pStyle w:val="Heading2"/>
        <w:jc w:val="center"/>
      </w:pPr>
      <w:r>
        <w:rPr>
          <w:rFonts w:ascii="맑은 고딕" w:hAnsi="맑은 고딕" w:eastAsia="맑은 고딕"/>
          <w:sz w:val="22"/>
        </w:rPr>
        <w:t>가설과 비교 설계</w:t>
      </w:r>
    </w:p>
    <w:p>
      <w:r>
        <w:rPr>
          <w:rFonts w:ascii="맑은 고딕" w:hAnsi="맑은 고딕" w:eastAsia="맑은 고딕"/>
          <w:sz w:val="22"/>
        </w:rPr>
        <w:t>최종 가설은 “사칭 유형만으로 안내하는 방식보다 요구 행동과 이미 실행한 행동을 함께 반영하는 방식이 공식 문서에 근거해 정한 필수 안내 항목의 누락을 줄인다”이다. 안내에 사용하는 정보가 비교 조건이고, 안내 항목의 누락 수와 누락률이 측정값이다. B의 합산 누락 수가 A보다 작으면 이 조건 안에서 가설을 지지하고, 같거나 크면 지지하지 않는다.</w:t>
      </w:r>
    </w:p>
    <w:tbl>
      <w:tblPr>
        <w:tblW w:type="auto" w:w="0"/>
        <w:jc w:val="center"/>
        <w:tblLayout w:type="fixed"/>
        <w:tblLook w:firstColumn="1" w:firstRow="1" w:lastColumn="0" w:lastRow="0" w:noHBand="0" w:noVBand="1" w:val="04A0"/>
      </w:tblPr>
      <w:tblGrid>
        <w:gridCol w:w="1587"/>
        <w:gridCol w:w="7824"/>
      </w:tblGrid>
      <w:tr>
        <w:trPr>
          <w:cantSplit/>
          <w:tblHeader/>
        </w:trPr>
        <w:tc>
          <w:tcPr>
            <w:tcW w:type="dxa" w:w="1587"/>
            <w:vAlign w:val="center"/>
            <w:tcBorders>
              <w:top w:val="single" w:sz="4" w:color="D9D9D9"/>
              <w:left w:val="single" w:sz="4" w:color="D9D9D9"/>
              <w:bottom w:val="single" w:sz="4" w:color="D9D9D9"/>
              <w:right w:val="single" w:sz="4" w:color="D9D9D9"/>
            </w:tcBorders>
            <w:shd w:fill="EAEAEA"/>
          </w:tcPr>
          <w:p>
            <w:pPr>
              <w:spacing w:line="288" w:lineRule="auto" w:before="80" w:after="80"/>
              <w:jc w:val="center"/>
            </w:pPr>
            <w:r>
              <w:rPr>
                <w:rFonts w:ascii="맑은 고딕" w:hAnsi="맑은 고딕" w:eastAsia="맑은 고딕"/>
                <w:b/>
                <w:sz w:val="22"/>
              </w:rPr>
              <w:t>구분</w:t>
            </w:r>
          </w:p>
        </w:tc>
        <w:tc>
          <w:tcPr>
            <w:tcW w:type="dxa" w:w="7824"/>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설정</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A 방식</w:t>
            </w:r>
          </w:p>
        </w:tc>
        <w:tc>
          <w:tcPr>
            <w:tcW w:type="dxa" w:w="782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유형별 간단한 공통 안내. 공공기관은 중단·공식 확인·정보 제공 주의, 재외공관은 여기에 현지 확인·신고를 추가</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B 방식</w:t>
            </w:r>
          </w:p>
        </w:tc>
        <w:tc>
          <w:tcPr>
            <w:tcW w:type="dxa" w:w="782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유형·요구 행동·확인된 실행 상태에 따라 필요한 항목을 선택. 실행 상태가 미상이면 피해 발생으로 단정하지 않음</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고정 조건</w:t>
            </w:r>
          </w:p>
        </w:tc>
        <w:tc>
          <w:tcPr>
            <w:tcW w:type="dxa" w:w="782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동일 사례 10개, 동일 안내 항목 사전, 동일 참조표. 각 사례에 두 방식을 한 번씩 적용</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측정값</w:t>
            </w:r>
          </w:p>
        </w:tc>
        <w:tc>
          <w:tcPr>
            <w:tcW w:type="dxa" w:w="782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필수 항목 중 빠진 항목 수·합산 누락률·참조표 밖 추가 항목 수</w:t>
            </w:r>
          </w:p>
        </w:tc>
      </w:tr>
      <w:tr>
        <w:trPr>
          <w:cantSplit/>
        </w:trPr>
        <w:tc>
          <w:tcPr>
            <w:tcW w:type="dxa" w:w="1587"/>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기준 변경 점검</w:t>
            </w:r>
          </w:p>
        </w:tc>
        <w:tc>
          <w:tcPr>
            <w:tcW w:type="dxa" w:w="782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유형별로 해당 유형의 모든 필수 항목을 합쳐 제공하는 넓은 안내와 비교</w:t>
            </w:r>
          </w:p>
        </w:tc>
      </w:tr>
    </w:tbl>
    <w:p>
      <w:pPr>
        <w:spacing w:after="0"/>
      </w:pPr>
    </w:p>
    <w:p>
      <w:r>
        <w:rPr>
          <w:rFonts w:ascii="맑은 고딕" w:hAnsi="맑은 고딕" w:eastAsia="맑은 고딕"/>
          <w:sz w:val="22"/>
        </w:rPr>
        <w:t>A는 본 연구가 만든 간단한 대조 규칙이며 경찰이나 금융기관이 실제 운영하는 안내의 성능을 뜻하지 않는다. B는 단순히 A에 항목을 모두 추가하는 방식이 아니라, 같은 항목 사전에서 확인된 정보에 따라 선택한다. 한편 해외 상황에는 국내 금융 절차를 자동 적용하지 않도록 적용 범위를 제한했다. 이 제한만으로 해외 대응 항목이 모두 제공되는 것은 아니다.</w:t>
      </w:r>
    </w:p>
    <w:p>
      <w:pPr>
        <w:pStyle w:val="Heading2"/>
        <w:jc w:val="center"/>
      </w:pPr>
      <w:r>
        <w:rPr>
          <w:rFonts w:ascii="맑은 고딕" w:hAnsi="맑은 고딕" w:eastAsia="맑은 고딕"/>
          <w:sz w:val="22"/>
        </w:rPr>
        <w:t>항목화와 실행 절차</w:t>
      </w:r>
    </w:p>
    <w:p>
      <w:r>
        <w:rPr>
          <w:rFonts w:ascii="맑은 고딕" w:hAnsi="맑은 고딕" w:eastAsia="맑은 고딕"/>
          <w:sz w:val="22"/>
        </w:rPr>
        <w:t>각 기록에서 사칭 대상, 요구 행동, 확인된 실행 상태를 분리했다. 미기재는 “하지 않음”이 아니라 미상이다. 일반 메신저 설치와 악성앱 설치도 구분했다. 금융위원회·금융감독원의 2026년 행동수칙과 최신 대응 안내를 규칙 구성에 사용하고, 개별 사례 문서의 주의사항을 함께 대조했다[5–10].</w:t>
      </w:r>
    </w:p>
    <w:p>
      <w:r>
        <w:rPr>
          <w:rFonts w:ascii="맑은 고딕" w:hAnsi="맑은 고딕" w:eastAsia="맑은 고딕"/>
          <w:sz w:val="22"/>
        </w:rPr>
        <w:t>필수 항목은 공식 문서에서 해당 상황에 연결되는 행동을 연구자가 항목화한 참조표이다. 자동 규칙의 결과로 정답을 만들지는 않았으나, 사례 추출·규칙 구성·참조표 작성에 대한 독립 검토가 없어 독립 평가로 볼 수 없다. 초록만 확인한 학술논문이나 기관 요약에서 세부 결과를 만들어 인용하지 않았다. 문헌별 실제 열람 범위는 재현 패키지에 표시했다.</w:t>
      </w:r>
    </w:p>
    <w:p>
      <w:r>
        <w:rPr>
          <w:rFonts w:ascii="맑은 고딕" w:hAnsi="맑은 고딕" w:eastAsia="맑은 고딕"/>
          <w:sz w:val="22"/>
        </w:rPr>
        <w:t>C01 한 건으로 출처 연결, 미상 처리와 누락 항목 기록을 시험한 뒤 전체를 계산했다. 자료 탐색 후 설계·분류·참조표를 파일로 정하고 실행했으며 사전등록은 하지 않았다. 실행 도중 규칙을 변경하지 않았다. 원기록, 해석 분류, 참조표와 실행 코드를 따로 저장하여 같은 계산을 반복할 수 있게 했다.</w:t>
      </w:r>
    </w:p>
    <w:p>
      <w:r>
        <w:rPr>
          <w:rFonts w:ascii="맑은 고딕" w:hAnsi="맑은 고딕" w:eastAsia="맑은 고딕"/>
          <w:sz w:val="22"/>
        </w:rPr>
        <w:t>누락 수는 필수 항목에서 제시 항목을 뺀 개수이다. 합산 누락률은 전체 누락 수를 전체 필수 항목 수로 나눈 값이며, 사례별 비율의 단순 평균과 다르다. 참조표 밖 추가 항목은 별도로 세되 이를 곧바로 오답이나 유해한 안내라고 판단하지 않는다. 독립성이 부족한 소규모 자료이므로 유의확률은 계산하지 않았다.</w:t>
      </w:r>
    </w:p>
    <w:p>
      <w:pPr>
        <w:pStyle w:val="Heading1"/>
        <w:jc w:val="center"/>
      </w:pPr>
      <w:r>
        <w:rPr>
          <w:rFonts w:ascii="맑은 고딕" w:hAnsi="맑은 고딕" w:eastAsia="맑은 고딕"/>
          <w:sz w:val="22"/>
        </w:rPr>
        <w:t>연구결과</w:t>
      </w:r>
    </w:p>
    <w:p>
      <w:pPr>
        <w:pStyle w:val="Heading2"/>
        <w:jc w:val="center"/>
      </w:pPr>
      <w:r>
        <w:rPr>
          <w:rFonts w:ascii="맑은 고딕" w:hAnsi="맑은 고딕" w:eastAsia="맑은 고딕"/>
          <w:sz w:val="22"/>
        </w:rPr>
        <w:t>최근 공개된 주요 사례</w:t>
      </w:r>
    </w:p>
    <w:tbl>
      <w:tblPr>
        <w:tblW w:type="auto" w:w="0"/>
        <w:jc w:val="center"/>
        <w:tblLayout w:type="fixed"/>
        <w:tblLook w:firstColumn="1" w:firstRow="1" w:lastColumn="0" w:lastRow="0" w:noHBand="0" w:noVBand="1" w:val="04A0"/>
      </w:tblPr>
      <w:tblGrid>
        <w:gridCol w:w="850"/>
        <w:gridCol w:w="6066"/>
        <w:gridCol w:w="2494"/>
      </w:tblGrid>
      <w:tr>
        <w:trPr>
          <w:cantSplit/>
          <w:tblHeader/>
        </w:trPr>
        <w:tc>
          <w:tcPr>
            <w:tcW w:type="dxa" w:w="850"/>
            <w:vAlign w:val="center"/>
            <w:tcBorders>
              <w:top w:val="single" w:sz="4" w:color="D9D9D9"/>
              <w:left w:val="single" w:sz="4" w:color="D9D9D9"/>
              <w:bottom w:val="single" w:sz="4" w:color="D9D9D9"/>
              <w:right w:val="single" w:sz="4" w:color="D9D9D9"/>
            </w:tcBorders>
            <w:shd w:fill="EAEAEA"/>
          </w:tcPr>
          <w:p>
            <w:pPr>
              <w:spacing w:line="288" w:lineRule="auto" w:before="80" w:after="80"/>
              <w:jc w:val="center"/>
            </w:pPr>
            <w:r>
              <w:rPr>
                <w:rFonts w:ascii="맑은 고딕" w:hAnsi="맑은 고딕" w:eastAsia="맑은 고딕"/>
                <w:b/>
                <w:sz w:val="22"/>
              </w:rPr>
              <w:t>기록</w:t>
            </w:r>
          </w:p>
        </w:tc>
        <w:tc>
          <w:tcPr>
            <w:tcW w:type="dxa" w:w="6066"/>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공개 내용과 요구 행동</w:t>
            </w:r>
          </w:p>
        </w:tc>
        <w:tc>
          <w:tcPr>
            <w:tcW w:type="dxa" w:w="2494"/>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실행 상태</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C01</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법원 등기 수령 확인 후 앱 설치 요구[5]</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C02</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등기 반송·불이익을 내세운 링크 접속 요구[5]</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C03</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종이 송달 안내의 번호로 회신하게 한 뒤 정보 요구[5]</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C04</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공관 사칭·여권 무효화 명목의 이메일 요구[6]</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C05</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대사관 사칭 후속 전화를 받고 지시를 따르라는 요구[6]</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C06</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기관 번호가 표시되는 영사관 사칭 후속 통화[6]</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C07</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영사콜센터 번호가 표시되는 총영사관 사칭 통화[6]</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C08</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세관·경찰 사칭, 메신저·여권 사진·금전 요구[6]</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메신저 설치·사진 전달·입금 기록</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C09</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납품 계약과 위조 공문을 이용한 선입금 요구[7]</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개별 상태 미상</w:t>
            </w:r>
          </w:p>
        </w:tc>
      </w:tr>
      <w:tr>
        <w:trPr>
          <w:cantSplit/>
        </w:trPr>
        <w:tc>
          <w:tcPr>
            <w:tcW w:type="dxa" w:w="850"/>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C10</w:t>
            </w:r>
          </w:p>
        </w:tc>
        <w:tc>
          <w:tcPr>
            <w:tcW w:type="dxa" w:w="6066"/>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카드 배송에서 가짜 고객센터·원격제어·사건조회로 연결[8]</w:t>
            </w:r>
          </w:p>
        </w:tc>
        <w:tc>
          <w:tcPr>
            <w:tcW w:type="dxa" w:w="249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악성앱 설치·인적사항 입력 기록</w:t>
            </w:r>
          </w:p>
        </w:tc>
      </w:tr>
    </w:tbl>
    <w:p>
      <w:pPr>
        <w:spacing w:after="0"/>
      </w:pPr>
    </w:p>
    <w:p>
      <w:r>
        <w:rPr>
          <w:rFonts w:ascii="맑은 고딕" w:hAnsi="맑은 고딕" w:eastAsia="맑은 고딕"/>
          <w:sz w:val="22"/>
        </w:rPr>
        <w:t>C01–C03은 하나의 법원 사칭 안에서도 요구 행동이 다르다. 종이 안내서로 시작하는 C03은 문자 붙여넣기만으로 상황을 설명하기 어려운 사례이다. C04–C07은 여권 무효화와 후속 기관 연락을 명분으로 삼으며, 실제 기관 번호처럼 보이는 표시가 신원을 보장하지 않음을 보여준다. C08은 정보와 금전, 통신 수단이 한 흐름에서 겹친다[5, 6].</w:t>
      </w:r>
    </w:p>
    <w:p>
      <w:r>
        <w:rPr>
          <w:rFonts w:ascii="맑은 고딕" w:hAnsi="맑은 고딕" w:eastAsia="맑은 고딕"/>
          <w:sz w:val="22"/>
        </w:rPr>
        <w:t>C09는 개인 소비자뿐 아니라 납품업체도 도움을 필요로 한다는 점을 보여준다. 해당 문서는 접수 3건의 공통 수법만 설명하므로 개별 피해액이나 실행 순서를 만들지 않았다[7]. C10은 배송원·카드사·금융감독원·검찰 사칭이 이어지는 재구성 자료이다. 이번 기록은 원문에서 확인한 접근·기망 단계로 한정하며 이후 모든 피해 결과를 대표하지 않는다[8].</w:t>
      </w:r>
    </w:p>
    <w:p>
      <w:pPr>
        <w:pStyle w:val="Heading2"/>
        <w:jc w:val="center"/>
      </w:pPr>
      <w:r>
        <w:rPr>
          <w:rFonts w:ascii="맑은 고딕" w:hAnsi="맑은 고딕" w:eastAsia="맑은 고딕"/>
          <w:sz w:val="22"/>
        </w:rPr>
        <w:t>공통점과 차이에 따른 안내체계</w:t>
      </w:r>
    </w:p>
    <w:p>
      <w:r>
        <w:rPr>
          <w:rFonts w:ascii="맑은 고딕" w:hAnsi="맑은 고딕" w:eastAsia="맑은 고딕"/>
          <w:sz w:val="22"/>
        </w:rPr>
        <w:t>공통점은 일상적인 연락이나 기관의 권위를 신뢰의 출발점으로 삼고, 다른 연락처·링크·앱으로 이동시키는 점이다. 차이는 이동 수단, 요구 행동, 이미 실행한 행동과 적용 지역에 있다. 따라서 첫 질문을 “어느 기관인가”로 끝내지 않고 “무엇을 요구받았는가”와 “이미 무엇을 했는가”로 이어가도록 제안한다.</w:t>
      </w:r>
    </w:p>
    <w:tbl>
      <w:tblPr>
        <w:tblW w:type="auto" w:w="0"/>
        <w:jc w:val="center"/>
        <w:tblLayout w:type="fixed"/>
        <w:tblLook w:firstColumn="1" w:firstRow="1" w:lastColumn="0" w:lastRow="0" w:noHBand="0" w:noVBand="1" w:val="04A0"/>
      </w:tblPr>
      <w:tblGrid>
        <w:gridCol w:w="2268"/>
        <w:gridCol w:w="7143"/>
      </w:tblGrid>
      <w:tr>
        <w:trPr>
          <w:cantSplit/>
          <w:tblHeader/>
        </w:trPr>
        <w:tc>
          <w:tcPr>
            <w:tcW w:type="dxa" w:w="2268"/>
            <w:vAlign w:val="center"/>
            <w:tcBorders>
              <w:top w:val="single" w:sz="4" w:color="D9D9D9"/>
              <w:left w:val="single" w:sz="4" w:color="D9D9D9"/>
              <w:bottom w:val="single" w:sz="4" w:color="D9D9D9"/>
              <w:right w:val="single" w:sz="4" w:color="D9D9D9"/>
            </w:tcBorders>
            <w:shd w:fill="EAEAEA"/>
          </w:tcPr>
          <w:p>
            <w:pPr>
              <w:spacing w:line="288" w:lineRule="auto" w:before="80" w:after="80"/>
              <w:jc w:val="center"/>
            </w:pPr>
            <w:r>
              <w:rPr>
                <w:rFonts w:ascii="맑은 고딕" w:hAnsi="맑은 고딕" w:eastAsia="맑은 고딕"/>
                <w:b/>
                <w:sz w:val="22"/>
              </w:rPr>
              <w:t>이용자가 확인할 것</w:t>
            </w:r>
          </w:p>
        </w:tc>
        <w:tc>
          <w:tcPr>
            <w:tcW w:type="dxa" w:w="7143"/>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제안하는 안내 방향</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요구만 받음</w:t>
            </w:r>
          </w:p>
        </w:tc>
        <w:tc>
          <w:tcPr>
            <w:tcW w:type="dxa" w:w="7143"/>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추가 요구 중단과 공식 경로의 별도 확인. 앱·링크·정보·금전 요구를 구분</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앱 설치 여부</w:t>
            </w:r>
          </w:p>
        </w:tc>
        <w:tc>
          <w:tcPr>
            <w:tcW w:type="dxa" w:w="7143"/>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설치 요구와 실제 설치를 분리. 악성앱 설치가 확인된 경우 공식 기기 점검·후속 조치 안내</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정보·금전 전달 여부</w:t>
            </w:r>
          </w:p>
        </w:tc>
        <w:tc>
          <w:tcPr>
            <w:tcW w:type="dxa" w:w="7143"/>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추가 전달을 중단하고 노출 정보와 금융 피해의 공식 대응 경로를 구분</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해외 체류 또는 해외 거래</w:t>
            </w:r>
          </w:p>
        </w:tc>
        <w:tc>
          <w:tcPr>
            <w:tcW w:type="dxa" w:w="7143"/>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국내 연락처·제도를 그대로 적용하지 않고 관할 경찰·공관 등 공식 경로 확인</w:t>
            </w:r>
          </w:p>
        </w:tc>
      </w:tr>
      <w:tr>
        <w:trPr>
          <w:cantSplit/>
        </w:trPr>
        <w:tc>
          <w:tcPr>
            <w:tcW w:type="dxa" w:w="2268"/>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알 수 없음 또는 복수 행동</w:t>
            </w:r>
          </w:p>
        </w:tc>
        <w:tc>
          <w:tcPr>
            <w:tcW w:type="dxa" w:w="7143"/>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단일 답을 강요하지 않고 추가 확인 질문과 전체 도움 경로 제공</w:t>
            </w:r>
          </w:p>
        </w:tc>
      </w:tr>
    </w:tbl>
    <w:p>
      <w:pPr>
        <w:spacing w:after="0"/>
      </w:pPr>
    </w:p>
    <w:p>
      <w:r>
        <w:rPr>
          <w:rFonts w:ascii="맑은 고딕" w:hAnsi="맑은 고딕" w:eastAsia="맑은 고딕"/>
          <w:sz w:val="22"/>
        </w:rPr>
        <w:t>후속 웹앱의 사용자가 할 일은 관련 사례를 살펴보고, 요구받은 행동과 이미 한 행동을 선택하고, 그에 맞는 공식 도움 경로를 확인하는 세 가지이다. 긴급 안내는 모든 질문에 답하기 전에도 볼 수 있어야 한다. 이 구성은 공개 기록에서 도출한 제안으로 사용성 우월성이 확인된 기능은 아니다.</w:t>
      </w:r>
    </w:p>
    <w:p>
      <w:pPr>
        <w:pStyle w:val="Heading2"/>
        <w:jc w:val="center"/>
      </w:pPr>
      <w:r>
        <w:rPr>
          <w:rFonts w:ascii="맑은 고딕" w:hAnsi="맑은 고딕" w:eastAsia="맑은 고딕"/>
          <w:sz w:val="22"/>
        </w:rPr>
        <w:t>공개 기록 적용과 안내 누락 점검</w:t>
      </w:r>
    </w:p>
    <w:tbl>
      <w:tblPr>
        <w:tblW w:type="auto" w:w="0"/>
        <w:jc w:val="center"/>
        <w:tblLayout w:type="fixed"/>
        <w:tblLook w:firstColumn="1" w:firstRow="1" w:lastColumn="0" w:lastRow="0" w:noHBand="0" w:noVBand="1" w:val="04A0"/>
      </w:tblPr>
      <w:tblGrid>
        <w:gridCol w:w="1134"/>
        <w:gridCol w:w="1644"/>
        <w:gridCol w:w="1644"/>
        <w:gridCol w:w="1644"/>
        <w:gridCol w:w="1644"/>
        <w:gridCol w:w="1701"/>
      </w:tblGrid>
      <w:tr>
        <w:trPr>
          <w:cantSplit/>
          <w:tblHeader/>
        </w:trPr>
        <w:tc>
          <w:tcPr>
            <w:tcW w:type="dxa" w:w="1134"/>
            <w:vAlign w:val="center"/>
            <w:tcBorders>
              <w:top w:val="single" w:sz="4" w:color="D9D9D9"/>
              <w:left w:val="single" w:sz="4" w:color="D9D9D9"/>
              <w:bottom w:val="single" w:sz="4" w:color="D9D9D9"/>
              <w:right w:val="single" w:sz="4" w:color="D9D9D9"/>
            </w:tcBorders>
            <w:shd w:fill="EAEAEA"/>
          </w:tcPr>
          <w:p>
            <w:pPr>
              <w:spacing w:line="288" w:lineRule="auto" w:before="80" w:after="80"/>
              <w:jc w:val="center"/>
            </w:pPr>
            <w:r>
              <w:rPr>
                <w:rFonts w:ascii="맑은 고딕" w:hAnsi="맑은 고딕" w:eastAsia="맑은 고딕"/>
                <w:b/>
                <w:sz w:val="22"/>
              </w:rPr>
              <w:t>기록</w:t>
            </w:r>
          </w:p>
        </w:tc>
        <w:tc>
          <w:tcPr>
            <w:tcW w:type="dxa" w:w="1644"/>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필수 항목</w:t>
            </w:r>
          </w:p>
        </w:tc>
        <w:tc>
          <w:tcPr>
            <w:tcW w:type="dxa" w:w="1644"/>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A 누락</w:t>
            </w:r>
          </w:p>
        </w:tc>
        <w:tc>
          <w:tcPr>
            <w:tcW w:type="dxa" w:w="1644"/>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B 누락</w:t>
            </w:r>
          </w:p>
        </w:tc>
        <w:tc>
          <w:tcPr>
            <w:tcW w:type="dxa" w:w="1644"/>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A 추가</w:t>
            </w:r>
          </w:p>
        </w:tc>
        <w:tc>
          <w:tcPr>
            <w:tcW w:type="dxa" w:w="1701"/>
            <w:vAlign w:val="center"/>
            <w:tcBorders>
              <w:top w:val="single" w:sz="4" w:color="D9D9D9"/>
              <w:left w:val="single" w:sz="4" w:color="D9D9D9"/>
              <w:bottom w:val="single" w:sz="4" w:color="D9D9D9"/>
              <w:right w:val="single" w:sz="4" w:color="D9D9D9"/>
            </w:tcBorders>
            <w:shd w:fill="EAEAEA"/>
          </w:tcPr>
          <w:p>
            <w:pPr>
              <w:spacing w:line="288" w:lineRule="auto" w:before="80" w:after="80"/>
            </w:pPr>
            <w:r>
              <w:rPr>
                <w:rFonts w:ascii="맑은 고딕" w:hAnsi="맑은 고딕" w:eastAsia="맑은 고딕"/>
                <w:b/>
                <w:sz w:val="22"/>
              </w:rPr>
              <w:t>B 추가</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C01</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C02</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C04</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4</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C05</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C06</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C07</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C08</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5</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2</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C09</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r>
      <w:tr>
        <w:trPr>
          <w:cantSplit/>
        </w:trPr>
        <w:tc>
          <w:tcPr>
            <w:tcW w:type="dxa" w:w="1134"/>
            <w:vAlign w:val="center"/>
            <w:tcBorders>
              <w:top w:val="single" w:sz="4" w:color="D9D9D9"/>
              <w:left w:val="single" w:sz="4" w:color="D9D9D9"/>
              <w:bottom w:val="single" w:sz="4" w:color="D9D9D9"/>
              <w:right w:val="single" w:sz="4" w:color="D9D9D9"/>
            </w:tcBorders>
          </w:tcPr>
          <w:p>
            <w:pPr>
              <w:spacing w:line="288" w:lineRule="auto" w:before="80" w:after="80"/>
              <w:jc w:val="center"/>
            </w:pPr>
            <w:r>
              <w:rPr>
                <w:rFonts w:ascii="맑은 고딕" w:hAnsi="맑은 고딕" w:eastAsia="맑은 고딕"/>
                <w:sz w:val="22"/>
              </w:rPr>
              <w:t>C10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6</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3</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644"/>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0</w:t>
            </w:r>
          </w:p>
        </w:tc>
        <w:tc>
          <w:tcPr>
            <w:tcW w:type="dxa" w:w="1701"/>
            <w:vAlign w:val="center"/>
            <w:tcBorders>
              <w:top w:val="single" w:sz="4" w:color="D9D9D9"/>
              <w:left w:val="single" w:sz="4" w:color="D9D9D9"/>
              <w:bottom w:val="single" w:sz="4" w:color="D9D9D9"/>
              <w:right w:val="single" w:sz="4" w:color="D9D9D9"/>
            </w:tcBorders>
          </w:tcPr>
          <w:p>
            <w:pPr>
              <w:spacing w:line="288" w:lineRule="auto" w:before="80" w:after="80"/>
            </w:pPr>
            <w:r>
              <w:rPr>
                <w:rFonts w:ascii="맑은 고딕" w:hAnsi="맑은 고딕" w:eastAsia="맑은 고딕"/>
                <w:sz w:val="22"/>
              </w:rPr>
              <w:t>1</w:t>
            </w:r>
          </w:p>
        </w:tc>
      </w:tr>
    </w:tbl>
    <w:p>
      <w:pPr>
        <w:spacing w:after="0"/>
      </w:pPr>
    </w:p>
    <w:p>
      <w:r>
        <w:rPr>
          <w:rFonts w:ascii="맑은 고딕" w:hAnsi="맑은 고딕" w:eastAsia="맑은 고딕"/>
          <w:sz w:val="22"/>
        </w:rPr>
        <w:t>필수 항목은 기록 전체에서 합계 36개였다. 같은 안내 내용이 다른 사례에 필요하면 사례별로 다시 센 값이며 고유 안내 종류는 아니다. A의 누락은 8개(22.2%), B는 1개(2.8%)였다. 참조표 밖 추가 항목은 A 6개, B 1개였다. 누락이 줄어든 기록은 C01·C02·C08·C09·C10의 다섯 개이고, C03–C07의 다섯 개는 같았다. 악화된 기록은 없었다. 이 간단한 A와의 비교 안에서는 가설이 지지되었다.</w:t>
      </w:r>
    </w:p>
    <w:p>
      <w:r>
        <w:rPr>
          <w:rFonts w:ascii="맑은 고딕" w:hAnsi="맑은 고딕" w:eastAsia="맑은 고딕"/>
          <w:sz w:val="22"/>
        </w:rPr>
        <w:t>B의 남은 누락은 C08의 해외 현지 확인·신고 항목이었다. B는 재외공관 유형에는 현지 경로를 붙였지만, 세관·경찰 사칭으로 분류된 해외 사례에는 붙이지 못했다. 따라서 기관명과 행동만으로 모든 상황을 포괄한다고 결론내릴 수 없다. 체류 지역을 별도 질문으로 연결하는 보완이 필요하나, 이번 결과에는 수정 전 규칙을 그대로 사용했다.</w:t>
      </w:r>
    </w:p>
    <w:p>
      <w:r>
        <w:rPr>
          <w:rFonts w:ascii="맑은 고딕" w:hAnsi="맑은 고딕" w:eastAsia="맑은 고딕"/>
          <w:sz w:val="22"/>
        </w:rPr>
        <w:t>C10에서는 B가 국내 정보 노출에 관한 추가 예방·상담 항목을 제시했으나 참조표의 필수 항목에는 없었다. 이는 추가 항목 1개로 보존했다. 이 한 항목이 실제로 불필요하거나 위험한지, 이용자 부담을 늘리는지는 본 자료로 판단할 수 없다. 전체 출력과 누락 코드의 대응은 재현 패키지 results/case_audit.json에 있다.</w:t>
      </w:r>
    </w:p>
    <w:p>
      <w:r>
        <w:rPr>
          <w:rFonts w:ascii="맑은 고딕" w:hAnsi="맑은 고딕" w:eastAsia="맑은 고딕"/>
          <w:sz w:val="22"/>
        </w:rPr>
        <w:t>대조 규칙을 넓혀 유형마다 해당 유형의 모든 필수 항목을 보여주면 누락은 0개가 되었고 참조표 밖 추가 항목은 28개였다. 이 비교에서는 B의 누락이 더 적지 않았다. 다만 넓은 규칙은 같은 사례들의 참조표를 합쳐 만든 사후 점검이므로 독립 평가가 아니다. 결과는 “B가 언제나 우수하다”가 아니라, 안내 범위와 불필요할 수 있는 정보량 사이에 선택이 필요함을 보여준다.</w:t>
      </w:r>
    </w:p>
    <w:p>
      <w:pPr>
        <w:pStyle w:val="Heading1"/>
        <w:jc w:val="center"/>
      </w:pPr>
      <w:r>
        <w:rPr>
          <w:rFonts w:ascii="맑은 고딕" w:hAnsi="맑은 고딕" w:eastAsia="맑은 고딕"/>
          <w:sz w:val="22"/>
        </w:rPr>
        <w:t>논의</w:t>
      </w:r>
    </w:p>
    <w:p>
      <w:r>
        <w:rPr>
          <w:rFonts w:ascii="맑은 고딕" w:hAnsi="맑은 고딕" w:eastAsia="맑은 고딕"/>
          <w:sz w:val="22"/>
        </w:rPr>
        <w:t>주 분석의 누락 감소는 행동과 실행 상태를 규칙에 연결했을 때 나타난 문서 수준의 결과이다. 실제 이용자가 더 빨리 이해하거나 적절히 대응했다는 뜻은 아니다. 간단한 A를 사용했기 때문에 B가 유리해진 측면이 있으며, 유형별 전체 안내를 비교하면 누락 우위가 사라진다. 따라서 구조화된 질문의 필요성을 검토할 자료로 활용하되 예방 효과의 증거로 확대하지 않아야 한다.</w:t>
      </w:r>
    </w:p>
    <w:p>
      <w:r>
        <w:rPr>
          <w:rFonts w:ascii="맑은 고딕" w:hAnsi="맑은 고딕" w:eastAsia="맑은 고딕"/>
          <w:sz w:val="22"/>
        </w:rPr>
        <w:t>차이가 없거나 남은 누락을 설명할 가능성은 세 가지이다. 첫째, C05–C07처럼 상세 행동이 부족하면 선택 규칙이 추가 정보를 얻지 못한다. 둘째, 유형별 기본 안내가 이미 필수 항목을 포함하면 누락을 더 줄일 여지가 없다. 셋째, 해외 체류처럼 기관명이 충분히 나타내지 못하는 맥락이 있다. 원기록과 항목 차집합에서 앞의 두 경우와 C08의 맥락 누락을 확인했으나 이용자의 기억이나 이해 문제는 조사하지 않았다.</w:t>
      </w:r>
    </w:p>
    <w:p>
      <w:r>
        <w:rPr>
          <w:rFonts w:ascii="맑은 고딕" w:hAnsi="맑은 고딕" w:eastAsia="맑은 고딕"/>
          <w:sz w:val="22"/>
        </w:rPr>
        <w:t>IT 운영 측면에서는 사례 사실, 해석 분류와 공식 대응 규칙을 별도 자료로 관리하고 각각 출처·확인일·버전을 표시할 수 있다. 이용자의 선택은 브라우저에서 처리하여 계좌번호나 녹음 파일을 서버로 보내지 않도록 구성할 수 있다. 배포 서버는 검토한 안내 자료의 제공과 갱신을 담당한다. 이 구조는 제안이며 금융회사·수사기관과 실시간 연동된 시스템을 구현한 것은 아니다.</w:t>
      </w:r>
    </w:p>
    <w:p>
      <w:r>
        <w:rPr>
          <w:rFonts w:ascii="맑은 고딕" w:hAnsi="맑은 고딕" w:eastAsia="맑은 고딕"/>
          <w:sz w:val="22"/>
        </w:rPr>
        <w:t>금전 피해에서는 금융위원회 최신 안내가 경찰 또는 금융회사 연락을 통한 지급정지 요청을 제시한다[10]. 그러나 현금 전달·해외 거래까지 같은 절차가 적용된다고 일반화할 수 없다. 범죄수법 변화가 계좌이체 중심의 대응 범위를 제한할 수 있다는 관점도 참고할 수 있으나[11], 개별 사건의 법적 구제 가능성을 이 연구가 판정하지 않는다. 앱에서 “신고 완료”, “계좌 보호 완료”, “환급 보장”을 표시해서는 안 된다.</w:t>
      </w:r>
    </w:p>
    <w:p>
      <w:pPr>
        <w:pStyle w:val="Heading1"/>
        <w:jc w:val="center"/>
      </w:pPr>
      <w:r>
        <w:rPr>
          <w:rFonts w:ascii="맑은 고딕" w:hAnsi="맑은 고딕" w:eastAsia="맑은 고딕"/>
          <w:sz w:val="22"/>
        </w:rPr>
        <w:t>결론</w:t>
      </w:r>
    </w:p>
    <w:p>
      <w:r>
        <w:rPr>
          <w:rFonts w:ascii="맑은 고딕" w:hAnsi="맑은 고딕"/>
          <w:sz w:val="22"/>
        </w:rPr>
        <w:t>본 연구에서 설정한 간단한 유형별 안내와 비교했을 때, 요구 행동과 실행 상태를 반영한 안내는 필수 항목 36개 중 누락을 8개에서 1개로 줄였다. 따라서 본 연구의 주 비교 조건에서는 가설이 지지되었다. 다만 유형별 전체 안내를 제공하는 비교에서는 누락이 0개로, 제안 방식의 1개보다 적었다. 이 결과를 함께 고려하면 가설이 일반적으로 참이라고 단정할 수 없으며, 가설에 대한 판단은 비교 규칙에 따라 달라진다.</w:t>
      </w:r>
    </w:p>
    <w:p>
      <w:r>
        <w:rPr>
          <w:rFonts w:ascii="맑은 고딕" w:hAnsi="맑은 고딕" w:eastAsia="맑은 고딕"/>
          <w:sz w:val="22"/>
        </w:rPr>
        <w:t>그러나 넓은 유형별 안내는 누락을 더 줄일 수 있었고, 제안 규칙에는 해외 사례의 현지 확인·신고 누락이 남았다. 따라서 최종 결론은 요구 행동 질문을 추가하면 무조건 우수하다는 것이 아니다. 유형별 기본 안내, 실행 상태별 후속 안내와 지역 맥락을 함께 관리하고, 사용자가 필요한 정보를 놓치지 않으면서 과도한 설명에 묻히지 않도록 별도 검증해야 한다는 것이다.</w:t>
      </w:r>
    </w:p>
    <w:p>
      <w:r>
        <w:rPr>
          <w:rFonts w:ascii="맑은 고딕" w:hAnsi="맑은 고딕" w:eastAsia="맑은 고딕"/>
          <w:sz w:val="22"/>
        </w:rPr>
        <w:t>본 연구는 기관이 공개한 사례와 수법 설명을 분석한 것으로, 실제 보이스피싱 피해사건 전체를 분석한 것은 아니다. 공개된 예시나 재구성 자료는 실제 범죄의 진행 방식을 이해하는 데 활용할 수 있지만, 개별 사건의 발생 빈도와 이용자의 실행 상태가 모두 제시되지는 않는다. 따라서 분석 기록 10개를 실제 피해사건 10건으로 해석하거나, 유형별 피해 규모와 발생 비중을 추정할 수 없다. 또한 분류·안내 규칙·평가 기준표에 대한 독립 검토가 없고, 사례 문서의 주의사항을 평가에도 활용했으므로, 제안한 안내체계의 효과를 독립적으로 검증한 결과로 해석하는 데 한계가 있다.</w:t>
      </w:r>
    </w:p>
    <w:p>
      <w:pPr>
        <w:pStyle w:val="Heading1"/>
        <w:jc w:val="center"/>
      </w:pPr>
      <w:r>
        <w:rPr>
          <w:rFonts w:ascii="맑은 고딕" w:hAnsi="맑은 고딕" w:eastAsia="맑은 고딕"/>
          <w:sz w:val="22"/>
        </w:rPr>
        <w:t>참고문헌</w:t>
      </w:r>
    </w:p>
    <w:p>
      <w:r>
        <w:rPr>
          <w:rFonts w:ascii="맑은 고딕" w:hAnsi="맑은 고딕" w:eastAsia="맑은 고딕"/>
          <w:sz w:val="22"/>
        </w:rPr>
        <w:t>[1] 개인 저자명 생략 (2022). 대면편취형 보이스피싱 범죄의 범행과정 분석: 범죄스크립트 분석을 중심으로. 범죄수사학연구, 8(2), 31–54. DOI 10.46225/CIS.2022.12.8.2.31.</w:t>
      </w:r>
      <w:hyperlink r:id="rId9">
        <w:r>
          <w:rPr>
            <w:rFonts w:ascii="맑은 고딕" w:eastAsia="맑은 고딕"/>
            <w:sz w:val="22"/>
          </w:rPr>
          <w:br/>
          <w:t>https://www.kci.go.kr/kciportal/landing/article.kci?arti_id=ART002915569</w:t>
        </w:r>
      </w:hyperlink>
    </w:p>
    <w:p>
      <w:r>
        <w:rPr>
          <w:rFonts w:ascii="맑은 고딕" w:hAnsi="맑은 고딕" w:eastAsia="맑은 고딕"/>
          <w:sz w:val="22"/>
        </w:rPr>
        <w:t>[2] 개인 저자명 생략 (2024). 기관 사칭형 보이스피싱 시나리오 분석: 피해자의 심리적 요인을 중심으로. 경찰학연구, 24(2), 63–92. DOI 10.22816/polsci.2024.24.2.003.</w:t>
      </w:r>
      <w:hyperlink r:id="rId10">
        <w:r>
          <w:rPr>
            <w:rFonts w:ascii="맑은 고딕" w:eastAsia="맑은 고딕"/>
            <w:sz w:val="22"/>
          </w:rPr>
          <w:br/>
          <w:t>https://www.kci.go.kr/kciportal/landing/article.kci?arti_id=ART003101132</w:t>
        </w:r>
      </w:hyperlink>
    </w:p>
    <w:p>
      <w:r>
        <w:rPr>
          <w:rFonts w:ascii="맑은 고딕" w:hAnsi="맑은 고딕" w:eastAsia="맑은 고딕"/>
          <w:sz w:val="22"/>
        </w:rPr>
        <w:t>[3] 개인 저자명 생략 (2023). 전기통신금융사기 대응에 대한 연구: 체계적 문헌고찰과 텍스트 마이닝을 바탕으로. 경찰학연구, 23(3), 87–114. DOI 10.22816/polsci.2023.23.3.004.</w:t>
      </w:r>
      <w:hyperlink r:id="rId11">
        <w:r>
          <w:rPr>
            <w:rFonts w:ascii="맑은 고딕" w:eastAsia="맑은 고딕"/>
            <w:sz w:val="22"/>
          </w:rPr>
          <w:br/>
          <w:t>https://www.kci.go.kr/kciportal/landing/article.kci?arti_id=ART003001356</w:t>
        </w:r>
      </w:hyperlink>
    </w:p>
    <w:p>
      <w:r>
        <w:rPr>
          <w:rFonts w:ascii="맑은 고딕" w:hAnsi="맑은 고딕" w:eastAsia="맑은 고딕"/>
          <w:sz w:val="22"/>
        </w:rPr>
        <w:t>[4] 개인 저자명 생략 (2023). 보이스피싱 범행단계별 대응방안 연구. 한국형사·법무정책연구원. 연구총서 23-AB-05. ISBN 979-11-91565-94-2.</w:t>
      </w:r>
      <w:hyperlink r:id="rId12">
        <w:r>
          <w:rPr>
            <w:rFonts w:ascii="맑은 고딕" w:eastAsia="맑은 고딕"/>
            <w:sz w:val="22"/>
          </w:rPr>
          <w:br/>
          <w:t>https://www.nkis.re.kr/subject_view1.do?eoSeq=0&amp;otpId=OTP_0000000000013028&amp;otpSeq=0</w:t>
        </w:r>
      </w:hyperlink>
    </w:p>
    <w:p>
      <w:r>
        <w:rPr>
          <w:rFonts w:ascii="맑은 고딕" w:hAnsi="맑은 고딕" w:eastAsia="맑은 고딕"/>
          <w:sz w:val="22"/>
        </w:rPr>
        <w:t>[5] 사법연수원 (2025-07-08). 법원 사칭 보이스피싱 주의 안내. 새소식. 공지 17890, 사례 예시 1–3.</w:t>
      </w:r>
      <w:hyperlink r:id="rId13">
        <w:r>
          <w:rPr>
            <w:rFonts w:ascii="맑은 고딕" w:eastAsia="맑은 고딕"/>
            <w:sz w:val="22"/>
          </w:rPr>
          <w:br/>
          <w:t>https://jrti.scourt.go.kr/dcboard/new/DcNewsViewAction.work?cbub_code=000130&amp;gubun=41&amp;pageIndex=3&amp;scode_kname=&amp;searchWord=&amp;seqnum=17890</w:t>
        </w:r>
      </w:hyperlink>
    </w:p>
    <w:p>
      <w:r>
        <w:rPr>
          <w:rFonts w:ascii="맑은 고딕" w:hAnsi="맑은 고딕" w:eastAsia="맑은 고딕"/>
          <w:sz w:val="22"/>
        </w:rPr>
        <w:t>[6] 주히로시마 대한민국 총영사관 (2025-04-25). 공관 정부기관 등 사칭 보이스피싱 사례 및 예방 안내. 주오사카 총영사관 경로 게시. 표시 작성자 주히로시마 총영사관. 사례 1–5.</w:t>
      </w:r>
      <w:hyperlink r:id="rId14">
        <w:r>
          <w:rPr>
            <w:rFonts w:ascii="맑은 고딕" w:eastAsia="맑은 고딕"/>
            <w:sz w:val="22"/>
          </w:rPr>
          <w:br/>
          <w:t>https://www.mofa.go.kr/jp-osaka-ko/brd/m_26891/view.do?seq=1945472</w:t>
        </w:r>
      </w:hyperlink>
    </w:p>
    <w:p>
      <w:r>
        <w:rPr>
          <w:rFonts w:ascii="맑은 고딕" w:hAnsi="맑은 고딕" w:eastAsia="맑은 고딕"/>
          <w:sz w:val="22"/>
        </w:rPr>
        <w:t>[7] 제주특별자치도 농업기술원 (2025-12-17). 도내 농업 관련 업체 노린 공공기관 사칭 보이스피싱 주의. 보도자료, 1–2쪽.</w:t>
      </w:r>
      <w:hyperlink r:id="rId15">
        <w:r>
          <w:rPr>
            <w:rFonts w:ascii="맑은 고딕" w:eastAsia="맑은 고딕"/>
            <w:sz w:val="22"/>
          </w:rPr>
          <w:br/>
          <w:t>https://agri.jeju.go.kr/files/board/88c69214-ab23-4fbc-9329-8d11000ec47b.pdf</w:t>
        </w:r>
      </w:hyperlink>
    </w:p>
    <w:p>
      <w:r>
        <w:rPr>
          <w:rFonts w:ascii="맑은 고딕" w:hAnsi="맑은 고딕" w:eastAsia="맑은 고딕"/>
          <w:sz w:val="22"/>
        </w:rPr>
        <w:t>[8] 경찰청 국가수사본부 (2024-10-24). 기관사칭형 보이스피싱 60대 여성을 노린다. 보도자료. 2024-10-23 공개, 10-24 조간. 붙임1 5쪽 접근·기망 단계.</w:t>
      </w:r>
      <w:hyperlink r:id="rId16">
        <w:r>
          <w:rPr>
            <w:rFonts w:ascii="맑은 고딕" w:eastAsia="맑은 고딕"/>
            <w:sz w:val="22"/>
          </w:rPr>
          <w:br/>
          <w:t>https://www.counterscam112.go.kr/pdf/bbs002/2/FILE_000000000000079/viewer.do</w:t>
        </w:r>
      </w:hyperlink>
    </w:p>
    <w:p>
      <w:r>
        <w:rPr>
          <w:rFonts w:ascii="맑은 고딕" w:hAnsi="맑은 고딕" w:eastAsia="맑은 고딕"/>
          <w:sz w:val="22"/>
        </w:rPr>
        <w:t>[9] 금융위원회·금융감독원 (2026-02-10). 온 가족이 모인 설 명절 보이스피싱 예방 행동수칙을 기억하세요 보이스피싱 피해예방 10계명. 정책자료 86250.</w:t>
      </w:r>
      <w:hyperlink r:id="rId17">
        <w:r>
          <w:rPr>
            <w:rFonts w:ascii="맑은 고딕" w:eastAsia="맑은 고딕"/>
            <w:sz w:val="22"/>
          </w:rPr>
          <w:br/>
          <w:t>https://www.fsc.go.kr/po010101/86250</w:t>
        </w:r>
      </w:hyperlink>
    </w:p>
    <w:p>
      <w:r>
        <w:rPr>
          <w:rFonts w:ascii="맑은 고딕" w:hAnsi="맑은 고딕" w:eastAsia="맑은 고딕"/>
          <w:sz w:val="22"/>
        </w:rPr>
        <w:t>[10] 금융위원회 (2026-10-06). 최근 금융권 개인정보 유출사고에 따른 보이스피싱 스미싱 등 피해에 주의하세요. 보도자료 87882, 소비자경보 2026-26호.</w:t>
      </w:r>
      <w:hyperlink r:id="rId18">
        <w:r>
          <w:rPr>
            <w:rFonts w:ascii="맑은 고딕" w:eastAsia="맑은 고딕"/>
            <w:sz w:val="22"/>
          </w:rPr>
          <w:br/>
          <w:t>https://www.fsc.go.kr/no010101/87882</w:t>
        </w:r>
      </w:hyperlink>
    </w:p>
    <w:p>
      <w:r>
        <w:rPr>
          <w:rFonts w:ascii="맑은 고딕" w:hAnsi="맑은 고딕" w:eastAsia="맑은 고딕"/>
          <w:sz w:val="22"/>
        </w:rPr>
        <w:t>[11] 개인 저자명 생략 (2024). 최근의 보이스피싱 범죄수법 변화에 따른 대응방안. 형사정책, 36(1), 103–137.</w:t>
      </w:r>
      <w:hyperlink r:id="rId19">
        <w:r>
          <w:rPr>
            <w:rFonts w:ascii="맑은 고딕" w:eastAsia="맑은 고딕"/>
            <w:sz w:val="22"/>
          </w:rPr>
          <w:br/>
          <w:t>https://www.kci.go.kr/kciportal/landing/article.kci?arti_id=ART003079955</w:t>
        </w:r>
      </w:hyperlink>
    </w:p>
    <w:sectPr w:rsidR="00FC693F" w:rsidRPr="0006063C" w:rsidSect="00034616">
      <w:footerReference w:type="default" r:id="rId2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4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48" w:lineRule="auto"/>
      <w:outlineLvl w:val="0"/>
    </w:pPr>
    <w:rPr>
      <w:rFonts w:asciiTheme="majorHAnsi" w:eastAsiaTheme="majorEastAsia" w:hAnsiTheme="majorHAnsi" w:cstheme="majorBidi" w:ascii="맑은 고딕" w:hAnsi="맑은 고딕" w:eastAsia="맑은 고딕"/>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60" w:line="348" w:lineRule="auto"/>
      <w:outlineLvl w:val="1"/>
    </w:pPr>
    <w:rPr>
      <w:rFonts w:asciiTheme="majorHAnsi" w:eastAsiaTheme="majorEastAsia" w:hAnsiTheme="majorHAnsi" w:cstheme="majorBidi" w:ascii="맑은 고딕" w:hAnsi="맑은 고딕" w:eastAsia="맑은 고딕"/>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348" w:lineRule="auto"/>
      <w:contextualSpacing/>
    </w:pPr>
    <w:rPr>
      <w:rFonts w:asciiTheme="majorHAnsi" w:eastAsiaTheme="majorEastAsia" w:hAnsiTheme="majorHAnsi" w:cstheme="majorBidi" w:ascii="맑은 고딕" w:hAnsi="맑은 고딕" w:eastAsia="맑은 고딕"/>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ci.go.kr/kciportal/landing/article.kci?arti_id=ART002915569" TargetMode="External"/><Relationship Id="rId10" Type="http://schemas.openxmlformats.org/officeDocument/2006/relationships/hyperlink" Target="https://www.kci.go.kr/kciportal/landing/article.kci?arti_id=ART003101132" TargetMode="External"/><Relationship Id="rId11" Type="http://schemas.openxmlformats.org/officeDocument/2006/relationships/hyperlink" Target="https://www.kci.go.kr/kciportal/landing/article.kci?arti_id=ART003001356" TargetMode="External"/><Relationship Id="rId12" Type="http://schemas.openxmlformats.org/officeDocument/2006/relationships/hyperlink" Target="https://www.nkis.re.kr/subject_view1.do?eoSeq=0&amp;otpId=OTP_0000000000013028&amp;otpSeq=0" TargetMode="External"/><Relationship Id="rId13" Type="http://schemas.openxmlformats.org/officeDocument/2006/relationships/hyperlink" Target="https://jrti.scourt.go.kr/dcboard/new/DcNewsViewAction.work?cbub_code=000130&amp;gubun=41&amp;pageIndex=3&amp;scode_kname=&amp;searchWord=&amp;seqnum=17890" TargetMode="External"/><Relationship Id="rId14" Type="http://schemas.openxmlformats.org/officeDocument/2006/relationships/hyperlink" Target="https://www.mofa.go.kr/jp-osaka-ko/brd/m_26891/view.do?seq=1945472" TargetMode="External"/><Relationship Id="rId15" Type="http://schemas.openxmlformats.org/officeDocument/2006/relationships/hyperlink" Target="https://agri.jeju.go.kr/files/board/88c69214-ab23-4fbc-9329-8d11000ec47b.pdf" TargetMode="External"/><Relationship Id="rId16" Type="http://schemas.openxmlformats.org/officeDocument/2006/relationships/hyperlink" Target="https://www.counterscam112.go.kr/pdf/bbs002/2/FILE_000000000000079/viewer.do" TargetMode="External"/><Relationship Id="rId17" Type="http://schemas.openxmlformats.org/officeDocument/2006/relationships/hyperlink" Target="https://www.fsc.go.kr/po010101/86250" TargetMode="External"/><Relationship Id="rId18" Type="http://schemas.openxmlformats.org/officeDocument/2006/relationships/hyperlink" Target="https://www.fsc.go.kr/no010101/87882" TargetMode="External"/><Relationship Id="rId19" Type="http://schemas.openxmlformats.org/officeDocument/2006/relationships/hyperlink" Target="https://www.kci.go.kr/kciportal/landing/article.kci?arti_id=ART003079955" TargetMode="Externa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보이스피싱 공개 사례의 유형과 요구 행동 분석을 통한 상황별 대응 안내체계 구축 방안</dc:title>
  <dc:subject/>
  <dc:creator>우수민</dc:creator>
  <cp:keywords/>
  <dc:description>generated by python-docx</dc:description>
  <cp:lastModifiedBy>우수민</cp:lastModifiedBy>
  <cp:revision>1</cp:revision>
  <dcterms:created xsi:type="dcterms:W3CDTF">2013-12-23T23:15:00Z</dcterms:created>
  <dcterms:modified xsi:type="dcterms:W3CDTF">2013-12-23T23:15:00Z</dcterms:modified>
  <cp:category/>
</cp:coreProperties>
</file>