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4E79"/>
          <w:sz w:val="40"/>
        </w:rPr>
        <w:t>Chatbot Response Quality Report</w:t>
      </w:r>
    </w:p>
    <w:p>
      <w:pPr>
        <w:spacing w:after="80"/>
      </w:pPr>
      <w:r>
        <w:rPr>
          <w:b/>
          <w:sz w:val="22"/>
        </w:rPr>
        <w:t>Expert Prompt Testing — Flagged Rows Analysis</w:t>
      </w:r>
    </w:p>
    <w:p>
      <w:pPr>
        <w:spacing w:after="80"/>
      </w:pPr>
      <w:r>
        <w:rPr>
          <w:b w:val="0"/>
          <w:color w:val="595959"/>
          <w:sz w:val="18"/>
        </w:rPr>
        <w:t>Generated: August 04, 2026    |    Source: output/Expert_Prompt_Testing_Responses.xlsx</w:t>
      </w:r>
    </w:p>
    <w:p/>
    <w:p>
      <w:pPr>
        <w:pStyle w:val="Heading1"/>
      </w:pPr>
      <w:r>
        <w:rPr>
          <w:color w:val="1F4E79"/>
        </w:rPr>
        <w:t>Executive Summary</w:t>
      </w:r>
    </w:p>
    <w:p>
      <w:pPr>
        <w:spacing w:after="120"/>
      </w:pPr>
      <w:r>
        <w:rPr>
          <w:b/>
          <w:sz w:val="22"/>
        </w:rPr>
        <w:t>28 of 72 rows flagged (39%).</w:t>
      </w:r>
    </w:p>
    <w:p>
      <w:pPr>
        <w:spacing w:after="80"/>
      </w:pPr>
      <w:r>
        <w:rPr>
          <w:b w:val="0"/>
          <w:sz w:val="20"/>
        </w:rPr>
        <w:t>The dominant issue is the chatbot rejecting taluka names it does not recognise as supported subdistricts. Almost all adversarial responses contain phrases such as 'not currently supported', 'not covered', or equivalent Hindi phrases (कृपया), indicating the bot correctly refuses to give agronomic advice for unsupported locations — but the prompt bank includes talukas that are outside its coverage list. Two rows triggered on a 'proof-of-concept' disclaimer phrase; these may be borderline and should be reviewed manually.</w:t>
      </w:r>
    </w:p>
    <w:p/>
    <w:p>
      <w:pPr>
        <w:pStyle w:val="Heading1"/>
      </w:pPr>
      <w:r>
        <w:rPr>
          <w:color w:val="1F4E79"/>
        </w:rPr>
        <w:t>Summary by Sheet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pPr>
              <w:jc w:val="center"/>
            </w:pPr>
            <w:r>
              <w:rPr>
                <w:b/>
                <w:color w:val="FFFFFF"/>
              </w:rPr>
              <w:t>Sheet</w:t>
            </w:r>
          </w:p>
        </w:tc>
        <w:tc>
          <w:tcPr>
            <w:tcW w:type="dxa" w:w="2351"/>
            <w:shd w:val="clear" w:color="auto" w:fill="1F4E79"/>
          </w:tcPr>
          <w:p>
            <w:pPr>
              <w:jc w:val="center"/>
            </w:pPr>
            <w:r>
              <w:rPr>
                <w:b/>
                <w:color w:val="FFFFFF"/>
              </w:rPr>
              <w:t>Total Rows</w:t>
            </w:r>
          </w:p>
        </w:tc>
        <w:tc>
          <w:tcPr>
            <w:tcW w:type="dxa" w:w="2351"/>
            <w:shd w:val="clear" w:color="auto" w:fill="1F4E79"/>
          </w:tcPr>
          <w:p>
            <w:pPr>
              <w:jc w:val="center"/>
            </w:pPr>
            <w:r>
              <w:rPr>
                <w:b/>
                <w:color w:val="FFFFFF"/>
              </w:rPr>
              <w:t>Flagged Rows</w:t>
            </w:r>
          </w:p>
        </w:tc>
        <w:tc>
          <w:tcPr>
            <w:tcW w:type="dxa" w:w="2351"/>
            <w:shd w:val="clear" w:color="auto" w:fill="1F4E79"/>
          </w:tcPr>
          <w:p>
            <w:pPr>
              <w:jc w:val="center"/>
            </w:pPr>
            <w:r>
              <w:rPr>
                <w:b/>
                <w:color w:val="FFFFFF"/>
              </w:rPr>
              <w:t>Flag Rate</w:t>
            </w:r>
          </w:p>
        </w:tc>
      </w:tr>
      <w:tr>
        <w:tc>
          <w:tcPr>
            <w:tcW w:type="dxa" w:w="2351"/>
          </w:tcPr>
          <w:p>
            <w:pPr>
              <w:jc w:val="center"/>
            </w:pPr>
            <w:r>
              <w:t>Jashpur_Set1</w:t>
            </w:r>
          </w:p>
        </w:tc>
        <w:tc>
          <w:tcPr>
            <w:tcW w:type="dxa" w:w="2351"/>
          </w:tcPr>
          <w:p>
            <w:pPr>
              <w:jc w:val="center"/>
            </w:pPr>
            <w:r>
              <w:t>12</w:t>
            </w:r>
          </w:p>
        </w:tc>
        <w:tc>
          <w:tcPr>
            <w:tcW w:type="dxa" w:w="2351"/>
            <w:shd w:val="clear" w:color="auto" w:fill="FFEB9C"/>
          </w:tcPr>
          <w:p>
            <w:pPr>
              <w:jc w:val="center"/>
            </w:pPr>
            <w:r>
              <w:t>3</w:t>
            </w:r>
          </w:p>
        </w:tc>
        <w:tc>
          <w:tcPr>
            <w:tcW w:type="dxa" w:w="2351"/>
            <w:shd w:val="clear" w:color="auto" w:fill="FFEB9C"/>
          </w:tcPr>
          <w:p>
            <w:pPr>
              <w:jc w:val="center"/>
            </w:pPr>
            <w:r>
              <w:t>25%</w:t>
            </w:r>
          </w:p>
        </w:tc>
      </w:tr>
      <w:tr>
        <w:tc>
          <w:tcPr>
            <w:tcW w:type="dxa" w:w="2351"/>
          </w:tcPr>
          <w:p>
            <w:pPr>
              <w:jc w:val="center"/>
            </w:pPr>
            <w:r>
              <w:t>Jashpur_Set2</w:t>
            </w:r>
          </w:p>
        </w:tc>
        <w:tc>
          <w:tcPr>
            <w:tcW w:type="dxa" w:w="2351"/>
          </w:tcPr>
          <w:p>
            <w:pPr>
              <w:jc w:val="center"/>
            </w:pPr>
            <w:r>
              <w:t>12</w:t>
            </w:r>
          </w:p>
        </w:tc>
        <w:tc>
          <w:tcPr>
            <w:tcW w:type="dxa" w:w="2351"/>
            <w:shd w:val="clear" w:color="auto" w:fill="FFEB9C"/>
          </w:tcPr>
          <w:p>
            <w:pPr>
              <w:jc w:val="center"/>
            </w:pPr>
            <w:r>
              <w:t>3</w:t>
            </w:r>
          </w:p>
        </w:tc>
        <w:tc>
          <w:tcPr>
            <w:tcW w:type="dxa" w:w="2351"/>
            <w:shd w:val="clear" w:color="auto" w:fill="FFEB9C"/>
          </w:tcPr>
          <w:p>
            <w:pPr>
              <w:jc w:val="center"/>
            </w:pPr>
            <w:r>
              <w:t>25%</w:t>
            </w:r>
          </w:p>
        </w:tc>
      </w:tr>
      <w:tr>
        <w:tc>
          <w:tcPr>
            <w:tcW w:type="dxa" w:w="2351"/>
          </w:tcPr>
          <w:p>
            <w:pPr>
              <w:jc w:val="center"/>
            </w:pPr>
            <w:r>
              <w:t>Balrampur_Set1</w:t>
            </w:r>
          </w:p>
        </w:tc>
        <w:tc>
          <w:tcPr>
            <w:tcW w:type="dxa" w:w="2351"/>
          </w:tcPr>
          <w:p>
            <w:pPr>
              <w:jc w:val="center"/>
            </w:pPr>
            <w:r>
              <w:t>12</w:t>
            </w:r>
          </w:p>
        </w:tc>
        <w:tc>
          <w:tcPr>
            <w:tcW w:type="dxa" w:w="2351"/>
            <w:shd w:val="clear" w:color="auto" w:fill="FFC7CE"/>
          </w:tcPr>
          <w:p>
            <w:pPr>
              <w:jc w:val="center"/>
            </w:pPr>
            <w:r>
              <w:t>5</w:t>
            </w:r>
          </w:p>
        </w:tc>
        <w:tc>
          <w:tcPr>
            <w:tcW w:type="dxa" w:w="2351"/>
            <w:shd w:val="clear" w:color="auto" w:fill="FFC7CE"/>
          </w:tcPr>
          <w:p>
            <w:pPr>
              <w:jc w:val="center"/>
            </w:pPr>
            <w:r>
              <w:t>42%</w:t>
            </w:r>
          </w:p>
        </w:tc>
      </w:tr>
      <w:tr>
        <w:tc>
          <w:tcPr>
            <w:tcW w:type="dxa" w:w="2351"/>
          </w:tcPr>
          <w:p>
            <w:pPr>
              <w:jc w:val="center"/>
            </w:pPr>
            <w:r>
              <w:t>Balrampur_Set2</w:t>
            </w:r>
          </w:p>
        </w:tc>
        <w:tc>
          <w:tcPr>
            <w:tcW w:type="dxa" w:w="2351"/>
          </w:tcPr>
          <w:p>
            <w:pPr>
              <w:jc w:val="center"/>
            </w:pPr>
            <w:r>
              <w:t>12</w:t>
            </w:r>
          </w:p>
        </w:tc>
        <w:tc>
          <w:tcPr>
            <w:tcW w:type="dxa" w:w="2351"/>
            <w:shd w:val="clear" w:color="auto" w:fill="FFC7CE"/>
          </w:tcPr>
          <w:p>
            <w:pPr>
              <w:jc w:val="center"/>
            </w:pPr>
            <w:r>
              <w:t>6</w:t>
            </w:r>
          </w:p>
        </w:tc>
        <w:tc>
          <w:tcPr>
            <w:tcW w:type="dxa" w:w="2351"/>
            <w:shd w:val="clear" w:color="auto" w:fill="FFC7CE"/>
          </w:tcPr>
          <w:p>
            <w:pPr>
              <w:jc w:val="center"/>
            </w:pPr>
            <w:r>
              <w:t>50%</w:t>
            </w:r>
          </w:p>
        </w:tc>
      </w:tr>
      <w:tr>
        <w:tc>
          <w:tcPr>
            <w:tcW w:type="dxa" w:w="2351"/>
          </w:tcPr>
          <w:p>
            <w:pPr>
              <w:jc w:val="center"/>
            </w:pPr>
            <w:r>
              <w:t>Surajpur_Set1</w:t>
            </w:r>
          </w:p>
        </w:tc>
        <w:tc>
          <w:tcPr>
            <w:tcW w:type="dxa" w:w="2351"/>
          </w:tcPr>
          <w:p>
            <w:pPr>
              <w:jc w:val="center"/>
            </w:pPr>
            <w:r>
              <w:t>12</w:t>
            </w:r>
          </w:p>
        </w:tc>
        <w:tc>
          <w:tcPr>
            <w:tcW w:type="dxa" w:w="2351"/>
            <w:shd w:val="clear" w:color="auto" w:fill="FFC7CE"/>
          </w:tcPr>
          <w:p>
            <w:pPr>
              <w:jc w:val="center"/>
            </w:pPr>
            <w:r>
              <w:t>6</w:t>
            </w:r>
          </w:p>
        </w:tc>
        <w:tc>
          <w:tcPr>
            <w:tcW w:type="dxa" w:w="2351"/>
            <w:shd w:val="clear" w:color="auto" w:fill="FFC7CE"/>
          </w:tcPr>
          <w:p>
            <w:pPr>
              <w:jc w:val="center"/>
            </w:pPr>
            <w:r>
              <w:t>50%</w:t>
            </w:r>
          </w:p>
        </w:tc>
      </w:tr>
      <w:tr>
        <w:tc>
          <w:tcPr>
            <w:tcW w:type="dxa" w:w="2351"/>
          </w:tcPr>
          <w:p>
            <w:pPr>
              <w:jc w:val="center"/>
            </w:pPr>
            <w:r>
              <w:t>Surajpur_Set2</w:t>
            </w:r>
          </w:p>
        </w:tc>
        <w:tc>
          <w:tcPr>
            <w:tcW w:type="dxa" w:w="2351"/>
          </w:tcPr>
          <w:p>
            <w:pPr>
              <w:jc w:val="center"/>
            </w:pPr>
            <w:r>
              <w:t>12</w:t>
            </w:r>
          </w:p>
        </w:tc>
        <w:tc>
          <w:tcPr>
            <w:tcW w:type="dxa" w:w="2351"/>
            <w:shd w:val="clear" w:color="auto" w:fill="FFC7CE"/>
          </w:tcPr>
          <w:p>
            <w:pPr>
              <w:jc w:val="center"/>
            </w:pPr>
            <w:r>
              <w:t>5</w:t>
            </w:r>
          </w:p>
        </w:tc>
        <w:tc>
          <w:tcPr>
            <w:tcW w:type="dxa" w:w="2351"/>
            <w:shd w:val="clear" w:color="auto" w:fill="FFC7CE"/>
          </w:tcPr>
          <w:p>
            <w:pPr>
              <w:jc w:val="center"/>
            </w:pPr>
            <w:r>
              <w:t>42%</w:t>
            </w:r>
          </w:p>
        </w:tc>
      </w:tr>
    </w:tbl>
    <w:p/>
    <w:p>
      <w:pPr>
        <w:pStyle w:val="Heading1"/>
      </w:pPr>
      <w:r>
        <w:rPr>
          <w:color w:val="1F4E79"/>
        </w:rPr>
        <w:t>Unrecognised Talukas (Root Cause)</w:t>
      </w:r>
    </w:p>
    <w:p>
      <w:pPr>
        <w:spacing w:after="80"/>
      </w:pPr>
      <w:r>
        <w:rPr>
          <w:b w:val="0"/>
          <w:sz w:val="20"/>
        </w:rPr>
        <w:t>The rows below appear across multiple sheets and scenarios because the chatbot's supported subdistrict list does not include these taluka names. Rows where the town/city name matches the district name (e.g. 'Surajpur' in Surajpur district) also triggered because the bot asked for a subdistrict, not the district.</w:t>
      </w:r>
    </w:p>
    <w:p/>
    <w:tbl>
      <w:tblPr>
        <w:tblStyle w:val="TableGrid"/>
        <w:tblW w:type="auto" w:w="0"/>
        <w:tblLook w:firstColumn="1" w:firstRow="1" w:lastColumn="0" w:lastRow="0" w:noHBand="0" w:noVBand="1" w:val="04A0"/>
      </w:tblPr>
      <w:tblGrid>
        <w:gridCol w:w="4703"/>
        <w:gridCol w:w="4703"/>
      </w:tblGrid>
      <w:tr>
        <w:tc>
          <w:tcPr>
            <w:tcW w:type="dxa" w:w="4703"/>
            <w:shd w:val="clear" w:color="auto" w:fill="2E75B6"/>
          </w:tcPr>
          <w:p>
            <w:pPr>
              <w:jc w:val="center"/>
            </w:pPr>
            <w:r>
              <w:rPr>
                <w:b/>
                <w:color w:val="FFFFFF"/>
              </w:rPr>
              <w:t>Taluka (as in prompts)</w:t>
            </w:r>
          </w:p>
        </w:tc>
        <w:tc>
          <w:tcPr>
            <w:tcW w:type="dxa" w:w="4703"/>
            <w:shd w:val="clear" w:color="auto" w:fill="2E75B6"/>
          </w:tcPr>
          <w:p>
            <w:pPr>
              <w:jc w:val="center"/>
            </w:pPr>
            <w:r>
              <w:rPr>
                <w:b/>
                <w:color w:val="FFFFFF"/>
              </w:rPr>
              <w:t>Rows Flagged</w:t>
            </w:r>
          </w:p>
        </w:tc>
      </w:tr>
      <w:tr>
        <w:tc>
          <w:tcPr>
            <w:tcW w:type="dxa" w:w="4703"/>
            <w:shd w:val="clear" w:color="auto" w:fill="FFC7CE"/>
          </w:tcPr>
          <w:p>
            <w:r>
              <w:t>Rajpur</w:t>
            </w:r>
          </w:p>
        </w:tc>
        <w:tc>
          <w:tcPr>
            <w:tcW w:type="dxa" w:w="4703"/>
            <w:shd w:val="clear" w:color="auto" w:fill="FFC7CE"/>
          </w:tcPr>
          <w:p>
            <w:pPr>
              <w:jc w:val="center"/>
            </w:pPr>
            <w:r>
              <w:t>8</w:t>
            </w:r>
          </w:p>
        </w:tc>
      </w:tr>
      <w:tr>
        <w:tc>
          <w:tcPr>
            <w:tcW w:type="dxa" w:w="4703"/>
            <w:shd w:val="clear" w:color="auto" w:fill="FFC7CE"/>
          </w:tcPr>
          <w:p>
            <w:r>
              <w:t>Bhaiyathan</w:t>
            </w:r>
          </w:p>
        </w:tc>
        <w:tc>
          <w:tcPr>
            <w:tcW w:type="dxa" w:w="4703"/>
            <w:shd w:val="clear" w:color="auto" w:fill="FFC7CE"/>
          </w:tcPr>
          <w:p>
            <w:pPr>
              <w:jc w:val="center"/>
            </w:pPr>
            <w:r>
              <w:t>8</w:t>
            </w:r>
          </w:p>
        </w:tc>
      </w:tr>
      <w:tr>
        <w:tc>
          <w:tcPr>
            <w:tcW w:type="dxa" w:w="4703"/>
            <w:shd w:val="clear" w:color="auto" w:fill="FFC7CE"/>
          </w:tcPr>
          <w:p>
            <w:r>
              <w:t>Tapkara</w:t>
            </w:r>
          </w:p>
        </w:tc>
        <w:tc>
          <w:tcPr>
            <w:tcW w:type="dxa" w:w="4703"/>
            <w:shd w:val="clear" w:color="auto" w:fill="FFC7CE"/>
          </w:tcPr>
          <w:p>
            <w:pPr>
              <w:jc w:val="center"/>
            </w:pPr>
            <w:r>
              <w:t>4</w:t>
            </w:r>
          </w:p>
        </w:tc>
      </w:tr>
      <w:tr>
        <w:tc>
          <w:tcPr>
            <w:tcW w:type="dxa" w:w="4703"/>
          </w:tcPr>
          <w:p>
            <w:r>
              <w:t>Wadrafnagar</w:t>
            </w:r>
          </w:p>
        </w:tc>
        <w:tc>
          <w:tcPr>
            <w:tcW w:type="dxa" w:w="4703"/>
          </w:tcPr>
          <w:p>
            <w:pPr>
              <w:jc w:val="center"/>
            </w:pPr>
            <w:r>
              <w:t>2</w:t>
            </w:r>
          </w:p>
        </w:tc>
      </w:tr>
      <w:tr>
        <w:tc>
          <w:tcPr>
            <w:tcW w:type="dxa" w:w="4703"/>
          </w:tcPr>
          <w:p>
            <w:r>
              <w:t>Surajpur</w:t>
            </w:r>
          </w:p>
        </w:tc>
        <w:tc>
          <w:tcPr>
            <w:tcW w:type="dxa" w:w="4703"/>
          </w:tcPr>
          <w:p>
            <w:pPr>
              <w:jc w:val="center"/>
            </w:pPr>
            <w:r>
              <w:t>2</w:t>
            </w:r>
          </w:p>
        </w:tc>
      </w:tr>
      <w:tr>
        <w:tc>
          <w:tcPr>
            <w:tcW w:type="dxa" w:w="4703"/>
          </w:tcPr>
          <w:p>
            <w:r>
              <w:t>Kunkuri</w:t>
            </w:r>
          </w:p>
        </w:tc>
        <w:tc>
          <w:tcPr>
            <w:tcW w:type="dxa" w:w="4703"/>
          </w:tcPr>
          <w:p>
            <w:pPr>
              <w:jc w:val="center"/>
            </w:pPr>
            <w:r>
              <w:t>1</w:t>
            </w:r>
          </w:p>
        </w:tc>
      </w:tr>
      <w:tr>
        <w:tc>
          <w:tcPr>
            <w:tcW w:type="dxa" w:w="4703"/>
          </w:tcPr>
          <w:p>
            <w:r>
              <w:t>Bagicha</w:t>
            </w:r>
          </w:p>
        </w:tc>
        <w:tc>
          <w:tcPr>
            <w:tcW w:type="dxa" w:w="4703"/>
          </w:tcPr>
          <w:p>
            <w:pPr>
              <w:jc w:val="center"/>
            </w:pPr>
            <w:r>
              <w:t>1</w:t>
            </w:r>
          </w:p>
        </w:tc>
      </w:tr>
      <w:tr>
        <w:tc>
          <w:tcPr>
            <w:tcW w:type="dxa" w:w="4703"/>
          </w:tcPr>
          <w:p>
            <w:r>
              <w:t>Balrampur</w:t>
            </w:r>
          </w:p>
        </w:tc>
        <w:tc>
          <w:tcPr>
            <w:tcW w:type="dxa" w:w="4703"/>
          </w:tcPr>
          <w:p>
            <w:pPr>
              <w:jc w:val="center"/>
            </w:pPr>
            <w:r>
              <w:t>1</w:t>
            </w:r>
          </w:p>
        </w:tc>
      </w:tr>
      <w:tr>
        <w:tc>
          <w:tcPr>
            <w:tcW w:type="dxa" w:w="4703"/>
          </w:tcPr>
          <w:p>
            <w:r>
              <w:t>Pratappur</w:t>
            </w:r>
          </w:p>
        </w:tc>
        <w:tc>
          <w:tcPr>
            <w:tcW w:type="dxa" w:w="4703"/>
          </w:tcPr>
          <w:p>
            <w:pPr>
              <w:jc w:val="center"/>
            </w:pPr>
            <w:r>
              <w:t>1</w:t>
            </w:r>
          </w:p>
        </w:tc>
      </w:tr>
    </w:tbl>
    <w:p/>
    <w:p>
      <w:pPr>
        <w:pStyle w:val="Heading1"/>
      </w:pPr>
      <w:r>
        <w:rPr>
          <w:color w:val="1F4E79"/>
        </w:rPr>
        <w:t>Flagged Rows by Sheet</w:t>
      </w:r>
    </w:p>
    <w:p>
      <w:pPr>
        <w:pStyle w:val="Heading2"/>
      </w:pPr>
      <w:r>
        <w:rPr>
          <w:color w:val="2E75B6"/>
        </w:rPr>
        <w:t>Jashpur_Set1  —  3 / 12 flagged</w:t>
      </w:r>
    </w:p>
    <w:tbl>
      <w:tblPr>
        <w:tblStyle w:val="TableGrid"/>
        <w:tblW w:type="auto" w:w="0"/>
        <w:tblLook w:firstColumn="1" w:firstRow="1" w:lastColumn="0" w:lastRow="0" w:noHBand="0" w:noVBand="1" w:val="04A0"/>
      </w:tblPr>
      <w:tblGrid>
        <w:gridCol w:w="720"/>
        <w:gridCol w:w="1584"/>
        <w:gridCol w:w="2880"/>
        <w:gridCol w:w="1728"/>
        <w:gridCol w:w="5184"/>
      </w:tblGrid>
      <w:tr>
        <w:tc>
          <w:tcPr>
            <w:tcW w:type="dxa" w:w="1881"/>
            <w:shd w:val="clear" w:color="auto" w:fill="1F4E79"/>
          </w:tcPr>
          <w:p>
            <w:pPr>
              <w:jc w:val="center"/>
            </w:pPr>
            <w:r>
              <w:rPr>
                <w:b/>
                <w:color w:val="FFFFFF"/>
              </w:rPr>
              <w:t>Row</w:t>
            </w:r>
          </w:p>
        </w:tc>
        <w:tc>
          <w:tcPr>
            <w:tcW w:type="dxa" w:w="1881"/>
            <w:shd w:val="clear" w:color="auto" w:fill="1F4E79"/>
          </w:tcPr>
          <w:p>
            <w:pPr>
              <w:jc w:val="center"/>
            </w:pPr>
            <w:r>
              <w:rPr>
                <w:b/>
                <w:color w:val="FFFFFF"/>
              </w:rPr>
              <w:t>Language</w:t>
            </w:r>
          </w:p>
        </w:tc>
        <w:tc>
          <w:tcPr>
            <w:tcW w:type="dxa" w:w="1881"/>
            <w:shd w:val="clear" w:color="auto" w:fill="1F4E79"/>
          </w:tcPr>
          <w:p>
            <w:pPr>
              <w:jc w:val="center"/>
            </w:pPr>
            <w:r>
              <w:rPr>
                <w:b/>
                <w:color w:val="FFFFFF"/>
              </w:rPr>
              <w:t>Scenario</w:t>
            </w:r>
          </w:p>
        </w:tc>
        <w:tc>
          <w:tcPr>
            <w:tcW w:type="dxa" w:w="1881"/>
            <w:shd w:val="clear" w:color="auto" w:fill="1F4E79"/>
          </w:tcPr>
          <w:p>
            <w:pPr>
              <w:jc w:val="center"/>
            </w:pPr>
            <w:r>
              <w:rPr>
                <w:b/>
                <w:color w:val="FFFFFF"/>
              </w:rPr>
              <w:t>Taluka</w:t>
            </w:r>
          </w:p>
        </w:tc>
        <w:tc>
          <w:tcPr>
            <w:tcW w:type="dxa" w:w="1881"/>
            <w:shd w:val="clear" w:color="auto" w:fill="1F4E79"/>
          </w:tcPr>
          <w:p>
            <w:pPr>
              <w:jc w:val="center"/>
            </w:pPr>
            <w:r>
              <w:rPr>
                <w:b/>
                <w:color w:val="FFFFFF"/>
              </w:rPr>
              <w:t>Flags</w:t>
            </w:r>
          </w:p>
        </w:tc>
      </w:tr>
      <w:tr>
        <w:tc>
          <w:tcPr>
            <w:tcW w:type="dxa" w:w="720"/>
            <w:vAlign w:val="top"/>
          </w:tcPr>
          <w:p>
            <w:pPr>
              <w:spacing w:after="40"/>
            </w:pPr>
            <w:r>
              <w:t>#5</w:t>
            </w:r>
          </w:p>
        </w:tc>
        <w:tc>
          <w:tcPr>
            <w:tcW w:type="dxa" w:w="1584"/>
            <w:vAlign w:val="top"/>
          </w:tcPr>
          <w:p>
            <w:pPr>
              <w:spacing w:after="40"/>
            </w:pPr>
            <w:r>
              <w:t>Hindi</w:t>
            </w:r>
          </w:p>
        </w:tc>
        <w:tc>
          <w:tcPr>
            <w:tcW w:type="dxa" w:w="2880"/>
            <w:vAlign w:val="top"/>
          </w:tcPr>
          <w:p>
            <w:pPr>
              <w:spacing w:after="40"/>
            </w:pPr>
            <w:r>
              <w:t>Normal Onset</w:t>
            </w:r>
          </w:p>
        </w:tc>
        <w:tc>
          <w:tcPr>
            <w:tcW w:type="dxa" w:w="1728"/>
            <w:vAlign w:val="top"/>
          </w:tcPr>
          <w:p>
            <w:pPr>
              <w:spacing w:after="40"/>
            </w:pPr>
            <w:r>
              <w:t>Tapkara</w:t>
            </w:r>
          </w:p>
        </w:tc>
        <w:tc>
          <w:tcPr>
            <w:tcW w:type="dxa" w:w="5184"/>
            <w:vAlign w:val="top"/>
            <w:shd w:val="clear" w:color="auto" w:fill="FFEB9C"/>
          </w:tcPr>
          <w:p>
            <w:pPr>
              <w:spacing w:after="40"/>
            </w:pPr>
            <w:r>
              <w:rPr>
                <w:sz w:val="18"/>
              </w:rPr>
              <w:t>EN adversarial — 'not currently supported'</w:t>
              <w:br/>
              <w:t>HI adversarial — 'कृपया'</w:t>
            </w:r>
          </w:p>
        </w:tc>
      </w:tr>
      <w:tr>
        <w:tc>
          <w:tcPr>
            <w:tcW w:type="dxa" w:w="720"/>
            <w:vAlign w:val="top"/>
          </w:tcPr>
          <w:p>
            <w:pPr>
              <w:spacing w:after="40"/>
            </w:pPr>
            <w:r>
              <w:t>#6</w:t>
            </w:r>
          </w:p>
        </w:tc>
        <w:tc>
          <w:tcPr>
            <w:tcW w:type="dxa" w:w="1584"/>
            <w:vAlign w:val="top"/>
          </w:tcPr>
          <w:p>
            <w:pPr>
              <w:spacing w:after="40"/>
            </w:pPr>
            <w:r>
              <w:t>Hinglish</w:t>
            </w:r>
          </w:p>
        </w:tc>
        <w:tc>
          <w:tcPr>
            <w:tcW w:type="dxa" w:w="2880"/>
            <w:vAlign w:val="top"/>
          </w:tcPr>
          <w:p>
            <w:pPr>
              <w:spacing w:after="40"/>
            </w:pPr>
            <w:r>
              <w:t>Normal Onset</w:t>
            </w:r>
          </w:p>
        </w:tc>
        <w:tc>
          <w:tcPr>
            <w:tcW w:type="dxa" w:w="1728"/>
            <w:vAlign w:val="top"/>
          </w:tcPr>
          <w:p>
            <w:pPr>
              <w:spacing w:after="40"/>
            </w:pPr>
            <w:r>
              <w:t>Kunkuri</w:t>
            </w:r>
          </w:p>
        </w:tc>
        <w:tc>
          <w:tcPr>
            <w:tcW w:type="dxa" w:w="5184"/>
            <w:vAlign w:val="top"/>
            <w:shd w:val="clear" w:color="auto" w:fill="FFC7CE"/>
          </w:tcPr>
          <w:p>
            <w:pPr>
              <w:spacing w:after="40"/>
            </w:pPr>
            <w:r>
              <w:rPr>
                <w:sz w:val="18"/>
              </w:rPr>
              <w:t>EN adversarial — 'not covered'</w:t>
              <w:br/>
              <w:t>Missing Hindi response</w:t>
            </w:r>
          </w:p>
        </w:tc>
      </w:tr>
      <w:tr>
        <w:tc>
          <w:tcPr>
            <w:tcW w:type="dxa" w:w="720"/>
            <w:vAlign w:val="top"/>
          </w:tcPr>
          <w:p>
            <w:pPr>
              <w:spacing w:after="40"/>
            </w:pPr>
            <w:r>
              <w:t>#10</w:t>
            </w:r>
          </w:p>
        </w:tc>
        <w:tc>
          <w:tcPr>
            <w:tcW w:type="dxa" w:w="1584"/>
            <w:vAlign w:val="top"/>
          </w:tcPr>
          <w:p>
            <w:pPr>
              <w:spacing w:after="40"/>
            </w:pPr>
            <w:r>
              <w:t>English</w:t>
            </w:r>
          </w:p>
        </w:tc>
        <w:tc>
          <w:tcPr>
            <w:tcW w:type="dxa" w:w="2880"/>
            <w:vAlign w:val="top"/>
          </w:tcPr>
          <w:p>
            <w:pPr>
              <w:spacing w:after="40"/>
            </w:pPr>
            <w:r>
              <w:t>Delayed Onset – 4 Weeks</w:t>
            </w:r>
          </w:p>
        </w:tc>
        <w:tc>
          <w:tcPr>
            <w:tcW w:type="dxa" w:w="1728"/>
            <w:vAlign w:val="top"/>
          </w:tcPr>
          <w:p>
            <w:pPr>
              <w:spacing w:after="40"/>
            </w:pPr>
            <w:r>
              <w:t>Tapkara</w:t>
            </w:r>
          </w:p>
        </w:tc>
        <w:tc>
          <w:tcPr>
            <w:tcW w:type="dxa" w:w="5184"/>
            <w:vAlign w:val="top"/>
            <w:shd w:val="clear" w:color="auto" w:fill="FFEB9C"/>
          </w:tcPr>
          <w:p>
            <w:pPr>
              <w:spacing w:after="40"/>
            </w:pPr>
            <w:r>
              <w:rPr>
                <w:sz w:val="18"/>
              </w:rPr>
              <w:t>EN adversarial — 'not currently supported'</w:t>
              <w:br/>
              <w:t>HI adversarial — 'कृपया'</w:t>
            </w:r>
          </w:p>
        </w:tc>
      </w:tr>
    </w:tbl>
    <w:p/>
    <w:p>
      <w:pPr>
        <w:pStyle w:val="Heading2"/>
      </w:pPr>
      <w:r>
        <w:rPr>
          <w:color w:val="2E75B6"/>
        </w:rPr>
        <w:t>Jashpur_Set2  —  3 / 12 flagged</w:t>
      </w:r>
    </w:p>
    <w:tbl>
      <w:tblPr>
        <w:tblStyle w:val="TableGrid"/>
        <w:tblW w:type="auto" w:w="0"/>
        <w:tblLook w:firstColumn="1" w:firstRow="1" w:lastColumn="0" w:lastRow="0" w:noHBand="0" w:noVBand="1" w:val="04A0"/>
      </w:tblPr>
      <w:tblGrid>
        <w:gridCol w:w="720"/>
        <w:gridCol w:w="1584"/>
        <w:gridCol w:w="2880"/>
        <w:gridCol w:w="1728"/>
        <w:gridCol w:w="5184"/>
      </w:tblGrid>
      <w:tr>
        <w:tc>
          <w:tcPr>
            <w:tcW w:type="dxa" w:w="1881"/>
            <w:shd w:val="clear" w:color="auto" w:fill="1F4E79"/>
          </w:tcPr>
          <w:p>
            <w:pPr>
              <w:jc w:val="center"/>
            </w:pPr>
            <w:r>
              <w:rPr>
                <w:b/>
                <w:color w:val="FFFFFF"/>
              </w:rPr>
              <w:t>Row</w:t>
            </w:r>
          </w:p>
        </w:tc>
        <w:tc>
          <w:tcPr>
            <w:tcW w:type="dxa" w:w="1881"/>
            <w:shd w:val="clear" w:color="auto" w:fill="1F4E79"/>
          </w:tcPr>
          <w:p>
            <w:pPr>
              <w:jc w:val="center"/>
            </w:pPr>
            <w:r>
              <w:rPr>
                <w:b/>
                <w:color w:val="FFFFFF"/>
              </w:rPr>
              <w:t>Language</w:t>
            </w:r>
          </w:p>
        </w:tc>
        <w:tc>
          <w:tcPr>
            <w:tcW w:type="dxa" w:w="1881"/>
            <w:shd w:val="clear" w:color="auto" w:fill="1F4E79"/>
          </w:tcPr>
          <w:p>
            <w:pPr>
              <w:jc w:val="center"/>
            </w:pPr>
            <w:r>
              <w:rPr>
                <w:b/>
                <w:color w:val="FFFFFF"/>
              </w:rPr>
              <w:t>Scenario</w:t>
            </w:r>
          </w:p>
        </w:tc>
        <w:tc>
          <w:tcPr>
            <w:tcW w:type="dxa" w:w="1881"/>
            <w:shd w:val="clear" w:color="auto" w:fill="1F4E79"/>
          </w:tcPr>
          <w:p>
            <w:pPr>
              <w:jc w:val="center"/>
            </w:pPr>
            <w:r>
              <w:rPr>
                <w:b/>
                <w:color w:val="FFFFFF"/>
              </w:rPr>
              <w:t>Taluka</w:t>
            </w:r>
          </w:p>
        </w:tc>
        <w:tc>
          <w:tcPr>
            <w:tcW w:type="dxa" w:w="1881"/>
            <w:shd w:val="clear" w:color="auto" w:fill="1F4E79"/>
          </w:tcPr>
          <w:p>
            <w:pPr>
              <w:jc w:val="center"/>
            </w:pPr>
            <w:r>
              <w:rPr>
                <w:b/>
                <w:color w:val="FFFFFF"/>
              </w:rPr>
              <w:t>Flags</w:t>
            </w:r>
          </w:p>
        </w:tc>
      </w:tr>
      <w:tr>
        <w:tc>
          <w:tcPr>
            <w:tcW w:type="dxa" w:w="720"/>
            <w:vAlign w:val="top"/>
          </w:tcPr>
          <w:p>
            <w:pPr>
              <w:spacing w:after="40"/>
            </w:pPr>
            <w:r>
              <w:t>#3</w:t>
            </w:r>
          </w:p>
        </w:tc>
        <w:tc>
          <w:tcPr>
            <w:tcW w:type="dxa" w:w="1584"/>
            <w:vAlign w:val="top"/>
          </w:tcPr>
          <w:p>
            <w:pPr>
              <w:spacing w:after="40"/>
            </w:pPr>
            <w:r>
              <w:t>Hinglish</w:t>
            </w:r>
          </w:p>
        </w:tc>
        <w:tc>
          <w:tcPr>
            <w:tcW w:type="dxa" w:w="2880"/>
            <w:vAlign w:val="top"/>
          </w:tcPr>
          <w:p>
            <w:pPr>
              <w:spacing w:after="40"/>
            </w:pPr>
            <w:r>
              <w:t>Delayed Onset – 6 Weeks</w:t>
            </w:r>
          </w:p>
        </w:tc>
        <w:tc>
          <w:tcPr>
            <w:tcW w:type="dxa" w:w="1728"/>
            <w:vAlign w:val="top"/>
          </w:tcPr>
          <w:p>
            <w:pPr>
              <w:spacing w:after="40"/>
            </w:pPr>
            <w:r>
              <w:t>Tapkara</w:t>
            </w:r>
          </w:p>
        </w:tc>
        <w:tc>
          <w:tcPr>
            <w:tcW w:type="dxa" w:w="5184"/>
            <w:vAlign w:val="top"/>
            <w:shd w:val="clear" w:color="auto" w:fill="FFEB9C"/>
          </w:tcPr>
          <w:p>
            <w:pPr>
              <w:spacing w:after="40"/>
            </w:pPr>
            <w:r>
              <w:rPr>
                <w:sz w:val="18"/>
              </w:rPr>
              <w:t>EN adversarial — 'not currently supported'</w:t>
            </w:r>
          </w:p>
        </w:tc>
      </w:tr>
      <w:tr>
        <w:tc>
          <w:tcPr>
            <w:tcW w:type="dxa" w:w="720"/>
            <w:vAlign w:val="top"/>
          </w:tcPr>
          <w:p>
            <w:pPr>
              <w:spacing w:after="40"/>
            </w:pPr>
            <w:r>
              <w:t>#6</w:t>
            </w:r>
          </w:p>
        </w:tc>
        <w:tc>
          <w:tcPr>
            <w:tcW w:type="dxa" w:w="1584"/>
            <w:vAlign w:val="top"/>
          </w:tcPr>
          <w:p>
            <w:pPr>
              <w:spacing w:after="40"/>
            </w:pPr>
            <w:r>
              <w:t>Hinglish</w:t>
            </w:r>
          </w:p>
        </w:tc>
        <w:tc>
          <w:tcPr>
            <w:tcW w:type="dxa" w:w="2880"/>
            <w:vAlign w:val="top"/>
          </w:tcPr>
          <w:p>
            <w:pPr>
              <w:spacing w:after="40"/>
            </w:pPr>
            <w:r>
              <w:t>Delayed Onset – 8 Weeks</w:t>
            </w:r>
          </w:p>
        </w:tc>
        <w:tc>
          <w:tcPr>
            <w:tcW w:type="dxa" w:w="1728"/>
            <w:vAlign w:val="top"/>
          </w:tcPr>
          <w:p>
            <w:pPr>
              <w:spacing w:after="40"/>
            </w:pPr>
            <w:r>
              <w:t>Bagicha</w:t>
            </w:r>
          </w:p>
        </w:tc>
        <w:tc>
          <w:tcPr>
            <w:tcW w:type="dxa" w:w="5184"/>
            <w:vAlign w:val="top"/>
            <w:shd w:val="clear" w:color="auto" w:fill="FFEB9C"/>
          </w:tcPr>
          <w:p>
            <w:pPr>
              <w:spacing w:after="40"/>
            </w:pPr>
            <w:r>
              <w:rPr>
                <w:sz w:val="18"/>
              </w:rPr>
              <w:t>EN adversarial — 'proof-of-concept'</w:t>
            </w:r>
          </w:p>
        </w:tc>
      </w:tr>
      <w:tr>
        <w:tc>
          <w:tcPr>
            <w:tcW w:type="dxa" w:w="720"/>
            <w:vAlign w:val="top"/>
          </w:tcPr>
          <w:p>
            <w:pPr>
              <w:spacing w:after="40"/>
            </w:pPr>
            <w:r>
              <w:t>#11</w:t>
            </w:r>
          </w:p>
        </w:tc>
        <w:tc>
          <w:tcPr>
            <w:tcW w:type="dxa" w:w="1584"/>
            <w:vAlign w:val="top"/>
          </w:tcPr>
          <w:p>
            <w:pPr>
              <w:spacing w:after="40"/>
            </w:pPr>
            <w:r>
              <w:t>Hindi</w:t>
            </w:r>
          </w:p>
        </w:tc>
        <w:tc>
          <w:tcPr>
            <w:tcW w:type="dxa" w:w="2880"/>
            <w:vAlign w:val="top"/>
          </w:tcPr>
          <w:p>
            <w:pPr>
              <w:spacing w:after="40"/>
            </w:pPr>
            <w:r>
              <w:t>Delayed Onset – 2 Weeks</w:t>
            </w:r>
          </w:p>
        </w:tc>
        <w:tc>
          <w:tcPr>
            <w:tcW w:type="dxa" w:w="1728"/>
            <w:vAlign w:val="top"/>
          </w:tcPr>
          <w:p>
            <w:pPr>
              <w:spacing w:after="40"/>
            </w:pPr>
            <w:r>
              <w:t>Tapkara</w:t>
            </w:r>
          </w:p>
        </w:tc>
        <w:tc>
          <w:tcPr>
            <w:tcW w:type="dxa" w:w="5184"/>
            <w:vAlign w:val="top"/>
            <w:shd w:val="clear" w:color="auto" w:fill="FFEB9C"/>
          </w:tcPr>
          <w:p>
            <w:pPr>
              <w:spacing w:after="40"/>
            </w:pPr>
            <w:r>
              <w:rPr>
                <w:sz w:val="18"/>
              </w:rPr>
              <w:t>EN adversarial — 'currently supported'</w:t>
              <w:br/>
              <w:t>HI adversarial — 'कृपया'</w:t>
            </w:r>
          </w:p>
        </w:tc>
      </w:tr>
    </w:tbl>
    <w:p/>
    <w:p>
      <w:pPr>
        <w:pStyle w:val="Heading2"/>
      </w:pPr>
      <w:r>
        <w:rPr>
          <w:color w:val="2E75B6"/>
        </w:rPr>
        <w:t>Balrampur_Set1  —  5 / 12 flagged</w:t>
      </w:r>
    </w:p>
    <w:tbl>
      <w:tblPr>
        <w:tblStyle w:val="TableGrid"/>
        <w:tblW w:type="auto" w:w="0"/>
        <w:tblLook w:firstColumn="1" w:firstRow="1" w:lastColumn="0" w:lastRow="0" w:noHBand="0" w:noVBand="1" w:val="04A0"/>
      </w:tblPr>
      <w:tblGrid>
        <w:gridCol w:w="720"/>
        <w:gridCol w:w="1584"/>
        <w:gridCol w:w="2880"/>
        <w:gridCol w:w="1728"/>
        <w:gridCol w:w="5184"/>
      </w:tblGrid>
      <w:tr>
        <w:tc>
          <w:tcPr>
            <w:tcW w:type="dxa" w:w="1881"/>
            <w:shd w:val="clear" w:color="auto" w:fill="1F4E79"/>
          </w:tcPr>
          <w:p>
            <w:pPr>
              <w:jc w:val="center"/>
            </w:pPr>
            <w:r>
              <w:rPr>
                <w:b/>
                <w:color w:val="FFFFFF"/>
              </w:rPr>
              <w:t>Row</w:t>
            </w:r>
          </w:p>
        </w:tc>
        <w:tc>
          <w:tcPr>
            <w:tcW w:type="dxa" w:w="1881"/>
            <w:shd w:val="clear" w:color="auto" w:fill="1F4E79"/>
          </w:tcPr>
          <w:p>
            <w:pPr>
              <w:jc w:val="center"/>
            </w:pPr>
            <w:r>
              <w:rPr>
                <w:b/>
                <w:color w:val="FFFFFF"/>
              </w:rPr>
              <w:t>Language</w:t>
            </w:r>
          </w:p>
        </w:tc>
        <w:tc>
          <w:tcPr>
            <w:tcW w:type="dxa" w:w="1881"/>
            <w:shd w:val="clear" w:color="auto" w:fill="1F4E79"/>
          </w:tcPr>
          <w:p>
            <w:pPr>
              <w:jc w:val="center"/>
            </w:pPr>
            <w:r>
              <w:rPr>
                <w:b/>
                <w:color w:val="FFFFFF"/>
              </w:rPr>
              <w:t>Scenario</w:t>
            </w:r>
          </w:p>
        </w:tc>
        <w:tc>
          <w:tcPr>
            <w:tcW w:type="dxa" w:w="1881"/>
            <w:shd w:val="clear" w:color="auto" w:fill="1F4E79"/>
          </w:tcPr>
          <w:p>
            <w:pPr>
              <w:jc w:val="center"/>
            </w:pPr>
            <w:r>
              <w:rPr>
                <w:b/>
                <w:color w:val="FFFFFF"/>
              </w:rPr>
              <w:t>Taluka</w:t>
            </w:r>
          </w:p>
        </w:tc>
        <w:tc>
          <w:tcPr>
            <w:tcW w:type="dxa" w:w="1881"/>
            <w:shd w:val="clear" w:color="auto" w:fill="1F4E79"/>
          </w:tcPr>
          <w:p>
            <w:pPr>
              <w:jc w:val="center"/>
            </w:pPr>
            <w:r>
              <w:rPr>
                <w:b/>
                <w:color w:val="FFFFFF"/>
              </w:rPr>
              <w:t>Flags</w:t>
            </w:r>
          </w:p>
        </w:tc>
      </w:tr>
      <w:tr>
        <w:tc>
          <w:tcPr>
            <w:tcW w:type="dxa" w:w="720"/>
            <w:vAlign w:val="top"/>
          </w:tcPr>
          <w:p>
            <w:pPr>
              <w:spacing w:after="40"/>
            </w:pPr>
            <w:r>
              <w:t>#2</w:t>
            </w:r>
          </w:p>
        </w:tc>
        <w:tc>
          <w:tcPr>
            <w:tcW w:type="dxa" w:w="1584"/>
            <w:vAlign w:val="top"/>
          </w:tcPr>
          <w:p>
            <w:pPr>
              <w:spacing w:after="40"/>
            </w:pPr>
            <w:r>
              <w:t>Hindi</w:t>
            </w:r>
          </w:p>
        </w:tc>
        <w:tc>
          <w:tcPr>
            <w:tcW w:type="dxa" w:w="2880"/>
            <w:vAlign w:val="top"/>
          </w:tcPr>
          <w:p>
            <w:pPr>
              <w:spacing w:after="40"/>
            </w:pPr>
            <w:r>
              <w:t>Early Onset</w:t>
            </w:r>
          </w:p>
        </w:tc>
        <w:tc>
          <w:tcPr>
            <w:tcW w:type="dxa" w:w="1728"/>
            <w:vAlign w:val="top"/>
          </w:tcPr>
          <w:p>
            <w:pPr>
              <w:spacing w:after="40"/>
            </w:pPr>
            <w:r>
              <w:t>Rajpur</w:t>
            </w:r>
          </w:p>
        </w:tc>
        <w:tc>
          <w:tcPr>
            <w:tcW w:type="dxa" w:w="5184"/>
            <w:vAlign w:val="top"/>
            <w:shd w:val="clear" w:color="auto" w:fill="FFEB9C"/>
          </w:tcPr>
          <w:p>
            <w:pPr>
              <w:spacing w:after="40"/>
            </w:pPr>
            <w:r>
              <w:rPr>
                <w:sz w:val="18"/>
              </w:rPr>
              <w:t>EN adversarial — 'not currently supported'</w:t>
            </w:r>
          </w:p>
        </w:tc>
      </w:tr>
      <w:tr>
        <w:tc>
          <w:tcPr>
            <w:tcW w:type="dxa" w:w="720"/>
            <w:vAlign w:val="top"/>
          </w:tcPr>
          <w:p>
            <w:pPr>
              <w:spacing w:after="40"/>
            </w:pPr>
            <w:r>
              <w:t>#5</w:t>
            </w:r>
          </w:p>
        </w:tc>
        <w:tc>
          <w:tcPr>
            <w:tcW w:type="dxa" w:w="1584"/>
            <w:vAlign w:val="top"/>
          </w:tcPr>
          <w:p>
            <w:pPr>
              <w:spacing w:after="40"/>
            </w:pPr>
            <w:r>
              <w:t>Hindi</w:t>
            </w:r>
          </w:p>
        </w:tc>
        <w:tc>
          <w:tcPr>
            <w:tcW w:type="dxa" w:w="2880"/>
            <w:vAlign w:val="top"/>
          </w:tcPr>
          <w:p>
            <w:pPr>
              <w:spacing w:after="40"/>
            </w:pPr>
            <w:r>
              <w:t>Normal Onset</w:t>
            </w:r>
          </w:p>
        </w:tc>
        <w:tc>
          <w:tcPr>
            <w:tcW w:type="dxa" w:w="1728"/>
            <w:vAlign w:val="top"/>
          </w:tcPr>
          <w:p>
            <w:pPr>
              <w:spacing w:after="40"/>
            </w:pPr>
            <w:r>
              <w:t>Rajpur</w:t>
            </w:r>
          </w:p>
        </w:tc>
        <w:tc>
          <w:tcPr>
            <w:tcW w:type="dxa" w:w="5184"/>
            <w:vAlign w:val="top"/>
            <w:shd w:val="clear" w:color="auto" w:fill="FFEB9C"/>
          </w:tcPr>
          <w:p>
            <w:pPr>
              <w:spacing w:after="40"/>
            </w:pPr>
            <w:r>
              <w:rPr>
                <w:sz w:val="18"/>
              </w:rPr>
              <w:t>EN adversarial — 'which district'</w:t>
            </w:r>
          </w:p>
        </w:tc>
      </w:tr>
      <w:tr>
        <w:tc>
          <w:tcPr>
            <w:tcW w:type="dxa" w:w="720"/>
            <w:vAlign w:val="top"/>
          </w:tcPr>
          <w:p>
            <w:pPr>
              <w:spacing w:after="40"/>
            </w:pPr>
            <w:r>
              <w:t>#8</w:t>
            </w:r>
          </w:p>
        </w:tc>
        <w:tc>
          <w:tcPr>
            <w:tcW w:type="dxa" w:w="1584"/>
            <w:vAlign w:val="top"/>
          </w:tcPr>
          <w:p>
            <w:pPr>
              <w:spacing w:after="40"/>
            </w:pPr>
            <w:r>
              <w:t>Hindi</w:t>
            </w:r>
          </w:p>
        </w:tc>
        <w:tc>
          <w:tcPr>
            <w:tcW w:type="dxa" w:w="2880"/>
            <w:vAlign w:val="top"/>
          </w:tcPr>
          <w:p>
            <w:pPr>
              <w:spacing w:after="40"/>
            </w:pPr>
            <w:r>
              <w:t>Delayed Onset – 2 Weeks</w:t>
            </w:r>
          </w:p>
        </w:tc>
        <w:tc>
          <w:tcPr>
            <w:tcW w:type="dxa" w:w="1728"/>
            <w:vAlign w:val="top"/>
          </w:tcPr>
          <w:p>
            <w:pPr>
              <w:spacing w:after="40"/>
            </w:pPr>
            <w:r>
              <w:t>Rajpur</w:t>
            </w:r>
          </w:p>
        </w:tc>
        <w:tc>
          <w:tcPr>
            <w:tcW w:type="dxa" w:w="5184"/>
            <w:vAlign w:val="top"/>
            <w:shd w:val="clear" w:color="auto" w:fill="FFEB9C"/>
          </w:tcPr>
          <w:p>
            <w:pPr>
              <w:spacing w:after="40"/>
            </w:pPr>
            <w:r>
              <w:rPr>
                <w:sz w:val="18"/>
              </w:rPr>
              <w:t>EN adversarial — 'clarification: 'what is your''</w:t>
              <w:br/>
              <w:t>HI adversarial — 'कृपया'</w:t>
            </w:r>
          </w:p>
        </w:tc>
      </w:tr>
      <w:tr>
        <w:tc>
          <w:tcPr>
            <w:tcW w:type="dxa" w:w="720"/>
            <w:vAlign w:val="top"/>
          </w:tcPr>
          <w:p>
            <w:pPr>
              <w:spacing w:after="40"/>
            </w:pPr>
            <w:r>
              <w:t>#10</w:t>
            </w:r>
          </w:p>
        </w:tc>
        <w:tc>
          <w:tcPr>
            <w:tcW w:type="dxa" w:w="1584"/>
            <w:vAlign w:val="top"/>
          </w:tcPr>
          <w:p>
            <w:pPr>
              <w:spacing w:after="40"/>
            </w:pPr>
            <w:r>
              <w:t>English</w:t>
            </w:r>
          </w:p>
        </w:tc>
        <w:tc>
          <w:tcPr>
            <w:tcW w:type="dxa" w:w="2880"/>
            <w:vAlign w:val="top"/>
          </w:tcPr>
          <w:p>
            <w:pPr>
              <w:spacing w:after="40"/>
            </w:pPr>
            <w:r>
              <w:t>Delayed Onset – 4 Weeks</w:t>
            </w:r>
          </w:p>
        </w:tc>
        <w:tc>
          <w:tcPr>
            <w:tcW w:type="dxa" w:w="1728"/>
            <w:vAlign w:val="top"/>
          </w:tcPr>
          <w:p>
            <w:pPr>
              <w:spacing w:after="40"/>
            </w:pPr>
            <w:r>
              <w:t>Balrampur</w:t>
            </w:r>
          </w:p>
        </w:tc>
        <w:tc>
          <w:tcPr>
            <w:tcW w:type="dxa" w:w="5184"/>
            <w:vAlign w:val="top"/>
            <w:shd w:val="clear" w:color="auto" w:fill="FFEB9C"/>
          </w:tcPr>
          <w:p>
            <w:pPr>
              <w:spacing w:after="40"/>
            </w:pPr>
            <w:r>
              <w:rPr>
                <w:sz w:val="18"/>
              </w:rPr>
              <w:t>EN adversarial — 'clarification: 'which subdistrict''</w:t>
            </w:r>
          </w:p>
        </w:tc>
      </w:tr>
      <w:tr>
        <w:tc>
          <w:tcPr>
            <w:tcW w:type="dxa" w:w="720"/>
            <w:vAlign w:val="top"/>
          </w:tcPr>
          <w:p>
            <w:pPr>
              <w:spacing w:after="40"/>
            </w:pPr>
            <w:r>
              <w:t>#11</w:t>
            </w:r>
          </w:p>
        </w:tc>
        <w:tc>
          <w:tcPr>
            <w:tcW w:type="dxa" w:w="1584"/>
            <w:vAlign w:val="top"/>
          </w:tcPr>
          <w:p>
            <w:pPr>
              <w:spacing w:after="40"/>
            </w:pPr>
            <w:r>
              <w:t>Hindi</w:t>
            </w:r>
          </w:p>
        </w:tc>
        <w:tc>
          <w:tcPr>
            <w:tcW w:type="dxa" w:w="2880"/>
            <w:vAlign w:val="top"/>
          </w:tcPr>
          <w:p>
            <w:pPr>
              <w:spacing w:after="40"/>
            </w:pPr>
            <w:r>
              <w:t>Delayed Onset – 4 Weeks</w:t>
            </w:r>
          </w:p>
        </w:tc>
        <w:tc>
          <w:tcPr>
            <w:tcW w:type="dxa" w:w="1728"/>
            <w:vAlign w:val="top"/>
          </w:tcPr>
          <w:p>
            <w:pPr>
              <w:spacing w:after="40"/>
            </w:pPr>
            <w:r>
              <w:t>Rajpur</w:t>
            </w:r>
          </w:p>
        </w:tc>
        <w:tc>
          <w:tcPr>
            <w:tcW w:type="dxa" w:w="5184"/>
            <w:vAlign w:val="top"/>
            <w:shd w:val="clear" w:color="auto" w:fill="FFEB9C"/>
          </w:tcPr>
          <w:p>
            <w:pPr>
              <w:spacing w:after="40"/>
            </w:pPr>
            <w:r>
              <w:rPr>
                <w:sz w:val="18"/>
              </w:rPr>
              <w:t>EN adversarial — 'not currently supported'</w:t>
            </w:r>
          </w:p>
        </w:tc>
      </w:tr>
    </w:tbl>
    <w:p/>
    <w:p>
      <w:pPr>
        <w:pStyle w:val="Heading2"/>
      </w:pPr>
      <w:r>
        <w:rPr>
          <w:color w:val="2E75B6"/>
        </w:rPr>
        <w:t>Balrampur_Set2  —  6 / 12 flagged</w:t>
      </w:r>
    </w:p>
    <w:tbl>
      <w:tblPr>
        <w:tblStyle w:val="TableGrid"/>
        <w:tblW w:type="auto" w:w="0"/>
        <w:tblLook w:firstColumn="1" w:firstRow="1" w:lastColumn="0" w:lastRow="0" w:noHBand="0" w:noVBand="1" w:val="04A0"/>
      </w:tblPr>
      <w:tblGrid>
        <w:gridCol w:w="720"/>
        <w:gridCol w:w="1584"/>
        <w:gridCol w:w="2880"/>
        <w:gridCol w:w="1728"/>
        <w:gridCol w:w="5184"/>
      </w:tblGrid>
      <w:tr>
        <w:tc>
          <w:tcPr>
            <w:tcW w:type="dxa" w:w="1881"/>
            <w:shd w:val="clear" w:color="auto" w:fill="1F4E79"/>
          </w:tcPr>
          <w:p>
            <w:pPr>
              <w:jc w:val="center"/>
            </w:pPr>
            <w:r>
              <w:rPr>
                <w:b/>
                <w:color w:val="FFFFFF"/>
              </w:rPr>
              <w:t>Row</w:t>
            </w:r>
          </w:p>
        </w:tc>
        <w:tc>
          <w:tcPr>
            <w:tcW w:type="dxa" w:w="1881"/>
            <w:shd w:val="clear" w:color="auto" w:fill="1F4E79"/>
          </w:tcPr>
          <w:p>
            <w:pPr>
              <w:jc w:val="center"/>
            </w:pPr>
            <w:r>
              <w:rPr>
                <w:b/>
                <w:color w:val="FFFFFF"/>
              </w:rPr>
              <w:t>Language</w:t>
            </w:r>
          </w:p>
        </w:tc>
        <w:tc>
          <w:tcPr>
            <w:tcW w:type="dxa" w:w="1881"/>
            <w:shd w:val="clear" w:color="auto" w:fill="1F4E79"/>
          </w:tcPr>
          <w:p>
            <w:pPr>
              <w:jc w:val="center"/>
            </w:pPr>
            <w:r>
              <w:rPr>
                <w:b/>
                <w:color w:val="FFFFFF"/>
              </w:rPr>
              <w:t>Scenario</w:t>
            </w:r>
          </w:p>
        </w:tc>
        <w:tc>
          <w:tcPr>
            <w:tcW w:type="dxa" w:w="1881"/>
            <w:shd w:val="clear" w:color="auto" w:fill="1F4E79"/>
          </w:tcPr>
          <w:p>
            <w:pPr>
              <w:jc w:val="center"/>
            </w:pPr>
            <w:r>
              <w:rPr>
                <w:b/>
                <w:color w:val="FFFFFF"/>
              </w:rPr>
              <w:t>Taluka</w:t>
            </w:r>
          </w:p>
        </w:tc>
        <w:tc>
          <w:tcPr>
            <w:tcW w:type="dxa" w:w="1881"/>
            <w:shd w:val="clear" w:color="auto" w:fill="1F4E79"/>
          </w:tcPr>
          <w:p>
            <w:pPr>
              <w:jc w:val="center"/>
            </w:pPr>
            <w:r>
              <w:rPr>
                <w:b/>
                <w:color w:val="FFFFFF"/>
              </w:rPr>
              <w:t>Flags</w:t>
            </w:r>
          </w:p>
        </w:tc>
      </w:tr>
      <w:tr>
        <w:tc>
          <w:tcPr>
            <w:tcW w:type="dxa" w:w="720"/>
            <w:vAlign w:val="top"/>
          </w:tcPr>
          <w:p>
            <w:pPr>
              <w:spacing w:after="40"/>
            </w:pPr>
            <w:r>
              <w:t>#2</w:t>
            </w:r>
          </w:p>
        </w:tc>
        <w:tc>
          <w:tcPr>
            <w:tcW w:type="dxa" w:w="1584"/>
            <w:vAlign w:val="top"/>
          </w:tcPr>
          <w:p>
            <w:pPr>
              <w:spacing w:after="40"/>
            </w:pPr>
            <w:r>
              <w:t>English</w:t>
            </w:r>
          </w:p>
        </w:tc>
        <w:tc>
          <w:tcPr>
            <w:tcW w:type="dxa" w:w="2880"/>
            <w:vAlign w:val="top"/>
          </w:tcPr>
          <w:p>
            <w:pPr>
              <w:spacing w:after="40"/>
            </w:pPr>
            <w:r>
              <w:t>Delayed Onset – 6 Weeks</w:t>
            </w:r>
          </w:p>
        </w:tc>
        <w:tc>
          <w:tcPr>
            <w:tcW w:type="dxa" w:w="1728"/>
            <w:vAlign w:val="top"/>
          </w:tcPr>
          <w:p>
            <w:pPr>
              <w:spacing w:after="40"/>
            </w:pPr>
            <w:r>
              <w:t>Rajpur</w:t>
            </w:r>
          </w:p>
        </w:tc>
        <w:tc>
          <w:tcPr>
            <w:tcW w:type="dxa" w:w="5184"/>
            <w:vAlign w:val="top"/>
            <w:shd w:val="clear" w:color="auto" w:fill="FFEB9C"/>
          </w:tcPr>
          <w:p>
            <w:pPr>
              <w:spacing w:after="40"/>
            </w:pPr>
            <w:r>
              <w:rPr>
                <w:sz w:val="18"/>
              </w:rPr>
              <w:t>EN adversarial — 'not currently supported'</w:t>
            </w:r>
          </w:p>
        </w:tc>
      </w:tr>
      <w:tr>
        <w:tc>
          <w:tcPr>
            <w:tcW w:type="dxa" w:w="720"/>
            <w:vAlign w:val="top"/>
          </w:tcPr>
          <w:p>
            <w:pPr>
              <w:spacing w:after="40"/>
            </w:pPr>
            <w:r>
              <w:t>#3</w:t>
            </w:r>
          </w:p>
        </w:tc>
        <w:tc>
          <w:tcPr>
            <w:tcW w:type="dxa" w:w="1584"/>
            <w:vAlign w:val="top"/>
          </w:tcPr>
          <w:p>
            <w:pPr>
              <w:spacing w:after="40"/>
            </w:pPr>
            <w:r>
              <w:t>Hinglish</w:t>
            </w:r>
          </w:p>
        </w:tc>
        <w:tc>
          <w:tcPr>
            <w:tcW w:type="dxa" w:w="2880"/>
            <w:vAlign w:val="top"/>
          </w:tcPr>
          <w:p>
            <w:pPr>
              <w:spacing w:after="40"/>
            </w:pPr>
            <w:r>
              <w:t>Delayed Onset – 6 Weeks</w:t>
            </w:r>
          </w:p>
        </w:tc>
        <w:tc>
          <w:tcPr>
            <w:tcW w:type="dxa" w:w="1728"/>
            <w:vAlign w:val="top"/>
          </w:tcPr>
          <w:p>
            <w:pPr>
              <w:spacing w:after="40"/>
            </w:pPr>
            <w:r>
              <w:t>Wadrafnagar</w:t>
            </w:r>
          </w:p>
        </w:tc>
        <w:tc>
          <w:tcPr>
            <w:tcW w:type="dxa" w:w="5184"/>
            <w:vAlign w:val="top"/>
            <w:shd w:val="clear" w:color="auto" w:fill="FFEB9C"/>
          </w:tcPr>
          <w:p>
            <w:pPr>
              <w:spacing w:after="40"/>
            </w:pPr>
            <w:r>
              <w:rPr>
                <w:sz w:val="18"/>
              </w:rPr>
              <w:t>EN adversarial — 'proof-of-concept'</w:t>
            </w:r>
          </w:p>
        </w:tc>
      </w:tr>
      <w:tr>
        <w:tc>
          <w:tcPr>
            <w:tcW w:type="dxa" w:w="720"/>
            <w:vAlign w:val="top"/>
          </w:tcPr>
          <w:p>
            <w:pPr>
              <w:spacing w:after="40"/>
            </w:pPr>
            <w:r>
              <w:t>#5</w:t>
            </w:r>
          </w:p>
        </w:tc>
        <w:tc>
          <w:tcPr>
            <w:tcW w:type="dxa" w:w="1584"/>
            <w:vAlign w:val="top"/>
          </w:tcPr>
          <w:p>
            <w:pPr>
              <w:spacing w:after="40"/>
            </w:pPr>
            <w:r>
              <w:t>Hindi</w:t>
            </w:r>
          </w:p>
        </w:tc>
        <w:tc>
          <w:tcPr>
            <w:tcW w:type="dxa" w:w="2880"/>
            <w:vAlign w:val="top"/>
          </w:tcPr>
          <w:p>
            <w:pPr>
              <w:spacing w:after="40"/>
            </w:pPr>
            <w:r>
              <w:t>Delayed Onset – 8 Weeks</w:t>
            </w:r>
          </w:p>
        </w:tc>
        <w:tc>
          <w:tcPr>
            <w:tcW w:type="dxa" w:w="1728"/>
            <w:vAlign w:val="top"/>
          </w:tcPr>
          <w:p>
            <w:pPr>
              <w:spacing w:after="40"/>
            </w:pPr>
            <w:r>
              <w:t>Rajpur</w:t>
            </w:r>
          </w:p>
        </w:tc>
        <w:tc>
          <w:tcPr>
            <w:tcW w:type="dxa" w:w="5184"/>
            <w:vAlign w:val="top"/>
            <w:shd w:val="clear" w:color="auto" w:fill="FFEB9C"/>
          </w:tcPr>
          <w:p>
            <w:pPr>
              <w:spacing w:after="40"/>
            </w:pPr>
            <w:r>
              <w:rPr>
                <w:sz w:val="18"/>
              </w:rPr>
              <w:t>EN adversarial — 'not currently supported'</w:t>
              <w:br/>
              <w:t>HI adversarial — 'कृपया'</w:t>
            </w:r>
          </w:p>
        </w:tc>
      </w:tr>
      <w:tr>
        <w:tc>
          <w:tcPr>
            <w:tcW w:type="dxa" w:w="720"/>
            <w:vAlign w:val="top"/>
          </w:tcPr>
          <w:p>
            <w:pPr>
              <w:spacing w:after="40"/>
            </w:pPr>
            <w:r>
              <w:t>#8</w:t>
            </w:r>
          </w:p>
        </w:tc>
        <w:tc>
          <w:tcPr>
            <w:tcW w:type="dxa" w:w="1584"/>
            <w:vAlign w:val="top"/>
          </w:tcPr>
          <w:p>
            <w:pPr>
              <w:spacing w:after="40"/>
            </w:pPr>
            <w:r>
              <w:t>English</w:t>
            </w:r>
          </w:p>
        </w:tc>
        <w:tc>
          <w:tcPr>
            <w:tcW w:type="dxa" w:w="2880"/>
            <w:vAlign w:val="top"/>
          </w:tcPr>
          <w:p>
            <w:pPr>
              <w:spacing w:after="40"/>
            </w:pPr>
            <w:r>
              <w:t>Early Onset</w:t>
            </w:r>
          </w:p>
        </w:tc>
        <w:tc>
          <w:tcPr>
            <w:tcW w:type="dxa" w:w="1728"/>
            <w:vAlign w:val="top"/>
          </w:tcPr>
          <w:p>
            <w:pPr>
              <w:spacing w:after="40"/>
            </w:pPr>
            <w:r>
              <w:t>Rajpur</w:t>
            </w:r>
          </w:p>
        </w:tc>
        <w:tc>
          <w:tcPr>
            <w:tcW w:type="dxa" w:w="5184"/>
            <w:vAlign w:val="top"/>
            <w:shd w:val="clear" w:color="auto" w:fill="FFEB9C"/>
          </w:tcPr>
          <w:p>
            <w:pPr>
              <w:spacing w:after="40"/>
            </w:pPr>
            <w:r>
              <w:rPr>
                <w:sz w:val="18"/>
              </w:rPr>
              <w:t>EN adversarial — 'not currently supported'</w:t>
              <w:br/>
              <w:t>HI adversarial — 'कृपया'</w:t>
            </w:r>
          </w:p>
        </w:tc>
      </w:tr>
      <w:tr>
        <w:tc>
          <w:tcPr>
            <w:tcW w:type="dxa" w:w="720"/>
            <w:vAlign w:val="top"/>
          </w:tcPr>
          <w:p>
            <w:pPr>
              <w:spacing w:after="40"/>
            </w:pPr>
            <w:r>
              <w:t>#9</w:t>
            </w:r>
          </w:p>
        </w:tc>
        <w:tc>
          <w:tcPr>
            <w:tcW w:type="dxa" w:w="1584"/>
            <w:vAlign w:val="top"/>
          </w:tcPr>
          <w:p>
            <w:pPr>
              <w:spacing w:after="40"/>
            </w:pPr>
            <w:r>
              <w:t>Hinglish</w:t>
            </w:r>
          </w:p>
        </w:tc>
        <w:tc>
          <w:tcPr>
            <w:tcW w:type="dxa" w:w="2880"/>
            <w:vAlign w:val="top"/>
          </w:tcPr>
          <w:p>
            <w:pPr>
              <w:spacing w:after="40"/>
            </w:pPr>
            <w:r>
              <w:t>Normal Onset</w:t>
            </w:r>
          </w:p>
        </w:tc>
        <w:tc>
          <w:tcPr>
            <w:tcW w:type="dxa" w:w="1728"/>
            <w:vAlign w:val="top"/>
          </w:tcPr>
          <w:p>
            <w:pPr>
              <w:spacing w:after="40"/>
            </w:pPr>
            <w:r>
              <w:t>Wadrafnagar</w:t>
            </w:r>
          </w:p>
        </w:tc>
        <w:tc>
          <w:tcPr>
            <w:tcW w:type="dxa" w:w="5184"/>
            <w:vAlign w:val="top"/>
            <w:shd w:val="clear" w:color="auto" w:fill="FFEB9C"/>
          </w:tcPr>
          <w:p>
            <w:pPr>
              <w:spacing w:after="40"/>
            </w:pPr>
            <w:r>
              <w:rPr>
                <w:sz w:val="18"/>
              </w:rPr>
              <w:t>EN adversarial — 'not covered'</w:t>
            </w:r>
          </w:p>
        </w:tc>
      </w:tr>
      <w:tr>
        <w:tc>
          <w:tcPr>
            <w:tcW w:type="dxa" w:w="720"/>
            <w:vAlign w:val="top"/>
          </w:tcPr>
          <w:p>
            <w:pPr>
              <w:spacing w:after="40"/>
            </w:pPr>
            <w:r>
              <w:t>#11</w:t>
            </w:r>
          </w:p>
        </w:tc>
        <w:tc>
          <w:tcPr>
            <w:tcW w:type="dxa" w:w="1584"/>
            <w:vAlign w:val="top"/>
          </w:tcPr>
          <w:p>
            <w:pPr>
              <w:spacing w:after="40"/>
            </w:pPr>
            <w:r>
              <w:t>Hindi</w:t>
            </w:r>
          </w:p>
        </w:tc>
        <w:tc>
          <w:tcPr>
            <w:tcW w:type="dxa" w:w="2880"/>
            <w:vAlign w:val="top"/>
          </w:tcPr>
          <w:p>
            <w:pPr>
              <w:spacing w:after="40"/>
            </w:pPr>
            <w:r>
              <w:t>Delayed Onset – 2 Weeks</w:t>
            </w:r>
          </w:p>
        </w:tc>
        <w:tc>
          <w:tcPr>
            <w:tcW w:type="dxa" w:w="1728"/>
            <w:vAlign w:val="top"/>
          </w:tcPr>
          <w:p>
            <w:pPr>
              <w:spacing w:after="40"/>
            </w:pPr>
            <w:r>
              <w:t>Rajpur</w:t>
            </w:r>
          </w:p>
        </w:tc>
        <w:tc>
          <w:tcPr>
            <w:tcW w:type="dxa" w:w="5184"/>
            <w:vAlign w:val="top"/>
            <w:shd w:val="clear" w:color="auto" w:fill="FFEB9C"/>
          </w:tcPr>
          <w:p>
            <w:pPr>
              <w:spacing w:after="40"/>
            </w:pPr>
            <w:r>
              <w:rPr>
                <w:sz w:val="18"/>
              </w:rPr>
              <w:t>EN adversarial — 'currently supported'</w:t>
              <w:br/>
              <w:t>HI adversarial — 'सही नहीं'</w:t>
            </w:r>
          </w:p>
        </w:tc>
      </w:tr>
    </w:tbl>
    <w:p/>
    <w:p>
      <w:pPr>
        <w:pStyle w:val="Heading2"/>
      </w:pPr>
      <w:r>
        <w:rPr>
          <w:color w:val="2E75B6"/>
        </w:rPr>
        <w:t>Surajpur_Set1  —  6 / 12 flagged</w:t>
      </w:r>
    </w:p>
    <w:tbl>
      <w:tblPr>
        <w:tblStyle w:val="TableGrid"/>
        <w:tblW w:type="auto" w:w="0"/>
        <w:tblLook w:firstColumn="1" w:firstRow="1" w:lastColumn="0" w:lastRow="0" w:noHBand="0" w:noVBand="1" w:val="04A0"/>
      </w:tblPr>
      <w:tblGrid>
        <w:gridCol w:w="720"/>
        <w:gridCol w:w="1584"/>
        <w:gridCol w:w="2880"/>
        <w:gridCol w:w="1728"/>
        <w:gridCol w:w="5184"/>
      </w:tblGrid>
      <w:tr>
        <w:tc>
          <w:tcPr>
            <w:tcW w:type="dxa" w:w="1881"/>
            <w:shd w:val="clear" w:color="auto" w:fill="1F4E79"/>
          </w:tcPr>
          <w:p>
            <w:pPr>
              <w:jc w:val="center"/>
            </w:pPr>
            <w:r>
              <w:rPr>
                <w:b/>
                <w:color w:val="FFFFFF"/>
              </w:rPr>
              <w:t>Row</w:t>
            </w:r>
          </w:p>
        </w:tc>
        <w:tc>
          <w:tcPr>
            <w:tcW w:type="dxa" w:w="1881"/>
            <w:shd w:val="clear" w:color="auto" w:fill="1F4E79"/>
          </w:tcPr>
          <w:p>
            <w:pPr>
              <w:jc w:val="center"/>
            </w:pPr>
            <w:r>
              <w:rPr>
                <w:b/>
                <w:color w:val="FFFFFF"/>
              </w:rPr>
              <w:t>Language</w:t>
            </w:r>
          </w:p>
        </w:tc>
        <w:tc>
          <w:tcPr>
            <w:tcW w:type="dxa" w:w="1881"/>
            <w:shd w:val="clear" w:color="auto" w:fill="1F4E79"/>
          </w:tcPr>
          <w:p>
            <w:pPr>
              <w:jc w:val="center"/>
            </w:pPr>
            <w:r>
              <w:rPr>
                <w:b/>
                <w:color w:val="FFFFFF"/>
              </w:rPr>
              <w:t>Scenario</w:t>
            </w:r>
          </w:p>
        </w:tc>
        <w:tc>
          <w:tcPr>
            <w:tcW w:type="dxa" w:w="1881"/>
            <w:shd w:val="clear" w:color="auto" w:fill="1F4E79"/>
          </w:tcPr>
          <w:p>
            <w:pPr>
              <w:jc w:val="center"/>
            </w:pPr>
            <w:r>
              <w:rPr>
                <w:b/>
                <w:color w:val="FFFFFF"/>
              </w:rPr>
              <w:t>Taluka</w:t>
            </w:r>
          </w:p>
        </w:tc>
        <w:tc>
          <w:tcPr>
            <w:tcW w:type="dxa" w:w="1881"/>
            <w:shd w:val="clear" w:color="auto" w:fill="1F4E79"/>
          </w:tcPr>
          <w:p>
            <w:pPr>
              <w:jc w:val="center"/>
            </w:pPr>
            <w:r>
              <w:rPr>
                <w:b/>
                <w:color w:val="FFFFFF"/>
              </w:rPr>
              <w:t>Flags</w:t>
            </w:r>
          </w:p>
        </w:tc>
      </w:tr>
      <w:tr>
        <w:tc>
          <w:tcPr>
            <w:tcW w:type="dxa" w:w="720"/>
            <w:vAlign w:val="top"/>
          </w:tcPr>
          <w:p>
            <w:pPr>
              <w:spacing w:after="40"/>
            </w:pPr>
            <w:r>
              <w:t>#3</w:t>
            </w:r>
          </w:p>
        </w:tc>
        <w:tc>
          <w:tcPr>
            <w:tcW w:type="dxa" w:w="1584"/>
            <w:vAlign w:val="top"/>
          </w:tcPr>
          <w:p>
            <w:pPr>
              <w:spacing w:after="40"/>
            </w:pPr>
            <w:r>
              <w:t>Hinglish</w:t>
            </w:r>
          </w:p>
        </w:tc>
        <w:tc>
          <w:tcPr>
            <w:tcW w:type="dxa" w:w="2880"/>
            <w:vAlign w:val="top"/>
          </w:tcPr>
          <w:p>
            <w:pPr>
              <w:spacing w:after="40"/>
            </w:pPr>
            <w:r>
              <w:t>Early Onset</w:t>
            </w:r>
          </w:p>
        </w:tc>
        <w:tc>
          <w:tcPr>
            <w:tcW w:type="dxa" w:w="1728"/>
            <w:vAlign w:val="top"/>
          </w:tcPr>
          <w:p>
            <w:pPr>
              <w:spacing w:after="40"/>
            </w:pPr>
            <w:r>
              <w:t>Bhaiyathan</w:t>
            </w:r>
          </w:p>
        </w:tc>
        <w:tc>
          <w:tcPr>
            <w:tcW w:type="dxa" w:w="5184"/>
            <w:vAlign w:val="top"/>
            <w:shd w:val="clear" w:color="auto" w:fill="FFEB9C"/>
          </w:tcPr>
          <w:p>
            <w:pPr>
              <w:spacing w:after="40"/>
            </w:pPr>
            <w:r>
              <w:rPr>
                <w:sz w:val="18"/>
              </w:rPr>
              <w:t>EN adversarial — 'not currently supported'</w:t>
              <w:br/>
              <w:t>HI adversarial — 'कृपया'</w:t>
            </w:r>
          </w:p>
        </w:tc>
      </w:tr>
      <w:tr>
        <w:tc>
          <w:tcPr>
            <w:tcW w:type="dxa" w:w="720"/>
            <w:vAlign w:val="top"/>
          </w:tcPr>
          <w:p>
            <w:pPr>
              <w:spacing w:after="40"/>
            </w:pPr>
            <w:r>
              <w:t>#4</w:t>
            </w:r>
          </w:p>
        </w:tc>
        <w:tc>
          <w:tcPr>
            <w:tcW w:type="dxa" w:w="1584"/>
            <w:vAlign w:val="top"/>
          </w:tcPr>
          <w:p>
            <w:pPr>
              <w:spacing w:after="40"/>
            </w:pPr>
            <w:r>
              <w:t>English</w:t>
            </w:r>
          </w:p>
        </w:tc>
        <w:tc>
          <w:tcPr>
            <w:tcW w:type="dxa" w:w="2880"/>
            <w:vAlign w:val="top"/>
          </w:tcPr>
          <w:p>
            <w:pPr>
              <w:spacing w:after="40"/>
            </w:pPr>
            <w:r>
              <w:t>Normal Onset</w:t>
            </w:r>
          </w:p>
        </w:tc>
        <w:tc>
          <w:tcPr>
            <w:tcW w:type="dxa" w:w="1728"/>
            <w:vAlign w:val="top"/>
          </w:tcPr>
          <w:p>
            <w:pPr>
              <w:spacing w:after="40"/>
            </w:pPr>
            <w:r>
              <w:t>Surajpur</w:t>
            </w:r>
          </w:p>
        </w:tc>
        <w:tc>
          <w:tcPr>
            <w:tcW w:type="dxa" w:w="5184"/>
            <w:vAlign w:val="top"/>
            <w:shd w:val="clear" w:color="auto" w:fill="FFEB9C"/>
          </w:tcPr>
          <w:p>
            <w:pPr>
              <w:spacing w:after="40"/>
            </w:pPr>
            <w:r>
              <w:rPr>
                <w:sz w:val="18"/>
              </w:rPr>
              <w:t>EN adversarial — 'not covered'</w:t>
            </w:r>
          </w:p>
        </w:tc>
      </w:tr>
      <w:tr>
        <w:tc>
          <w:tcPr>
            <w:tcW w:type="dxa" w:w="720"/>
            <w:vAlign w:val="top"/>
          </w:tcPr>
          <w:p>
            <w:pPr>
              <w:spacing w:after="40"/>
            </w:pPr>
            <w:r>
              <w:t>#5</w:t>
            </w:r>
          </w:p>
        </w:tc>
        <w:tc>
          <w:tcPr>
            <w:tcW w:type="dxa" w:w="1584"/>
            <w:vAlign w:val="top"/>
          </w:tcPr>
          <w:p>
            <w:pPr>
              <w:spacing w:after="40"/>
            </w:pPr>
            <w:r>
              <w:t>Hindi</w:t>
            </w:r>
          </w:p>
        </w:tc>
        <w:tc>
          <w:tcPr>
            <w:tcW w:type="dxa" w:w="2880"/>
            <w:vAlign w:val="top"/>
          </w:tcPr>
          <w:p>
            <w:pPr>
              <w:spacing w:after="40"/>
            </w:pPr>
            <w:r>
              <w:t>Normal Onset</w:t>
            </w:r>
          </w:p>
        </w:tc>
        <w:tc>
          <w:tcPr>
            <w:tcW w:type="dxa" w:w="1728"/>
            <w:vAlign w:val="top"/>
          </w:tcPr>
          <w:p>
            <w:pPr>
              <w:spacing w:after="40"/>
            </w:pPr>
            <w:r>
              <w:t>Pratappur</w:t>
            </w:r>
          </w:p>
        </w:tc>
        <w:tc>
          <w:tcPr>
            <w:tcW w:type="dxa" w:w="5184"/>
            <w:vAlign w:val="top"/>
            <w:shd w:val="clear" w:color="auto" w:fill="FFEB9C"/>
          </w:tcPr>
          <w:p>
            <w:pPr>
              <w:spacing w:after="40"/>
            </w:pPr>
            <w:r>
              <w:rPr>
                <w:sz w:val="18"/>
              </w:rPr>
              <w:t>EN adversarial — 'not covered'</w:t>
            </w:r>
          </w:p>
        </w:tc>
      </w:tr>
      <w:tr>
        <w:tc>
          <w:tcPr>
            <w:tcW w:type="dxa" w:w="720"/>
            <w:vAlign w:val="top"/>
          </w:tcPr>
          <w:p>
            <w:pPr>
              <w:spacing w:after="40"/>
            </w:pPr>
            <w:r>
              <w:t>#6</w:t>
            </w:r>
          </w:p>
        </w:tc>
        <w:tc>
          <w:tcPr>
            <w:tcW w:type="dxa" w:w="1584"/>
            <w:vAlign w:val="top"/>
          </w:tcPr>
          <w:p>
            <w:pPr>
              <w:spacing w:after="40"/>
            </w:pPr>
            <w:r>
              <w:t>Hinglish</w:t>
            </w:r>
          </w:p>
        </w:tc>
        <w:tc>
          <w:tcPr>
            <w:tcW w:type="dxa" w:w="2880"/>
            <w:vAlign w:val="top"/>
          </w:tcPr>
          <w:p>
            <w:pPr>
              <w:spacing w:after="40"/>
            </w:pPr>
            <w:r>
              <w:t>Normal Onset</w:t>
            </w:r>
          </w:p>
        </w:tc>
        <w:tc>
          <w:tcPr>
            <w:tcW w:type="dxa" w:w="1728"/>
            <w:vAlign w:val="top"/>
          </w:tcPr>
          <w:p>
            <w:pPr>
              <w:spacing w:after="40"/>
            </w:pPr>
            <w:r>
              <w:t>Bhaiyathan</w:t>
            </w:r>
          </w:p>
        </w:tc>
        <w:tc>
          <w:tcPr>
            <w:tcW w:type="dxa" w:w="5184"/>
            <w:vAlign w:val="top"/>
            <w:shd w:val="clear" w:color="auto" w:fill="FFEB9C"/>
          </w:tcPr>
          <w:p>
            <w:pPr>
              <w:spacing w:after="40"/>
            </w:pPr>
            <w:r>
              <w:rPr>
                <w:sz w:val="18"/>
              </w:rPr>
              <w:t>EN adversarial — 'not currently supported'</w:t>
            </w:r>
          </w:p>
        </w:tc>
      </w:tr>
      <w:tr>
        <w:tc>
          <w:tcPr>
            <w:tcW w:type="dxa" w:w="720"/>
            <w:vAlign w:val="top"/>
          </w:tcPr>
          <w:p>
            <w:pPr>
              <w:spacing w:after="40"/>
            </w:pPr>
            <w:r>
              <w:t>#9</w:t>
            </w:r>
          </w:p>
        </w:tc>
        <w:tc>
          <w:tcPr>
            <w:tcW w:type="dxa" w:w="1584"/>
            <w:vAlign w:val="top"/>
          </w:tcPr>
          <w:p>
            <w:pPr>
              <w:spacing w:after="40"/>
            </w:pPr>
            <w:r>
              <w:t>Hinglish</w:t>
            </w:r>
          </w:p>
        </w:tc>
        <w:tc>
          <w:tcPr>
            <w:tcW w:type="dxa" w:w="2880"/>
            <w:vAlign w:val="top"/>
          </w:tcPr>
          <w:p>
            <w:pPr>
              <w:spacing w:after="40"/>
            </w:pPr>
            <w:r>
              <w:t>Delayed Onset – 2 Weeks</w:t>
            </w:r>
          </w:p>
        </w:tc>
        <w:tc>
          <w:tcPr>
            <w:tcW w:type="dxa" w:w="1728"/>
            <w:vAlign w:val="top"/>
          </w:tcPr>
          <w:p>
            <w:pPr>
              <w:spacing w:after="40"/>
            </w:pPr>
            <w:r>
              <w:t>Bhaiyathan</w:t>
            </w:r>
          </w:p>
        </w:tc>
        <w:tc>
          <w:tcPr>
            <w:tcW w:type="dxa" w:w="5184"/>
            <w:vAlign w:val="top"/>
            <w:shd w:val="clear" w:color="auto" w:fill="FFEB9C"/>
          </w:tcPr>
          <w:p>
            <w:pPr>
              <w:spacing w:after="40"/>
            </w:pPr>
            <w:r>
              <w:rPr>
                <w:sz w:val="18"/>
              </w:rPr>
              <w:t>EN adversarial — 'not currently supported'</w:t>
            </w:r>
          </w:p>
        </w:tc>
      </w:tr>
      <w:tr>
        <w:tc>
          <w:tcPr>
            <w:tcW w:type="dxa" w:w="720"/>
            <w:vAlign w:val="top"/>
          </w:tcPr>
          <w:p>
            <w:pPr>
              <w:spacing w:after="40"/>
            </w:pPr>
            <w:r>
              <w:t>#12</w:t>
            </w:r>
          </w:p>
        </w:tc>
        <w:tc>
          <w:tcPr>
            <w:tcW w:type="dxa" w:w="1584"/>
            <w:vAlign w:val="top"/>
          </w:tcPr>
          <w:p>
            <w:pPr>
              <w:spacing w:after="40"/>
            </w:pPr>
            <w:r>
              <w:t>Hinglish</w:t>
            </w:r>
          </w:p>
        </w:tc>
        <w:tc>
          <w:tcPr>
            <w:tcW w:type="dxa" w:w="2880"/>
            <w:vAlign w:val="top"/>
          </w:tcPr>
          <w:p>
            <w:pPr>
              <w:spacing w:after="40"/>
            </w:pPr>
            <w:r>
              <w:t>Delayed Onset – 4 Weeks</w:t>
            </w:r>
          </w:p>
        </w:tc>
        <w:tc>
          <w:tcPr>
            <w:tcW w:type="dxa" w:w="1728"/>
            <w:vAlign w:val="top"/>
          </w:tcPr>
          <w:p>
            <w:pPr>
              <w:spacing w:after="40"/>
            </w:pPr>
            <w:r>
              <w:t>Bhaiyathan</w:t>
            </w:r>
          </w:p>
        </w:tc>
        <w:tc>
          <w:tcPr>
            <w:tcW w:type="dxa" w:w="5184"/>
            <w:vAlign w:val="top"/>
            <w:shd w:val="clear" w:color="auto" w:fill="FFEB9C"/>
          </w:tcPr>
          <w:p>
            <w:pPr>
              <w:spacing w:after="40"/>
            </w:pPr>
            <w:r>
              <w:rPr>
                <w:sz w:val="18"/>
              </w:rPr>
              <w:t>EN adversarial — 'not currently supported'</w:t>
            </w:r>
          </w:p>
        </w:tc>
      </w:tr>
    </w:tbl>
    <w:p/>
    <w:p>
      <w:pPr>
        <w:pStyle w:val="Heading2"/>
      </w:pPr>
      <w:r>
        <w:rPr>
          <w:color w:val="2E75B6"/>
        </w:rPr>
        <w:t>Surajpur_Set2  —  5 / 12 flagged</w:t>
      </w:r>
    </w:p>
    <w:tbl>
      <w:tblPr>
        <w:tblStyle w:val="TableGrid"/>
        <w:tblW w:type="auto" w:w="0"/>
        <w:tblLook w:firstColumn="1" w:firstRow="1" w:lastColumn="0" w:lastRow="0" w:noHBand="0" w:noVBand="1" w:val="04A0"/>
      </w:tblPr>
      <w:tblGrid>
        <w:gridCol w:w="720"/>
        <w:gridCol w:w="1584"/>
        <w:gridCol w:w="2880"/>
        <w:gridCol w:w="1728"/>
        <w:gridCol w:w="5184"/>
      </w:tblGrid>
      <w:tr>
        <w:tc>
          <w:tcPr>
            <w:tcW w:type="dxa" w:w="1881"/>
            <w:shd w:val="clear" w:color="auto" w:fill="1F4E79"/>
          </w:tcPr>
          <w:p>
            <w:pPr>
              <w:jc w:val="center"/>
            </w:pPr>
            <w:r>
              <w:rPr>
                <w:b/>
                <w:color w:val="FFFFFF"/>
              </w:rPr>
              <w:t>Row</w:t>
            </w:r>
          </w:p>
        </w:tc>
        <w:tc>
          <w:tcPr>
            <w:tcW w:type="dxa" w:w="1881"/>
            <w:shd w:val="clear" w:color="auto" w:fill="1F4E79"/>
          </w:tcPr>
          <w:p>
            <w:pPr>
              <w:jc w:val="center"/>
            </w:pPr>
            <w:r>
              <w:rPr>
                <w:b/>
                <w:color w:val="FFFFFF"/>
              </w:rPr>
              <w:t>Language</w:t>
            </w:r>
          </w:p>
        </w:tc>
        <w:tc>
          <w:tcPr>
            <w:tcW w:type="dxa" w:w="1881"/>
            <w:shd w:val="clear" w:color="auto" w:fill="1F4E79"/>
          </w:tcPr>
          <w:p>
            <w:pPr>
              <w:jc w:val="center"/>
            </w:pPr>
            <w:r>
              <w:rPr>
                <w:b/>
                <w:color w:val="FFFFFF"/>
              </w:rPr>
              <w:t>Scenario</w:t>
            </w:r>
          </w:p>
        </w:tc>
        <w:tc>
          <w:tcPr>
            <w:tcW w:type="dxa" w:w="1881"/>
            <w:shd w:val="clear" w:color="auto" w:fill="1F4E79"/>
          </w:tcPr>
          <w:p>
            <w:pPr>
              <w:jc w:val="center"/>
            </w:pPr>
            <w:r>
              <w:rPr>
                <w:b/>
                <w:color w:val="FFFFFF"/>
              </w:rPr>
              <w:t>Taluka</w:t>
            </w:r>
          </w:p>
        </w:tc>
        <w:tc>
          <w:tcPr>
            <w:tcW w:type="dxa" w:w="1881"/>
            <w:shd w:val="clear" w:color="auto" w:fill="1F4E79"/>
          </w:tcPr>
          <w:p>
            <w:pPr>
              <w:jc w:val="center"/>
            </w:pPr>
            <w:r>
              <w:rPr>
                <w:b/>
                <w:color w:val="FFFFFF"/>
              </w:rPr>
              <w:t>Flags</w:t>
            </w:r>
          </w:p>
        </w:tc>
      </w:tr>
      <w:tr>
        <w:tc>
          <w:tcPr>
            <w:tcW w:type="dxa" w:w="720"/>
            <w:vAlign w:val="top"/>
          </w:tcPr>
          <w:p>
            <w:pPr>
              <w:spacing w:after="40"/>
            </w:pPr>
            <w:r>
              <w:t>#3</w:t>
            </w:r>
          </w:p>
        </w:tc>
        <w:tc>
          <w:tcPr>
            <w:tcW w:type="dxa" w:w="1584"/>
            <w:vAlign w:val="top"/>
          </w:tcPr>
          <w:p>
            <w:pPr>
              <w:spacing w:after="40"/>
            </w:pPr>
            <w:r>
              <w:t>Hinglish</w:t>
            </w:r>
          </w:p>
        </w:tc>
        <w:tc>
          <w:tcPr>
            <w:tcW w:type="dxa" w:w="2880"/>
            <w:vAlign w:val="top"/>
          </w:tcPr>
          <w:p>
            <w:pPr>
              <w:spacing w:after="40"/>
            </w:pPr>
            <w:r>
              <w:t>Delayed Onset – 6 Weeks</w:t>
            </w:r>
          </w:p>
        </w:tc>
        <w:tc>
          <w:tcPr>
            <w:tcW w:type="dxa" w:w="1728"/>
            <w:vAlign w:val="top"/>
          </w:tcPr>
          <w:p>
            <w:pPr>
              <w:spacing w:after="40"/>
            </w:pPr>
            <w:r>
              <w:t>Bhaiyathan</w:t>
            </w:r>
          </w:p>
        </w:tc>
        <w:tc>
          <w:tcPr>
            <w:tcW w:type="dxa" w:w="5184"/>
            <w:vAlign w:val="top"/>
            <w:shd w:val="clear" w:color="auto" w:fill="FFEB9C"/>
          </w:tcPr>
          <w:p>
            <w:pPr>
              <w:spacing w:after="40"/>
            </w:pPr>
            <w:r>
              <w:rPr>
                <w:sz w:val="18"/>
              </w:rPr>
              <w:t>EN adversarial — 'not currently supported'</w:t>
            </w:r>
          </w:p>
        </w:tc>
      </w:tr>
      <w:tr>
        <w:tc>
          <w:tcPr>
            <w:tcW w:type="dxa" w:w="720"/>
            <w:vAlign w:val="top"/>
          </w:tcPr>
          <w:p>
            <w:pPr>
              <w:spacing w:after="40"/>
            </w:pPr>
            <w:r>
              <w:t>#6</w:t>
            </w:r>
          </w:p>
        </w:tc>
        <w:tc>
          <w:tcPr>
            <w:tcW w:type="dxa" w:w="1584"/>
            <w:vAlign w:val="top"/>
          </w:tcPr>
          <w:p>
            <w:pPr>
              <w:spacing w:after="40"/>
            </w:pPr>
            <w:r>
              <w:t>Hinglish</w:t>
            </w:r>
          </w:p>
        </w:tc>
        <w:tc>
          <w:tcPr>
            <w:tcW w:type="dxa" w:w="2880"/>
            <w:vAlign w:val="top"/>
          </w:tcPr>
          <w:p>
            <w:pPr>
              <w:spacing w:after="40"/>
            </w:pPr>
            <w:r>
              <w:t>Delayed Onset – 8 Weeks</w:t>
            </w:r>
          </w:p>
        </w:tc>
        <w:tc>
          <w:tcPr>
            <w:tcW w:type="dxa" w:w="1728"/>
            <w:vAlign w:val="top"/>
          </w:tcPr>
          <w:p>
            <w:pPr>
              <w:spacing w:after="40"/>
            </w:pPr>
            <w:r>
              <w:t>Bhaiyathan</w:t>
            </w:r>
          </w:p>
        </w:tc>
        <w:tc>
          <w:tcPr>
            <w:tcW w:type="dxa" w:w="5184"/>
            <w:vAlign w:val="top"/>
            <w:shd w:val="clear" w:color="auto" w:fill="FFEB9C"/>
          </w:tcPr>
          <w:p>
            <w:pPr>
              <w:spacing w:after="40"/>
            </w:pPr>
            <w:r>
              <w:rPr>
                <w:sz w:val="18"/>
              </w:rPr>
              <w:t>EN adversarial — 'not currently supported'</w:t>
              <w:br/>
              <w:t>HI adversarial — 'कृपया'</w:t>
            </w:r>
          </w:p>
        </w:tc>
      </w:tr>
      <w:tr>
        <w:tc>
          <w:tcPr>
            <w:tcW w:type="dxa" w:w="720"/>
            <w:vAlign w:val="top"/>
          </w:tcPr>
          <w:p>
            <w:pPr>
              <w:spacing w:after="40"/>
            </w:pPr>
            <w:r>
              <w:t>#9</w:t>
            </w:r>
          </w:p>
        </w:tc>
        <w:tc>
          <w:tcPr>
            <w:tcW w:type="dxa" w:w="1584"/>
            <w:vAlign w:val="top"/>
          </w:tcPr>
          <w:p>
            <w:pPr>
              <w:spacing w:after="40"/>
            </w:pPr>
            <w:r>
              <w:t>Hinglish</w:t>
            </w:r>
          </w:p>
        </w:tc>
        <w:tc>
          <w:tcPr>
            <w:tcW w:type="dxa" w:w="2880"/>
            <w:vAlign w:val="top"/>
          </w:tcPr>
          <w:p>
            <w:pPr>
              <w:spacing w:after="40"/>
            </w:pPr>
            <w:r>
              <w:t>Normal Onset</w:t>
            </w:r>
          </w:p>
        </w:tc>
        <w:tc>
          <w:tcPr>
            <w:tcW w:type="dxa" w:w="1728"/>
            <w:vAlign w:val="top"/>
          </w:tcPr>
          <w:p>
            <w:pPr>
              <w:spacing w:after="40"/>
            </w:pPr>
            <w:r>
              <w:t>Bhaiyathan</w:t>
            </w:r>
          </w:p>
        </w:tc>
        <w:tc>
          <w:tcPr>
            <w:tcW w:type="dxa" w:w="5184"/>
            <w:vAlign w:val="top"/>
            <w:shd w:val="clear" w:color="auto" w:fill="FFEB9C"/>
          </w:tcPr>
          <w:p>
            <w:pPr>
              <w:spacing w:after="40"/>
            </w:pPr>
            <w:r>
              <w:rPr>
                <w:sz w:val="18"/>
              </w:rPr>
              <w:t>EN adversarial — 'not currently supported'</w:t>
            </w:r>
          </w:p>
        </w:tc>
      </w:tr>
      <w:tr>
        <w:tc>
          <w:tcPr>
            <w:tcW w:type="dxa" w:w="720"/>
            <w:vAlign w:val="top"/>
          </w:tcPr>
          <w:p>
            <w:pPr>
              <w:spacing w:after="40"/>
            </w:pPr>
            <w:r>
              <w:t>#10</w:t>
            </w:r>
          </w:p>
        </w:tc>
        <w:tc>
          <w:tcPr>
            <w:tcW w:type="dxa" w:w="1584"/>
            <w:vAlign w:val="top"/>
          </w:tcPr>
          <w:p>
            <w:pPr>
              <w:spacing w:after="40"/>
            </w:pPr>
            <w:r>
              <w:t>English</w:t>
            </w:r>
          </w:p>
        </w:tc>
        <w:tc>
          <w:tcPr>
            <w:tcW w:type="dxa" w:w="2880"/>
            <w:vAlign w:val="top"/>
          </w:tcPr>
          <w:p>
            <w:pPr>
              <w:spacing w:after="40"/>
            </w:pPr>
            <w:r>
              <w:t>Normal Onset</w:t>
            </w:r>
          </w:p>
        </w:tc>
        <w:tc>
          <w:tcPr>
            <w:tcW w:type="dxa" w:w="1728"/>
            <w:vAlign w:val="top"/>
          </w:tcPr>
          <w:p>
            <w:pPr>
              <w:spacing w:after="40"/>
            </w:pPr>
            <w:r>
              <w:t>Surajpur</w:t>
            </w:r>
          </w:p>
        </w:tc>
        <w:tc>
          <w:tcPr>
            <w:tcW w:type="dxa" w:w="5184"/>
            <w:vAlign w:val="top"/>
            <w:shd w:val="clear" w:color="auto" w:fill="FFEB9C"/>
          </w:tcPr>
          <w:p>
            <w:pPr>
              <w:spacing w:after="40"/>
            </w:pPr>
            <w:r>
              <w:rPr>
                <w:sz w:val="18"/>
              </w:rPr>
              <w:t>EN adversarial — 'not covered'</w:t>
            </w:r>
          </w:p>
        </w:tc>
      </w:tr>
      <w:tr>
        <w:tc>
          <w:tcPr>
            <w:tcW w:type="dxa" w:w="720"/>
            <w:vAlign w:val="top"/>
          </w:tcPr>
          <w:p>
            <w:pPr>
              <w:spacing w:after="40"/>
            </w:pPr>
            <w:r>
              <w:t>#12</w:t>
            </w:r>
          </w:p>
        </w:tc>
        <w:tc>
          <w:tcPr>
            <w:tcW w:type="dxa" w:w="1584"/>
            <w:vAlign w:val="top"/>
          </w:tcPr>
          <w:p>
            <w:pPr>
              <w:spacing w:after="40"/>
            </w:pPr>
            <w:r>
              <w:t>Hinglish</w:t>
            </w:r>
          </w:p>
        </w:tc>
        <w:tc>
          <w:tcPr>
            <w:tcW w:type="dxa" w:w="2880"/>
            <w:vAlign w:val="top"/>
          </w:tcPr>
          <w:p>
            <w:pPr>
              <w:spacing w:after="40"/>
            </w:pPr>
            <w:r>
              <w:t>Delayed Onset – 4 Weeks</w:t>
            </w:r>
          </w:p>
        </w:tc>
        <w:tc>
          <w:tcPr>
            <w:tcW w:type="dxa" w:w="1728"/>
            <w:vAlign w:val="top"/>
          </w:tcPr>
          <w:p>
            <w:pPr>
              <w:spacing w:after="40"/>
            </w:pPr>
            <w:r>
              <w:t>Bhaiyathan</w:t>
            </w:r>
          </w:p>
        </w:tc>
        <w:tc>
          <w:tcPr>
            <w:tcW w:type="dxa" w:w="5184"/>
            <w:vAlign w:val="top"/>
            <w:shd w:val="clear" w:color="auto" w:fill="FFEB9C"/>
          </w:tcPr>
          <w:p>
            <w:pPr>
              <w:spacing w:after="40"/>
            </w:pPr>
            <w:r>
              <w:rPr>
                <w:sz w:val="18"/>
              </w:rPr>
              <w:t>EN adversarial — 'not currently supported'</w:t>
            </w:r>
          </w:p>
        </w:tc>
      </w:tr>
    </w:tbl>
    <w:p/>
    <w:p>
      <w:pPr>
        <w:pStyle w:val="Heading1"/>
      </w:pPr>
      <w:r>
        <w:rPr>
          <w:color w:val="1F4E79"/>
        </w:rPr>
        <w:t>Notes on Flag Types</w:t>
      </w:r>
    </w:p>
    <w:p>
      <w:pPr>
        <w:pStyle w:val="ListBullet"/>
        <w:spacing w:after="80"/>
      </w:pPr>
      <w:r>
        <w:rPr>
          <w:b/>
          <w:sz w:val="20"/>
        </w:rPr>
        <w:t xml:space="preserve">Out-of-scope / not supported: </w:t>
      </w:r>
      <w:r>
        <w:rPr>
          <w:sz w:val="20"/>
        </w:rPr>
        <w:t>The chatbot responded that the given location is not in its supported subdistrict list. These rows cannot be scored and represent a gap between the prompt bank coverage and the bot's data coverage.</w:t>
      </w:r>
    </w:p>
    <w:p>
      <w:pPr>
        <w:pStyle w:val="ListBullet"/>
        <w:spacing w:after="80"/>
      </w:pPr>
      <w:r>
        <w:rPr>
          <w:b/>
          <w:sz w:val="20"/>
        </w:rPr>
        <w:t xml:space="preserve">Clarification request: </w:t>
      </w:r>
      <w:r>
        <w:rPr>
          <w:sz w:val="20"/>
        </w:rPr>
        <w:t>The chatbot asked for a missing input (district, subdistrict, land type). This is correct behaviour when key inputs are genuinely absent, but may indicate the prompt did not supply enough location context.</w:t>
      </w:r>
    </w:p>
    <w:p>
      <w:pPr>
        <w:pStyle w:val="ListBullet"/>
        <w:spacing w:after="80"/>
      </w:pPr>
      <w:r>
        <w:rPr>
          <w:b/>
          <w:sz w:val="20"/>
        </w:rPr>
        <w:t xml:space="preserve">Proof-of-concept disclaimer: </w:t>
      </w:r>
      <w:r>
        <w:rPr>
          <w:sz w:val="20"/>
        </w:rPr>
        <w:t>The chatbot gave advice but mentioned it is a proof-of-concept. This may not be a failure — review the response text manually to confirm whether useful advice was also given.</w:t>
      </w:r>
    </w:p>
    <w:p>
      <w:pPr>
        <w:pStyle w:val="ListBullet"/>
        <w:spacing w:after="80"/>
      </w:pPr>
      <w:r>
        <w:rPr>
          <w:b/>
          <w:sz w:val="20"/>
        </w:rPr>
        <w:t xml:space="preserve">Missing response: </w:t>
      </w:r>
      <w:r>
        <w:rPr>
          <w:sz w:val="20"/>
        </w:rPr>
        <w:t>The API returned no text for this language. Likely a timeout or transient API error. Re-running the script will retry these rows.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