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E79E7" w14:textId="77777777" w:rsidR="000458E0" w:rsidRPr="00AA3CE2" w:rsidRDefault="000458E0" w:rsidP="00AA3CE2">
      <w:pPr>
        <w:spacing w:after="0" w:line="240" w:lineRule="auto"/>
        <w:rPr>
          <w:rFonts w:ascii="Arial" w:hAnsi="Arial" w:cs="Arial"/>
          <w:b/>
          <w:bCs/>
          <w:sz w:val="24"/>
        </w:rPr>
      </w:pPr>
      <w:r w:rsidRPr="00AA3CE2">
        <w:rPr>
          <w:rFonts w:ascii="Arial" w:hAnsi="Arial" w:cs="Arial"/>
          <w:b/>
          <w:bCs/>
          <w:sz w:val="28"/>
          <w:szCs w:val="28"/>
        </w:rPr>
        <w:t>1. Database Design Rationale</w:t>
      </w:r>
    </w:p>
    <w:p w14:paraId="68B72560" w14:textId="77777777" w:rsidR="000458E0" w:rsidRPr="00AA3CE2" w:rsidRDefault="000458E0" w:rsidP="00AA3CE2">
      <w:pPr>
        <w:spacing w:after="0" w:line="240" w:lineRule="auto"/>
        <w:rPr>
          <w:rFonts w:ascii="Arial" w:hAnsi="Arial" w:cs="Arial"/>
          <w:sz w:val="24"/>
        </w:rPr>
      </w:pPr>
      <w:r w:rsidRPr="00AA3CE2">
        <w:rPr>
          <w:rFonts w:ascii="Arial" w:hAnsi="Arial" w:cs="Arial"/>
          <w:sz w:val="24"/>
        </w:rPr>
        <w:t>The database of the FX Exchange platform is designed using a relational schema implemented through the Django ORM framework with SQLite as the storage engine. The design aims to support currency management, exchange rate storage, trading operations, portfolio tracking, and administrative monitoring while maintaining a normalized and extensible data structure.</w:t>
      </w:r>
    </w:p>
    <w:p w14:paraId="0C64D0D4" w14:textId="77777777" w:rsidR="000458E0" w:rsidRPr="00AA3CE2" w:rsidRDefault="000458E0" w:rsidP="00AA3CE2">
      <w:pPr>
        <w:spacing w:after="0" w:line="240" w:lineRule="auto"/>
        <w:rPr>
          <w:rFonts w:ascii="Arial" w:hAnsi="Arial" w:cs="Arial"/>
          <w:sz w:val="24"/>
        </w:rPr>
      </w:pPr>
      <w:r w:rsidRPr="00AA3CE2">
        <w:rPr>
          <w:rFonts w:ascii="Arial" w:hAnsi="Arial" w:cs="Arial"/>
          <w:sz w:val="24"/>
        </w:rPr>
        <w:t>A key design principle is data normalization. Core reference data such as currencies are stored in a dedicated Currency table. This avoids duplication of currency information across multiple records and ensures consistency throughout the system. Each currency is uniquely identified by its code and can be referenced by other models through foreign keys.</w:t>
      </w:r>
    </w:p>
    <w:p w14:paraId="6F3B7F82" w14:textId="77777777" w:rsidR="000458E0" w:rsidRPr="00AA3CE2" w:rsidRDefault="000458E0" w:rsidP="00AA3CE2">
      <w:pPr>
        <w:spacing w:after="0" w:line="240" w:lineRule="auto"/>
        <w:rPr>
          <w:rFonts w:ascii="Arial" w:hAnsi="Arial" w:cs="Arial"/>
          <w:sz w:val="24"/>
        </w:rPr>
      </w:pPr>
      <w:r w:rsidRPr="00AA3CE2">
        <w:rPr>
          <w:rFonts w:ascii="Arial" w:hAnsi="Arial" w:cs="Arial"/>
          <w:sz w:val="24"/>
        </w:rPr>
        <w:t xml:space="preserve">The </w:t>
      </w:r>
      <w:proofErr w:type="spellStart"/>
      <w:r w:rsidRPr="00AA3CE2">
        <w:rPr>
          <w:rFonts w:ascii="Arial" w:hAnsi="Arial" w:cs="Arial"/>
          <w:sz w:val="24"/>
        </w:rPr>
        <w:t>CurrencyPair</w:t>
      </w:r>
      <w:proofErr w:type="spellEnd"/>
      <w:r w:rsidRPr="00AA3CE2">
        <w:rPr>
          <w:rFonts w:ascii="Arial" w:hAnsi="Arial" w:cs="Arial"/>
          <w:sz w:val="24"/>
        </w:rPr>
        <w:t xml:space="preserve"> model separates trading pairs from individual currencies. Instead of storing conversion relationships directly inside rate or trade records, pairs are defined as independent entities linking a base currency and a quote currency. This approach simplifies pair management and supports flexible multi-base currency conversion without assuming a single reference currency.</w:t>
      </w:r>
    </w:p>
    <w:p w14:paraId="4A6981EF" w14:textId="77777777" w:rsidR="000458E0" w:rsidRPr="00AA3CE2" w:rsidRDefault="000458E0" w:rsidP="00AA3CE2">
      <w:pPr>
        <w:spacing w:after="0" w:line="240" w:lineRule="auto"/>
        <w:rPr>
          <w:rFonts w:ascii="Arial" w:hAnsi="Arial" w:cs="Arial"/>
          <w:sz w:val="24"/>
        </w:rPr>
      </w:pPr>
      <w:r w:rsidRPr="00AA3CE2">
        <w:rPr>
          <w:rFonts w:ascii="Arial" w:hAnsi="Arial" w:cs="Arial"/>
          <w:sz w:val="24"/>
        </w:rPr>
        <w:t xml:space="preserve">Exchange rates are stored in the </w:t>
      </w:r>
      <w:proofErr w:type="spellStart"/>
      <w:r w:rsidRPr="00AA3CE2">
        <w:rPr>
          <w:rFonts w:ascii="Arial" w:hAnsi="Arial" w:cs="Arial"/>
          <w:sz w:val="24"/>
        </w:rPr>
        <w:t>ExchangeRate</w:t>
      </w:r>
      <w:proofErr w:type="spellEnd"/>
      <w:r w:rsidRPr="00AA3CE2">
        <w:rPr>
          <w:rFonts w:ascii="Arial" w:hAnsi="Arial" w:cs="Arial"/>
          <w:sz w:val="24"/>
        </w:rPr>
        <w:t xml:space="preserve"> model, which records the value of a currency pair at a specific timestamp. Storing rates historically rather than overwriting previous values allows the system to support time-based queries, historical charts, and administrative monitoring of rate changes. The model also includes a source attribute that indicates how the rate was obtained, enabling the system to distinguish between automatically retrieved rates, manual adjustments, and data imports.</w:t>
      </w:r>
    </w:p>
    <w:p w14:paraId="450F3756" w14:textId="77777777" w:rsidR="000458E0" w:rsidRPr="00AA3CE2" w:rsidRDefault="000458E0" w:rsidP="00AA3CE2">
      <w:pPr>
        <w:spacing w:after="0" w:line="240" w:lineRule="auto"/>
        <w:rPr>
          <w:rFonts w:ascii="Arial" w:hAnsi="Arial" w:cs="Arial"/>
          <w:sz w:val="24"/>
        </w:rPr>
      </w:pPr>
      <w:r w:rsidRPr="00AA3CE2">
        <w:rPr>
          <w:rFonts w:ascii="Arial" w:hAnsi="Arial" w:cs="Arial"/>
          <w:sz w:val="24"/>
        </w:rPr>
        <w:t xml:space="preserve">Trading functionality is supported through two separate models: Trade and </w:t>
      </w:r>
      <w:proofErr w:type="spellStart"/>
      <w:r w:rsidRPr="00AA3CE2">
        <w:rPr>
          <w:rFonts w:ascii="Arial" w:hAnsi="Arial" w:cs="Arial"/>
          <w:sz w:val="24"/>
        </w:rPr>
        <w:t>LimitOrder</w:t>
      </w:r>
      <w:proofErr w:type="spellEnd"/>
      <w:r w:rsidRPr="00AA3CE2">
        <w:rPr>
          <w:rFonts w:ascii="Arial" w:hAnsi="Arial" w:cs="Arial"/>
          <w:sz w:val="24"/>
        </w:rPr>
        <w:t xml:space="preserve">. The Trade model records completed transactions and stores the details required for trade history and portfolio updates. Separating completed trades from orders ensures that historical transactions remain immutable and auditable. The </w:t>
      </w:r>
      <w:proofErr w:type="spellStart"/>
      <w:r w:rsidRPr="00AA3CE2">
        <w:rPr>
          <w:rFonts w:ascii="Arial" w:hAnsi="Arial" w:cs="Arial"/>
          <w:sz w:val="24"/>
        </w:rPr>
        <w:t>LimitOrder</w:t>
      </w:r>
      <w:proofErr w:type="spellEnd"/>
      <w:r w:rsidRPr="00AA3CE2">
        <w:rPr>
          <w:rFonts w:ascii="Arial" w:hAnsi="Arial" w:cs="Arial"/>
          <w:sz w:val="24"/>
        </w:rPr>
        <w:t xml:space="preserve"> model stores user orders that are waiting for a specific target rate before execution. This separation makes the system capable of supporting both immediate trades and price-triggered orders.</w:t>
      </w:r>
    </w:p>
    <w:p w14:paraId="41868080" w14:textId="77777777" w:rsidR="000458E0" w:rsidRPr="00AA3CE2" w:rsidRDefault="000458E0" w:rsidP="00AA3CE2">
      <w:pPr>
        <w:spacing w:after="0" w:line="240" w:lineRule="auto"/>
        <w:rPr>
          <w:rFonts w:ascii="Arial" w:hAnsi="Arial" w:cs="Arial"/>
          <w:sz w:val="24"/>
        </w:rPr>
      </w:pPr>
      <w:r w:rsidRPr="00AA3CE2">
        <w:rPr>
          <w:rFonts w:ascii="Arial" w:hAnsi="Arial" w:cs="Arial"/>
          <w:sz w:val="24"/>
        </w:rPr>
        <w:t xml:space="preserve">User portfolio balances are managed through the </w:t>
      </w:r>
      <w:proofErr w:type="spellStart"/>
      <w:r w:rsidRPr="00AA3CE2">
        <w:rPr>
          <w:rFonts w:ascii="Arial" w:hAnsi="Arial" w:cs="Arial"/>
          <w:sz w:val="24"/>
        </w:rPr>
        <w:t>PortfolioHolding</w:t>
      </w:r>
      <w:proofErr w:type="spellEnd"/>
      <w:r w:rsidRPr="00AA3CE2">
        <w:rPr>
          <w:rFonts w:ascii="Arial" w:hAnsi="Arial" w:cs="Arial"/>
          <w:sz w:val="24"/>
        </w:rPr>
        <w:t xml:space="preserve"> model. Instead of storing balances within the user table itself, holdings are stored per user and per currency. This design allows each user to maintain balances across multiple currencies while ensuring that balance updates occur atomically during trade execution.</w:t>
      </w:r>
    </w:p>
    <w:p w14:paraId="779F70E9" w14:textId="77777777" w:rsidR="000458E0" w:rsidRPr="00AA3CE2" w:rsidRDefault="000458E0" w:rsidP="00AA3CE2">
      <w:pPr>
        <w:spacing w:after="0" w:line="240" w:lineRule="auto"/>
        <w:rPr>
          <w:rFonts w:ascii="Arial" w:hAnsi="Arial" w:cs="Arial"/>
          <w:sz w:val="24"/>
        </w:rPr>
      </w:pPr>
      <w:r w:rsidRPr="00AA3CE2">
        <w:rPr>
          <w:rFonts w:ascii="Arial" w:hAnsi="Arial" w:cs="Arial"/>
          <w:sz w:val="24"/>
        </w:rPr>
        <w:t xml:space="preserve">To support monitoring and administrative transparency, the system includes the </w:t>
      </w:r>
      <w:proofErr w:type="spellStart"/>
      <w:r w:rsidRPr="00AA3CE2">
        <w:rPr>
          <w:rFonts w:ascii="Arial" w:hAnsi="Arial" w:cs="Arial"/>
          <w:sz w:val="24"/>
        </w:rPr>
        <w:t>RateAuditLog</w:t>
      </w:r>
      <w:proofErr w:type="spellEnd"/>
      <w:r w:rsidRPr="00AA3CE2">
        <w:rPr>
          <w:rFonts w:ascii="Arial" w:hAnsi="Arial" w:cs="Arial"/>
          <w:sz w:val="24"/>
        </w:rPr>
        <w:t xml:space="preserve"> model. This table records how and when exchange rates are modified, along with the source of the change and the responsible user when available. By maintaining a separate audit log rather than modifying rate records directly, the system preserves a complete history of rate updates and supports traceability.</w:t>
      </w:r>
    </w:p>
    <w:p w14:paraId="48A95A2B" w14:textId="77777777" w:rsidR="000458E0" w:rsidRPr="00AA3CE2" w:rsidRDefault="000458E0" w:rsidP="00AA3CE2">
      <w:pPr>
        <w:spacing w:after="0" w:line="240" w:lineRule="auto"/>
        <w:rPr>
          <w:rFonts w:ascii="Arial" w:hAnsi="Arial" w:cs="Arial"/>
          <w:sz w:val="24"/>
        </w:rPr>
      </w:pPr>
      <w:r w:rsidRPr="00AA3CE2">
        <w:rPr>
          <w:rFonts w:ascii="Arial" w:hAnsi="Arial" w:cs="Arial"/>
          <w:sz w:val="24"/>
        </w:rPr>
        <w:t xml:space="preserve">Overall, the database design prioritizes data integrity, extensibility, and </w:t>
      </w:r>
      <w:r w:rsidRPr="00AA3CE2">
        <w:rPr>
          <w:rFonts w:ascii="Arial" w:hAnsi="Arial" w:cs="Arial"/>
          <w:sz w:val="24"/>
        </w:rPr>
        <w:lastRenderedPageBreak/>
        <w:t>traceability. The use of foreign-key relationships ensures referential consistency between currencies, pairs, trades, and portfolios. Separating operational data from audit logs and reference tables also ensures that the system can evolve to support additional features such as automated rate updates, administrative dashboards, and advanced trading workflows without requiring major schema changes.</w:t>
      </w:r>
    </w:p>
    <w:p w14:paraId="07679828" w14:textId="77777777" w:rsidR="000458E0" w:rsidRPr="00AA3CE2" w:rsidRDefault="000458E0" w:rsidP="00AA3CE2">
      <w:pPr>
        <w:spacing w:after="0" w:line="240" w:lineRule="auto"/>
        <w:rPr>
          <w:rFonts w:ascii="Arial" w:hAnsi="Arial" w:cs="Arial"/>
          <w:b/>
          <w:bCs/>
          <w:sz w:val="28"/>
          <w:szCs w:val="28"/>
        </w:rPr>
      </w:pPr>
      <w:r w:rsidRPr="00AA3CE2">
        <w:rPr>
          <w:rFonts w:ascii="Arial" w:hAnsi="Arial" w:cs="Arial"/>
          <w:b/>
          <w:bCs/>
          <w:sz w:val="28"/>
          <w:szCs w:val="28"/>
        </w:rPr>
        <w:t>2. Entity Relationship Explanation</w:t>
      </w:r>
    </w:p>
    <w:p w14:paraId="6B8CF7FD" w14:textId="77777777" w:rsidR="000458E0" w:rsidRPr="00AA3CE2" w:rsidRDefault="000458E0" w:rsidP="00AA3CE2">
      <w:pPr>
        <w:spacing w:after="0" w:line="240" w:lineRule="auto"/>
        <w:rPr>
          <w:rFonts w:ascii="Arial" w:hAnsi="Arial" w:cs="Arial"/>
          <w:sz w:val="24"/>
        </w:rPr>
      </w:pPr>
      <w:r w:rsidRPr="00AA3CE2">
        <w:rPr>
          <w:rFonts w:ascii="Arial" w:hAnsi="Arial" w:cs="Arial"/>
          <w:sz w:val="24"/>
        </w:rPr>
        <w:t>The FX Exchange database consists of several interconnected entities that represent currencies, exchange pairs, rate data, trading operations, user portfolios, and audit logs.</w:t>
      </w:r>
    </w:p>
    <w:p w14:paraId="585DBAF8" w14:textId="77777777" w:rsidR="000458E0" w:rsidRPr="00AA3CE2" w:rsidRDefault="000458E0" w:rsidP="00AA3CE2">
      <w:pPr>
        <w:spacing w:after="0" w:line="240" w:lineRule="auto"/>
        <w:rPr>
          <w:rFonts w:ascii="Arial" w:hAnsi="Arial" w:cs="Arial"/>
          <w:sz w:val="24"/>
        </w:rPr>
      </w:pPr>
      <w:r w:rsidRPr="00AA3CE2">
        <w:rPr>
          <w:rFonts w:ascii="Arial" w:hAnsi="Arial" w:cs="Arial"/>
          <w:sz w:val="24"/>
        </w:rPr>
        <w:t>At the core of the schema is the Currency entity. Each currency represents a unique monetary unit and acts as the base reference for multiple other models. A currency can participate in many currency pairs and can appear in multiple portfolio holdings belonging to different users.</w:t>
      </w:r>
    </w:p>
    <w:p w14:paraId="42E1E18E" w14:textId="77777777" w:rsidR="000458E0" w:rsidRPr="00AA3CE2" w:rsidRDefault="000458E0" w:rsidP="00AA3CE2">
      <w:pPr>
        <w:spacing w:after="0" w:line="240" w:lineRule="auto"/>
        <w:rPr>
          <w:rFonts w:ascii="Arial" w:hAnsi="Arial" w:cs="Arial"/>
          <w:sz w:val="24"/>
        </w:rPr>
      </w:pPr>
      <w:r w:rsidRPr="00AA3CE2">
        <w:rPr>
          <w:rFonts w:ascii="Arial" w:hAnsi="Arial" w:cs="Arial"/>
          <w:sz w:val="24"/>
        </w:rPr>
        <w:t xml:space="preserve">The </w:t>
      </w:r>
      <w:proofErr w:type="spellStart"/>
      <w:r w:rsidRPr="00AA3CE2">
        <w:rPr>
          <w:rFonts w:ascii="Arial" w:hAnsi="Arial" w:cs="Arial"/>
          <w:sz w:val="24"/>
        </w:rPr>
        <w:t>CurrencyPair</w:t>
      </w:r>
      <w:proofErr w:type="spellEnd"/>
      <w:r w:rsidRPr="00AA3CE2">
        <w:rPr>
          <w:rFonts w:ascii="Arial" w:hAnsi="Arial" w:cs="Arial"/>
          <w:sz w:val="24"/>
        </w:rPr>
        <w:t xml:space="preserve"> entity represents the relationship between two currencies. Each pair is defined by a base currency and a quote currency. A currency can appear in many pairs, while each pair references exactly two currencies. This establishes a one-to-many relationship between currencies and currency pairs.</w:t>
      </w:r>
    </w:p>
    <w:p w14:paraId="2F0A9450" w14:textId="77777777" w:rsidR="000458E0" w:rsidRPr="00AA3CE2" w:rsidRDefault="000458E0" w:rsidP="00AA3CE2">
      <w:pPr>
        <w:spacing w:after="0" w:line="240" w:lineRule="auto"/>
        <w:rPr>
          <w:rFonts w:ascii="Arial" w:hAnsi="Arial" w:cs="Arial"/>
          <w:sz w:val="24"/>
        </w:rPr>
      </w:pPr>
      <w:r w:rsidRPr="00AA3CE2">
        <w:rPr>
          <w:rFonts w:ascii="Arial" w:hAnsi="Arial" w:cs="Arial"/>
          <w:sz w:val="24"/>
        </w:rPr>
        <w:t xml:space="preserve">The </w:t>
      </w:r>
      <w:proofErr w:type="spellStart"/>
      <w:r w:rsidRPr="00AA3CE2">
        <w:rPr>
          <w:rFonts w:ascii="Arial" w:hAnsi="Arial" w:cs="Arial"/>
          <w:sz w:val="24"/>
        </w:rPr>
        <w:t>ExchangeRate</w:t>
      </w:r>
      <w:proofErr w:type="spellEnd"/>
      <w:r w:rsidRPr="00AA3CE2">
        <w:rPr>
          <w:rFonts w:ascii="Arial" w:hAnsi="Arial" w:cs="Arial"/>
          <w:sz w:val="24"/>
        </w:rPr>
        <w:t xml:space="preserve"> entity stores the rate value associated with a currency pair at a particular timestamp. Each rate record belongs to exactly one currency pair, while a currency pair can have many historical exchange rate entries. This creates a one-to-many relationship between </w:t>
      </w:r>
      <w:proofErr w:type="spellStart"/>
      <w:r w:rsidRPr="00AA3CE2">
        <w:rPr>
          <w:rFonts w:ascii="Arial" w:hAnsi="Arial" w:cs="Arial"/>
          <w:sz w:val="24"/>
        </w:rPr>
        <w:t>CurrencyPair</w:t>
      </w:r>
      <w:proofErr w:type="spellEnd"/>
      <w:r w:rsidRPr="00AA3CE2">
        <w:rPr>
          <w:rFonts w:ascii="Arial" w:hAnsi="Arial" w:cs="Arial"/>
          <w:sz w:val="24"/>
        </w:rPr>
        <w:t xml:space="preserve"> and </w:t>
      </w:r>
      <w:proofErr w:type="spellStart"/>
      <w:r w:rsidRPr="00AA3CE2">
        <w:rPr>
          <w:rFonts w:ascii="Arial" w:hAnsi="Arial" w:cs="Arial"/>
          <w:sz w:val="24"/>
        </w:rPr>
        <w:t>ExchangeRate</w:t>
      </w:r>
      <w:proofErr w:type="spellEnd"/>
      <w:r w:rsidRPr="00AA3CE2">
        <w:rPr>
          <w:rFonts w:ascii="Arial" w:hAnsi="Arial" w:cs="Arial"/>
          <w:sz w:val="24"/>
        </w:rPr>
        <w:t>, enabling the system to maintain historical rate records over time.</w:t>
      </w:r>
    </w:p>
    <w:p w14:paraId="494712BC" w14:textId="77777777" w:rsidR="000458E0" w:rsidRPr="00AA3CE2" w:rsidRDefault="000458E0" w:rsidP="00AA3CE2">
      <w:pPr>
        <w:spacing w:after="0" w:line="240" w:lineRule="auto"/>
        <w:rPr>
          <w:rFonts w:ascii="Arial" w:hAnsi="Arial" w:cs="Arial"/>
          <w:sz w:val="24"/>
        </w:rPr>
      </w:pPr>
      <w:r w:rsidRPr="00AA3CE2">
        <w:rPr>
          <w:rFonts w:ascii="Arial" w:hAnsi="Arial" w:cs="Arial"/>
          <w:sz w:val="24"/>
        </w:rPr>
        <w:t>The Trade entity records completed exchange transactions. Each trade is associated with a user and a currency pair, and includes details such as the trade direction, traded amount, and execution rate. A user can have many trades, while each trade references a single currency pair. This results in a many-to-one relationship between trades and both users and currency pairs.</w:t>
      </w:r>
    </w:p>
    <w:p w14:paraId="7DDAAD0F" w14:textId="77777777" w:rsidR="000458E0" w:rsidRPr="00AA3CE2" w:rsidRDefault="000458E0" w:rsidP="00AA3CE2">
      <w:pPr>
        <w:spacing w:after="0" w:line="240" w:lineRule="auto"/>
        <w:rPr>
          <w:rFonts w:ascii="Arial" w:hAnsi="Arial" w:cs="Arial"/>
          <w:sz w:val="24"/>
        </w:rPr>
      </w:pPr>
      <w:r w:rsidRPr="00AA3CE2">
        <w:rPr>
          <w:rFonts w:ascii="Arial" w:hAnsi="Arial" w:cs="Arial"/>
          <w:sz w:val="24"/>
        </w:rPr>
        <w:t xml:space="preserve">The </w:t>
      </w:r>
      <w:proofErr w:type="spellStart"/>
      <w:r w:rsidRPr="00AA3CE2">
        <w:rPr>
          <w:rFonts w:ascii="Arial" w:hAnsi="Arial" w:cs="Arial"/>
          <w:sz w:val="24"/>
        </w:rPr>
        <w:t>LimitOrder</w:t>
      </w:r>
      <w:proofErr w:type="spellEnd"/>
      <w:r w:rsidRPr="00AA3CE2">
        <w:rPr>
          <w:rFonts w:ascii="Arial" w:hAnsi="Arial" w:cs="Arial"/>
          <w:sz w:val="24"/>
        </w:rPr>
        <w:t xml:space="preserve"> entity represents user orders that are waiting for execution at a specified rate. Similar to trades, each order is associated with a user and a currency pair. A user may create multiple orders, and each order references exactly one currency pair.</w:t>
      </w:r>
    </w:p>
    <w:p w14:paraId="05ABB07E" w14:textId="77777777" w:rsidR="000458E0" w:rsidRPr="00AA3CE2" w:rsidRDefault="000458E0" w:rsidP="00AA3CE2">
      <w:pPr>
        <w:spacing w:after="0" w:line="240" w:lineRule="auto"/>
        <w:rPr>
          <w:rFonts w:ascii="Arial" w:hAnsi="Arial" w:cs="Arial"/>
          <w:sz w:val="24"/>
        </w:rPr>
      </w:pPr>
      <w:r w:rsidRPr="00AA3CE2">
        <w:rPr>
          <w:rFonts w:ascii="Arial" w:hAnsi="Arial" w:cs="Arial"/>
          <w:sz w:val="24"/>
        </w:rPr>
        <w:t xml:space="preserve">The </w:t>
      </w:r>
      <w:proofErr w:type="spellStart"/>
      <w:r w:rsidRPr="00AA3CE2">
        <w:rPr>
          <w:rFonts w:ascii="Arial" w:hAnsi="Arial" w:cs="Arial"/>
          <w:sz w:val="24"/>
        </w:rPr>
        <w:t>PortfolioHolding</w:t>
      </w:r>
      <w:proofErr w:type="spellEnd"/>
      <w:r w:rsidRPr="00AA3CE2">
        <w:rPr>
          <w:rFonts w:ascii="Arial" w:hAnsi="Arial" w:cs="Arial"/>
          <w:sz w:val="24"/>
        </w:rPr>
        <w:t xml:space="preserve"> entity represents the balance of a specific currency owned by a user. Each holding record connects one user with one currency and stores the balance amount. A user can hold multiple currencies, resulting in multiple portfolio holding records. Each currency can appear in many holdings across different users.</w:t>
      </w:r>
    </w:p>
    <w:p w14:paraId="2953E678" w14:textId="77777777" w:rsidR="000458E0" w:rsidRPr="00AA3CE2" w:rsidRDefault="000458E0" w:rsidP="00AA3CE2">
      <w:pPr>
        <w:spacing w:after="0" w:line="240" w:lineRule="auto"/>
        <w:rPr>
          <w:rFonts w:ascii="Arial" w:hAnsi="Arial" w:cs="Arial"/>
          <w:sz w:val="24"/>
        </w:rPr>
      </w:pPr>
      <w:r w:rsidRPr="00AA3CE2">
        <w:rPr>
          <w:rFonts w:ascii="Arial" w:hAnsi="Arial" w:cs="Arial"/>
          <w:sz w:val="24"/>
        </w:rPr>
        <w:t xml:space="preserve">Finally, the </w:t>
      </w:r>
      <w:proofErr w:type="spellStart"/>
      <w:r w:rsidRPr="00AA3CE2">
        <w:rPr>
          <w:rFonts w:ascii="Arial" w:hAnsi="Arial" w:cs="Arial"/>
          <w:sz w:val="24"/>
        </w:rPr>
        <w:t>RateAuditLog</w:t>
      </w:r>
      <w:proofErr w:type="spellEnd"/>
      <w:r w:rsidRPr="00AA3CE2">
        <w:rPr>
          <w:rFonts w:ascii="Arial" w:hAnsi="Arial" w:cs="Arial"/>
          <w:sz w:val="24"/>
        </w:rPr>
        <w:t xml:space="preserve"> entity records changes related to exchange rates. Each log entry references a currency pair and stores the updated rate value, the source of the update, and metadata about the modification. A single currency pair can therefore have many audit log entries corresponding to </w:t>
      </w:r>
      <w:r w:rsidRPr="00AA3CE2">
        <w:rPr>
          <w:rFonts w:ascii="Arial" w:hAnsi="Arial" w:cs="Arial"/>
          <w:sz w:val="24"/>
        </w:rPr>
        <w:lastRenderedPageBreak/>
        <w:t>historical updates.</w:t>
      </w:r>
    </w:p>
    <w:p w14:paraId="46B62974" w14:textId="03357230" w:rsidR="006514AD" w:rsidRPr="00AA3CE2" w:rsidRDefault="000458E0" w:rsidP="00AA3CE2">
      <w:pPr>
        <w:spacing w:after="0" w:line="240" w:lineRule="auto"/>
        <w:rPr>
          <w:rFonts w:ascii="Arial" w:hAnsi="Arial" w:cs="Arial"/>
          <w:sz w:val="24"/>
        </w:rPr>
      </w:pPr>
      <w:r w:rsidRPr="00AA3CE2">
        <w:rPr>
          <w:rFonts w:ascii="Arial" w:hAnsi="Arial" w:cs="Arial"/>
          <w:sz w:val="24"/>
        </w:rPr>
        <w:t xml:space="preserve">Together, these entities form a structured relational schema in which reference data (Currency), transactional data (Trade, </w:t>
      </w:r>
      <w:proofErr w:type="spellStart"/>
      <w:r w:rsidRPr="00AA3CE2">
        <w:rPr>
          <w:rFonts w:ascii="Arial" w:hAnsi="Arial" w:cs="Arial"/>
          <w:sz w:val="24"/>
        </w:rPr>
        <w:t>LimitOrder</w:t>
      </w:r>
      <w:proofErr w:type="spellEnd"/>
      <w:r w:rsidRPr="00AA3CE2">
        <w:rPr>
          <w:rFonts w:ascii="Arial" w:hAnsi="Arial" w:cs="Arial"/>
          <w:sz w:val="24"/>
        </w:rPr>
        <w:t>), operational data (</w:t>
      </w:r>
      <w:proofErr w:type="spellStart"/>
      <w:r w:rsidRPr="00AA3CE2">
        <w:rPr>
          <w:rFonts w:ascii="Arial" w:hAnsi="Arial" w:cs="Arial"/>
          <w:sz w:val="24"/>
        </w:rPr>
        <w:t>ExchangeRate</w:t>
      </w:r>
      <w:proofErr w:type="spellEnd"/>
      <w:r w:rsidRPr="00AA3CE2">
        <w:rPr>
          <w:rFonts w:ascii="Arial" w:hAnsi="Arial" w:cs="Arial"/>
          <w:sz w:val="24"/>
        </w:rPr>
        <w:t xml:space="preserve">, </w:t>
      </w:r>
      <w:proofErr w:type="spellStart"/>
      <w:r w:rsidRPr="00AA3CE2">
        <w:rPr>
          <w:rFonts w:ascii="Arial" w:hAnsi="Arial" w:cs="Arial"/>
          <w:sz w:val="24"/>
        </w:rPr>
        <w:t>PortfolioHolding</w:t>
      </w:r>
      <w:proofErr w:type="spellEnd"/>
      <w:r w:rsidRPr="00AA3CE2">
        <w:rPr>
          <w:rFonts w:ascii="Arial" w:hAnsi="Arial" w:cs="Arial"/>
          <w:sz w:val="24"/>
        </w:rPr>
        <w:t>), and monitoring data (</w:t>
      </w:r>
      <w:proofErr w:type="spellStart"/>
      <w:r w:rsidRPr="00AA3CE2">
        <w:rPr>
          <w:rFonts w:ascii="Arial" w:hAnsi="Arial" w:cs="Arial"/>
          <w:sz w:val="24"/>
        </w:rPr>
        <w:t>RateAuditLog</w:t>
      </w:r>
      <w:proofErr w:type="spellEnd"/>
      <w:r w:rsidRPr="00AA3CE2">
        <w:rPr>
          <w:rFonts w:ascii="Arial" w:hAnsi="Arial" w:cs="Arial"/>
          <w:sz w:val="24"/>
        </w:rPr>
        <w:t>) are clearly separated but connected through foreign-key relationships. This structure ensures that the system can maintain consistent trading records, accurate portfolio balances, and a transparent history of rate updates.</w:t>
      </w:r>
    </w:p>
    <w:sectPr w:rsidR="006514AD" w:rsidRPr="00AA3CE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5F78F" w14:textId="77777777" w:rsidR="0062421A" w:rsidRDefault="0062421A" w:rsidP="000458E0">
      <w:pPr>
        <w:spacing w:after="0" w:line="240" w:lineRule="auto"/>
        <w:rPr>
          <w:rFonts w:hint="eastAsia"/>
        </w:rPr>
      </w:pPr>
      <w:r>
        <w:separator/>
      </w:r>
    </w:p>
  </w:endnote>
  <w:endnote w:type="continuationSeparator" w:id="0">
    <w:p w14:paraId="2682BA80" w14:textId="77777777" w:rsidR="0062421A" w:rsidRDefault="0062421A" w:rsidP="000458E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6DE87" w14:textId="77777777" w:rsidR="0062421A" w:rsidRDefault="0062421A" w:rsidP="000458E0">
      <w:pPr>
        <w:spacing w:after="0" w:line="240" w:lineRule="auto"/>
        <w:rPr>
          <w:rFonts w:hint="eastAsia"/>
        </w:rPr>
      </w:pPr>
      <w:r>
        <w:separator/>
      </w:r>
    </w:p>
  </w:footnote>
  <w:footnote w:type="continuationSeparator" w:id="0">
    <w:p w14:paraId="49D025AB" w14:textId="77777777" w:rsidR="0062421A" w:rsidRDefault="0062421A" w:rsidP="000458E0">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4AD"/>
    <w:rsid w:val="000458E0"/>
    <w:rsid w:val="0062421A"/>
    <w:rsid w:val="006514AD"/>
    <w:rsid w:val="006733E5"/>
    <w:rsid w:val="00AA3C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323082D0-D284-49B2-8878-AE9389BBC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514A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514A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514A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514A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514A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514A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514A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514A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514A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514A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514A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514A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514AD"/>
    <w:rPr>
      <w:rFonts w:cstheme="majorBidi"/>
      <w:color w:val="2F5496" w:themeColor="accent1" w:themeShade="BF"/>
      <w:sz w:val="28"/>
      <w:szCs w:val="28"/>
    </w:rPr>
  </w:style>
  <w:style w:type="character" w:customStyle="1" w:styleId="50">
    <w:name w:val="标题 5 字符"/>
    <w:basedOn w:val="a0"/>
    <w:link w:val="5"/>
    <w:uiPriority w:val="9"/>
    <w:semiHidden/>
    <w:rsid w:val="006514AD"/>
    <w:rPr>
      <w:rFonts w:cstheme="majorBidi"/>
      <w:color w:val="2F5496" w:themeColor="accent1" w:themeShade="BF"/>
      <w:sz w:val="24"/>
    </w:rPr>
  </w:style>
  <w:style w:type="character" w:customStyle="1" w:styleId="60">
    <w:name w:val="标题 6 字符"/>
    <w:basedOn w:val="a0"/>
    <w:link w:val="6"/>
    <w:uiPriority w:val="9"/>
    <w:semiHidden/>
    <w:rsid w:val="006514AD"/>
    <w:rPr>
      <w:rFonts w:cstheme="majorBidi"/>
      <w:b/>
      <w:bCs/>
      <w:color w:val="2F5496" w:themeColor="accent1" w:themeShade="BF"/>
    </w:rPr>
  </w:style>
  <w:style w:type="character" w:customStyle="1" w:styleId="70">
    <w:name w:val="标题 7 字符"/>
    <w:basedOn w:val="a0"/>
    <w:link w:val="7"/>
    <w:uiPriority w:val="9"/>
    <w:semiHidden/>
    <w:rsid w:val="006514AD"/>
    <w:rPr>
      <w:rFonts w:cstheme="majorBidi"/>
      <w:b/>
      <w:bCs/>
      <w:color w:val="595959" w:themeColor="text1" w:themeTint="A6"/>
    </w:rPr>
  </w:style>
  <w:style w:type="character" w:customStyle="1" w:styleId="80">
    <w:name w:val="标题 8 字符"/>
    <w:basedOn w:val="a0"/>
    <w:link w:val="8"/>
    <w:uiPriority w:val="9"/>
    <w:semiHidden/>
    <w:rsid w:val="006514AD"/>
    <w:rPr>
      <w:rFonts w:cstheme="majorBidi"/>
      <w:color w:val="595959" w:themeColor="text1" w:themeTint="A6"/>
    </w:rPr>
  </w:style>
  <w:style w:type="character" w:customStyle="1" w:styleId="90">
    <w:name w:val="标题 9 字符"/>
    <w:basedOn w:val="a0"/>
    <w:link w:val="9"/>
    <w:uiPriority w:val="9"/>
    <w:semiHidden/>
    <w:rsid w:val="006514AD"/>
    <w:rPr>
      <w:rFonts w:eastAsiaTheme="majorEastAsia" w:cstheme="majorBidi"/>
      <w:color w:val="595959" w:themeColor="text1" w:themeTint="A6"/>
    </w:rPr>
  </w:style>
  <w:style w:type="paragraph" w:styleId="a3">
    <w:name w:val="Title"/>
    <w:basedOn w:val="a"/>
    <w:next w:val="a"/>
    <w:link w:val="a4"/>
    <w:uiPriority w:val="10"/>
    <w:qFormat/>
    <w:rsid w:val="006514A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514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14A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514A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514AD"/>
    <w:pPr>
      <w:spacing w:before="160"/>
      <w:jc w:val="center"/>
    </w:pPr>
    <w:rPr>
      <w:i/>
      <w:iCs/>
      <w:color w:val="404040" w:themeColor="text1" w:themeTint="BF"/>
    </w:rPr>
  </w:style>
  <w:style w:type="character" w:customStyle="1" w:styleId="a8">
    <w:name w:val="引用 字符"/>
    <w:basedOn w:val="a0"/>
    <w:link w:val="a7"/>
    <w:uiPriority w:val="29"/>
    <w:rsid w:val="006514AD"/>
    <w:rPr>
      <w:i/>
      <w:iCs/>
      <w:color w:val="404040" w:themeColor="text1" w:themeTint="BF"/>
    </w:rPr>
  </w:style>
  <w:style w:type="paragraph" w:styleId="a9">
    <w:name w:val="List Paragraph"/>
    <w:basedOn w:val="a"/>
    <w:uiPriority w:val="34"/>
    <w:qFormat/>
    <w:rsid w:val="006514AD"/>
    <w:pPr>
      <w:ind w:left="720"/>
      <w:contextualSpacing/>
    </w:pPr>
  </w:style>
  <w:style w:type="character" w:styleId="aa">
    <w:name w:val="Intense Emphasis"/>
    <w:basedOn w:val="a0"/>
    <w:uiPriority w:val="21"/>
    <w:qFormat/>
    <w:rsid w:val="006514AD"/>
    <w:rPr>
      <w:i/>
      <w:iCs/>
      <w:color w:val="2F5496" w:themeColor="accent1" w:themeShade="BF"/>
    </w:rPr>
  </w:style>
  <w:style w:type="paragraph" w:styleId="ab">
    <w:name w:val="Intense Quote"/>
    <w:basedOn w:val="a"/>
    <w:next w:val="a"/>
    <w:link w:val="ac"/>
    <w:uiPriority w:val="30"/>
    <w:qFormat/>
    <w:rsid w:val="006514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514AD"/>
    <w:rPr>
      <w:i/>
      <w:iCs/>
      <w:color w:val="2F5496" w:themeColor="accent1" w:themeShade="BF"/>
    </w:rPr>
  </w:style>
  <w:style w:type="character" w:styleId="ad">
    <w:name w:val="Intense Reference"/>
    <w:basedOn w:val="a0"/>
    <w:uiPriority w:val="32"/>
    <w:qFormat/>
    <w:rsid w:val="006514AD"/>
    <w:rPr>
      <w:b/>
      <w:bCs/>
      <w:smallCaps/>
      <w:color w:val="2F5496" w:themeColor="accent1" w:themeShade="BF"/>
      <w:spacing w:val="5"/>
    </w:rPr>
  </w:style>
  <w:style w:type="paragraph" w:styleId="ae">
    <w:name w:val="header"/>
    <w:basedOn w:val="a"/>
    <w:link w:val="af"/>
    <w:uiPriority w:val="99"/>
    <w:unhideWhenUsed/>
    <w:rsid w:val="000458E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458E0"/>
    <w:rPr>
      <w:sz w:val="18"/>
      <w:szCs w:val="18"/>
    </w:rPr>
  </w:style>
  <w:style w:type="paragraph" w:styleId="af0">
    <w:name w:val="footer"/>
    <w:basedOn w:val="a"/>
    <w:link w:val="af1"/>
    <w:uiPriority w:val="99"/>
    <w:unhideWhenUsed/>
    <w:rsid w:val="000458E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458E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935</Words>
  <Characters>5336</Characters>
  <Application>Microsoft Office Word</Application>
  <DocSecurity>0</DocSecurity>
  <Lines>44</Lines>
  <Paragraphs>12</Paragraphs>
  <ScaleCrop>false</ScaleCrop>
  <Company/>
  <LinksUpToDate>false</LinksUpToDate>
  <CharactersWithSpaces>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木泉 槿</dc:creator>
  <cp:keywords/>
  <dc:description/>
  <cp:lastModifiedBy>木泉 槿</cp:lastModifiedBy>
  <cp:revision>3</cp:revision>
  <dcterms:created xsi:type="dcterms:W3CDTF">2026-03-12T10:55:00Z</dcterms:created>
  <dcterms:modified xsi:type="dcterms:W3CDTF">2026-03-12T10:56:00Z</dcterms:modified>
</cp:coreProperties>
</file>