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00"/>
        <w:jc w:val="center"/>
      </w:pPr>
      <w:r>
        <w:rPr>
          <w:rFonts w:ascii="Times New Roman" w:hAnsi="Times New Roman"/>
          <w:b/>
          <w:sz w:val="36"/>
        </w:rPr>
        <w:t>Project Report (Part I)</w:t>
      </w:r>
    </w:p>
    <w:p>
      <w:pPr>
        <w:keepNext/>
        <w:spacing w:before="280" w:after="160"/>
      </w:pPr>
      <w:r>
        <w:rPr>
          <w:rFonts w:ascii="Times New Roman" w:hAnsi="Times New Roman"/>
          <w:b/>
          <w:sz w:val="32"/>
        </w:rPr>
        <w:t>on</w:t>
      </w:r>
    </w:p>
    <w:p>
      <w:pPr>
        <w:keepNext/>
        <w:spacing w:before="360" w:after="200"/>
      </w:pPr>
      <w:r>
        <w:rPr>
          <w:rFonts w:ascii="Times New Roman" w:hAnsi="Times New Roman"/>
          <w:b/>
          <w:sz w:val="36"/>
        </w:rPr>
        <w:t>FraudShield AI: An Intelligent Real-Time Financial Transaction &amp; Credit Card Fraud Detection Platform Using Hybrid Stacking Ensemble and Explainable AI (XAI)</w:t>
      </w:r>
    </w:p>
    <w:p>
      <w:pPr>
        <w:keepNext/>
        <w:spacing w:before="240" w:after="120"/>
      </w:pPr>
      <w:r>
        <w:rPr>
          <w:rFonts w:ascii="Times New Roman" w:hAnsi="Times New Roman"/>
          <w:b/>
          <w:sz w:val="28"/>
        </w:rPr>
        <w:t>Submitted in partial fulfillment for the award of the degree of</w:t>
      </w:r>
    </w:p>
    <w:p>
      <w:pPr>
        <w:keepNext/>
        <w:spacing w:before="280" w:after="160"/>
      </w:pPr>
      <w:r>
        <w:rPr>
          <w:rFonts w:ascii="Times New Roman" w:hAnsi="Times New Roman"/>
          <w:b/>
          <w:sz w:val="32"/>
        </w:rPr>
        <w:t>BACHELOR OF ENGINEERING</w:t>
      </w:r>
    </w:p>
    <w:p>
      <w:pPr>
        <w:keepNext/>
        <w:spacing w:before="240" w:after="120"/>
      </w:pPr>
      <w:r>
        <w:rPr>
          <w:rFonts w:ascii="Times New Roman" w:hAnsi="Times New Roman"/>
          <w:b/>
          <w:sz w:val="28"/>
        </w:rPr>
        <w:t>In</w:t>
      </w:r>
    </w:p>
    <w:p>
      <w:pPr>
        <w:keepNext/>
        <w:spacing w:before="280" w:after="160"/>
      </w:pPr>
      <w:r>
        <w:rPr>
          <w:rFonts w:ascii="Times New Roman" w:hAnsi="Times New Roman"/>
          <w:b/>
          <w:sz w:val="32"/>
        </w:rPr>
        <w:t>COMPUTER ENGINEERING</w:t>
      </w:r>
    </w:p>
    <w:p>
      <w:pPr>
        <w:spacing w:line="360" w:lineRule="auto" w:after="120"/>
        <w:jc w:val="both"/>
      </w:pPr>
      <w:r>
        <w:rPr>
          <w:rFonts w:ascii="Times New Roman" w:hAnsi="Times New Roman"/>
          <w:sz w:val="24"/>
        </w:rPr>
        <w:t>Submitted by</w:t>
      </w:r>
    </w:p>
    <w:p>
      <w:pPr>
        <w:spacing w:line="360" w:lineRule="auto" w:after="120"/>
        <w:ind w:left="432"/>
      </w:pPr>
      <w:r>
        <w:rPr>
          <w:rFonts w:ascii="Times New Roman" w:hAnsi="Times New Roman"/>
          <w:sz w:val="24"/>
        </w:rPr>
        <w:t>• Ashmit Singh (Roll No. 101)</w:t>
      </w:r>
    </w:p>
    <w:p>
      <w:pPr>
        <w:spacing w:line="360" w:lineRule="auto" w:after="120"/>
        <w:ind w:left="432"/>
      </w:pPr>
      <w:r>
        <w:rPr>
          <w:rFonts w:ascii="Times New Roman" w:hAnsi="Times New Roman"/>
          <w:sz w:val="24"/>
        </w:rPr>
        <w:t>• Sumit Singh (Roll No. 102)</w:t>
      </w:r>
    </w:p>
    <w:p>
      <w:pPr>
        <w:spacing w:line="360" w:lineRule="auto" w:after="120"/>
        <w:ind w:left="432"/>
      </w:pPr>
      <w:r>
        <w:rPr>
          <w:rFonts w:ascii="Times New Roman" w:hAnsi="Times New Roman"/>
          <w:sz w:val="24"/>
        </w:rPr>
        <w:t>• Shivam Singh (Roll No. 103)</w:t>
      </w:r>
    </w:p>
    <w:p>
      <w:pPr>
        <w:spacing w:line="360" w:lineRule="auto" w:after="120"/>
        <w:jc w:val="both"/>
      </w:pPr>
      <w:r>
        <w:rPr>
          <w:rFonts w:ascii="Times New Roman" w:hAnsi="Times New Roman"/>
          <w:sz w:val="24"/>
        </w:rPr>
        <w:t>Under the Guidance of</w:t>
      </w:r>
    </w:p>
    <w:p>
      <w:pPr>
        <w:spacing w:line="360" w:lineRule="auto" w:after="120"/>
        <w:jc w:val="both"/>
      </w:pPr>
      <w:r>
        <w:rPr>
          <w:rFonts w:ascii="Times New Roman" w:hAnsi="Times New Roman"/>
          <w:sz w:val="24"/>
        </w:rPr>
        <w:t>Ms. Tanmayi Nagale</w:t>
      </w:r>
    </w:p>
    <w:p>
      <w:pPr>
        <w:spacing w:line="360" w:lineRule="auto" w:after="120"/>
        <w:jc w:val="both"/>
      </w:pPr>
      <w:r>
        <w:rPr>
          <w:rFonts w:ascii="Times New Roman" w:hAnsi="Times New Roman"/>
          <w:sz w:val="24"/>
        </w:rPr>
        <w:t>Assistant Professor</w:t>
      </w:r>
    </w:p>
    <w:p>
      <w:pPr>
        <w:spacing w:line="360" w:lineRule="auto" w:after="120"/>
        <w:jc w:val="both"/>
      </w:pPr>
      <w:r>
        <w:rPr>
          <w:rFonts w:ascii="Times New Roman" w:hAnsi="Times New Roman"/>
          <w:sz w:val="24"/>
        </w:rPr>
        <w:t>Department of Computer Engineering</w:t>
      </w:r>
    </w:p>
    <w:p>
      <w:pPr>
        <w:spacing w:line="360" w:lineRule="auto" w:after="120"/>
        <w:jc w:val="both"/>
      </w:pPr>
      <w:r>
        <w:rPr>
          <w:rFonts w:ascii="Times New Roman" w:hAnsi="Times New Roman"/>
          <w:sz w:val="24"/>
        </w:rPr>
        <w:t>Thakur College of Engineering &amp; Technology</w:t>
      </w:r>
    </w:p>
    <w:p>
      <w:pPr>
        <w:spacing w:line="360" w:lineRule="auto" w:after="120"/>
        <w:jc w:val="both"/>
      </w:pPr>
      <w:r>
        <w:rPr>
          <w:rFonts w:ascii="Times New Roman" w:hAnsi="Times New Roman"/>
          <w:sz w:val="24"/>
        </w:rPr>
        <w:t>(Autonomous Institute Affiliated to University of Mumbai)</w:t>
      </w:r>
    </w:p>
    <w:p>
      <w:pPr>
        <w:spacing w:line="360" w:lineRule="auto" w:after="120"/>
        <w:jc w:val="both"/>
      </w:pPr>
      <w:r>
        <w:rPr>
          <w:rFonts w:ascii="Times New Roman" w:hAnsi="Times New Roman"/>
          <w:sz w:val="24"/>
        </w:rPr>
        <w:t>Academic Year 2026-27</w:t>
      </w:r>
    </w:p>
    <w:p>
      <w:r>
        <w:br w:type="page"/>
      </w:r>
    </w:p>
    <w:p>
      <w:pPr>
        <w:keepNext/>
        <w:spacing w:before="360" w:after="200"/>
      </w:pPr>
      <w:r>
        <w:rPr>
          <w:rFonts w:ascii="Times New Roman" w:hAnsi="Times New Roman"/>
          <w:b/>
          <w:sz w:val="36"/>
        </w:rPr>
        <w:t>TCET | THAKUR COLLEGE OF ENGINEERING &amp; TECHNOLOGY</w:t>
      </w:r>
    </w:p>
    <w:p>
      <w:pPr>
        <w:spacing w:line="360" w:lineRule="auto" w:after="120"/>
        <w:jc w:val="both"/>
      </w:pPr>
      <w:r>
        <w:rPr>
          <w:rFonts w:ascii="Times New Roman" w:hAnsi="Times New Roman"/>
          <w:sz w:val="24"/>
        </w:rPr>
        <w:t>(Autonomous Institute, Affiliated to University of Mumbai)</w:t>
      </w:r>
    </w:p>
    <w:p>
      <w:pPr>
        <w:spacing w:line="360" w:lineRule="auto" w:after="120"/>
        <w:jc w:val="both"/>
      </w:pPr>
      <w:r>
        <w:rPr>
          <w:rFonts w:ascii="Times New Roman" w:hAnsi="Times New Roman"/>
          <w:sz w:val="24"/>
        </w:rPr>
        <w:t>Approved by AICTE &amp; Govt. of Maharashtra | Affiliated to University of Mumbai (UoM)</w:t>
      </w:r>
    </w:p>
    <w:p>
      <w:pPr>
        <w:spacing w:line="360" w:lineRule="auto" w:after="120"/>
        <w:jc w:val="both"/>
      </w:pPr>
      <w:r>
        <w:rPr>
          <w:rFonts w:ascii="Times New Roman" w:hAnsi="Times New Roman"/>
          <w:sz w:val="24"/>
        </w:rPr>
        <w:t>Conferred Autonomous Status by UGC for 10 years w.e.f. A.Y. 2019-20</w:t>
      </w:r>
    </w:p>
    <w:p>
      <w:pPr>
        <w:spacing w:line="360" w:lineRule="auto" w:after="120"/>
        <w:jc w:val="both"/>
      </w:pPr>
      <w:r>
        <w:rPr>
          <w:rFonts w:ascii="Times New Roman" w:hAnsi="Times New Roman"/>
          <w:sz w:val="24"/>
        </w:rPr>
        <w:t>Accredited with 'A' Grade by National Assessment &amp; Accreditation Council (NAAC)</w:t>
      </w:r>
    </w:p>
    <w:p>
      <w:pPr>
        <w:spacing w:line="360" w:lineRule="auto" w:after="120"/>
        <w:jc w:val="both"/>
      </w:pPr>
      <w:r>
        <w:rPr>
          <w:rFonts w:ascii="Times New Roman" w:hAnsi="Times New Roman"/>
          <w:sz w:val="24"/>
        </w:rPr>
        <w:t>Programmes Accredited by National Board of Accreditation (NBA)</w:t>
      </w:r>
    </w:p>
    <w:p>
      <w:pPr>
        <w:spacing w:line="360" w:lineRule="auto" w:after="120"/>
        <w:jc w:val="both"/>
      </w:pPr>
      <w:r>
        <w:rPr>
          <w:rFonts w:ascii="Times New Roman" w:hAnsi="Times New Roman"/>
          <w:sz w:val="24"/>
        </w:rPr>
        <w:t>Empowered Autonomous Status Conferred by University of Mumbai for 10 years w.e.f. A.Y. 2025-26</w:t>
      </w:r>
    </w:p>
    <w:p>
      <w:pPr>
        <w:spacing w:line="360" w:lineRule="auto" w:after="120"/>
        <w:jc w:val="both"/>
      </w:pPr>
      <w:r>
        <w:rPr>
          <w:rFonts w:ascii="Times New Roman" w:hAnsi="Times New Roman"/>
          <w:sz w:val="24"/>
        </w:rPr>
        <w:t>A-Block, Thakur Educational Campus, Shyamnarayan Thakur Marg, Thakur Village, Kandivali (East), Mumbai - 400101</w:t>
      </w:r>
    </w:p>
    <w:p>
      <w:r>
        <w:br w:type="page"/>
      </w:r>
    </w:p>
    <w:p>
      <w:pPr>
        <w:keepNext/>
        <w:spacing w:before="360" w:after="200"/>
        <w:jc w:val="center"/>
      </w:pPr>
      <w:r>
        <w:rPr>
          <w:rFonts w:ascii="Times New Roman" w:hAnsi="Times New Roman"/>
          <w:b/>
          <w:sz w:val="36"/>
        </w:rPr>
        <w:t>CERTIFICATE</w:t>
      </w:r>
    </w:p>
    <w:p>
      <w:pPr>
        <w:spacing w:line="360" w:lineRule="auto" w:after="120"/>
        <w:jc w:val="both"/>
      </w:pPr>
      <w:r>
        <w:rPr>
          <w:rFonts w:ascii="Times New Roman" w:hAnsi="Times New Roman"/>
          <w:sz w:val="24"/>
        </w:rPr>
        <w:t>This is to certify that the project entitled “FraudShield AI: An Intelligent Real-Time Financial Transaction &amp; Credit Card Fraud Detection Platform Using Hybrid Stacking Ensemble and Explainable AI (XAI)” is a bonafide work of:</w:t>
      </w:r>
    </w:p>
    <w:p>
      <w:pPr>
        <w:spacing w:line="360" w:lineRule="auto" w:after="120"/>
        <w:ind w:left="432"/>
      </w:pPr>
      <w:r>
        <w:rPr>
          <w:rFonts w:ascii="Times New Roman" w:hAnsi="Times New Roman"/>
          <w:sz w:val="24"/>
        </w:rPr>
        <w:t>• Ashmit Singh (Roll No. 101)</w:t>
      </w:r>
    </w:p>
    <w:p>
      <w:pPr>
        <w:spacing w:line="360" w:lineRule="auto" w:after="120"/>
        <w:ind w:left="432"/>
      </w:pPr>
      <w:r>
        <w:rPr>
          <w:rFonts w:ascii="Times New Roman" w:hAnsi="Times New Roman"/>
          <w:sz w:val="24"/>
        </w:rPr>
        <w:t>• Sumit Singh (Roll No. 102)</w:t>
      </w:r>
    </w:p>
    <w:p>
      <w:pPr>
        <w:spacing w:line="360" w:lineRule="auto" w:after="120"/>
        <w:ind w:left="432"/>
      </w:pPr>
      <w:r>
        <w:rPr>
          <w:rFonts w:ascii="Times New Roman" w:hAnsi="Times New Roman"/>
          <w:sz w:val="24"/>
        </w:rPr>
        <w:t>• Shivam Singh (Roll No. 103)</w:t>
      </w:r>
    </w:p>
    <w:p>
      <w:pPr>
        <w:spacing w:line="360" w:lineRule="auto" w:after="120"/>
        <w:jc w:val="both"/>
      </w:pPr>
      <w:r>
        <w:rPr>
          <w:rFonts w:ascii="Times New Roman" w:hAnsi="Times New Roman"/>
          <w:sz w:val="24"/>
        </w:rPr>
        <w:t>submitted to the Thakur College of Engineering and Technology, Mumbai (An Autonomous College affiliated to University of Mumbai) in partial fulfillment of the requirement for Project-I for the award of the degree of “Bachelor of Engineering” in “Computer Engineering” during the academic year 2026-2027.</w:t>
      </w:r>
    </w:p>
    <w:p>
      <w:pPr>
        <w:spacing w:line="360" w:lineRule="auto" w:after="120"/>
        <w:jc w:val="both"/>
      </w:pPr>
      <w:r>
        <w:rPr>
          <w:rFonts w:ascii="Times New Roman" w:hAnsi="Times New Roman"/>
          <w:sz w:val="24"/>
        </w:rPr>
        <w:t>&lt;br&gt;&lt;br&gt;&lt;br&gt;</w:t>
      </w:r>
    </w:p>
    <w:p>
      <w:pPr>
        <w:spacing w:line="360" w:lineRule="auto" w:after="120"/>
        <w:jc w:val="both"/>
      </w:pPr>
      <w:r>
        <w:rPr>
          <w:rFonts w:ascii="Times New Roman" w:hAnsi="Times New Roman"/>
          <w:sz w:val="24"/>
        </w:rPr>
        <w:t>---------------------------------------------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p>
    <w:p>
      <w:pPr>
        <w:spacing w:line="360" w:lineRule="auto" w:after="120"/>
        <w:jc w:val="both"/>
      </w:pPr>
      <w:r>
        <w:rPr>
          <w:rFonts w:ascii="Times New Roman" w:hAnsi="Times New Roman"/>
          <w:sz w:val="24"/>
        </w:rPr>
        <w:t>Ms. Tanmayi Nagale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Dr. Vaishali Kaiche</w:t>
      </w:r>
    </w:p>
    <w:p>
      <w:pPr>
        <w:spacing w:line="360" w:lineRule="auto" w:after="120"/>
        <w:jc w:val="both"/>
      </w:pPr>
      <w:r>
        <w:rPr>
          <w:rFonts w:ascii="Times New Roman" w:hAnsi="Times New Roman"/>
          <w:sz w:val="24"/>
        </w:rPr>
        <w:t>Project Guide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Head of Department</w:t>
      </w:r>
    </w:p>
    <w:p>
      <w:pPr>
        <w:spacing w:line="360" w:lineRule="auto" w:after="120"/>
        <w:jc w:val="both"/>
      </w:pPr>
      <w:r>
        <w:rPr>
          <w:rFonts w:ascii="Times New Roman" w:hAnsi="Times New Roman"/>
          <w:sz w:val="24"/>
        </w:rPr>
        <w:t>Assistant Professor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Department of Computer Engineering</w:t>
      </w:r>
    </w:p>
    <w:p>
      <w:pPr>
        <w:spacing w:line="360" w:lineRule="auto" w:after="120"/>
        <w:jc w:val="both"/>
      </w:pPr>
      <w:r>
        <w:rPr>
          <w:rFonts w:ascii="Times New Roman" w:hAnsi="Times New Roman"/>
          <w:sz w:val="24"/>
        </w:rPr>
        <w:t>Department of Computer Engineering</w:t>
      </w:r>
    </w:p>
    <w:p>
      <w:pPr>
        <w:spacing w:line="360" w:lineRule="auto" w:after="120"/>
        <w:jc w:val="both"/>
      </w:pPr>
      <w:r>
        <w:rPr>
          <w:rFonts w:ascii="Times New Roman" w:hAnsi="Times New Roman"/>
          <w:sz w:val="24"/>
        </w:rPr>
        <w:t>&lt;br&gt;&lt;br&gt;</w:t>
      </w:r>
    </w:p>
    <w:p>
      <w:pPr>
        <w:spacing w:line="360" w:lineRule="auto" w:after="120"/>
        <w:jc w:val="both"/>
      </w:pPr>
      <w:r>
        <w:rPr>
          <w:rFonts w:ascii="Times New Roman" w:hAnsi="Times New Roman"/>
          <w:sz w:val="24"/>
        </w:rPr>
        <w:t>---------------------------------------------</w:t>
      </w:r>
    </w:p>
    <w:p>
      <w:pPr>
        <w:spacing w:line="360" w:lineRule="auto" w:after="120"/>
        <w:jc w:val="both"/>
      </w:pPr>
      <w:r>
        <w:rPr>
          <w:rFonts w:ascii="Times New Roman" w:hAnsi="Times New Roman"/>
          <w:sz w:val="24"/>
        </w:rPr>
        <w:t>Dr. B. K. Mishra</w:t>
      </w:r>
    </w:p>
    <w:p>
      <w:pPr>
        <w:spacing w:line="360" w:lineRule="auto" w:after="120"/>
        <w:jc w:val="both"/>
      </w:pPr>
      <w:r>
        <w:rPr>
          <w:rFonts w:ascii="Times New Roman" w:hAnsi="Times New Roman"/>
          <w:sz w:val="24"/>
        </w:rPr>
        <w:t>Principal</w:t>
      </w:r>
    </w:p>
    <w:p>
      <w:pPr>
        <w:spacing w:line="360" w:lineRule="auto" w:after="120"/>
        <w:jc w:val="both"/>
      </w:pPr>
      <w:r>
        <w:rPr>
          <w:rFonts w:ascii="Times New Roman" w:hAnsi="Times New Roman"/>
          <w:sz w:val="24"/>
        </w:rPr>
        <w:t>Thakur College of Engineering and Technology</w:t>
      </w:r>
    </w:p>
    <w:p>
      <w:r>
        <w:br w:type="page"/>
      </w:r>
    </w:p>
    <w:p>
      <w:pPr>
        <w:keepNext/>
        <w:spacing w:before="360" w:after="200"/>
        <w:jc w:val="center"/>
      </w:pPr>
      <w:r>
        <w:rPr>
          <w:rFonts w:ascii="Times New Roman" w:hAnsi="Times New Roman"/>
          <w:b/>
          <w:sz w:val="36"/>
        </w:rPr>
        <w:t>PROJECT APPROVAL CERTIFICATE</w:t>
      </w:r>
    </w:p>
    <w:p>
      <w:pPr>
        <w:spacing w:line="360" w:lineRule="auto" w:after="120"/>
        <w:jc w:val="both"/>
      </w:pPr>
      <w:r>
        <w:rPr>
          <w:rFonts w:ascii="Times New Roman" w:hAnsi="Times New Roman"/>
          <w:sz w:val="24"/>
        </w:rPr>
        <w:t>This project report entitled “FraudShield AI: An Intelligent Real-Time Financial Transaction &amp; Credit Card Fraud Detection Platform Using Hybrid Stacking Ensemble and Explainable AI (XAI)” by:</w:t>
      </w:r>
    </w:p>
    <w:p>
      <w:pPr>
        <w:spacing w:line="360" w:lineRule="auto" w:after="120"/>
        <w:ind w:left="432"/>
      </w:pPr>
      <w:r>
        <w:rPr>
          <w:rFonts w:ascii="Times New Roman" w:hAnsi="Times New Roman"/>
          <w:sz w:val="24"/>
        </w:rPr>
        <w:t>• Ashmit Singh (Roll No. 101)</w:t>
      </w:r>
    </w:p>
    <w:p>
      <w:pPr>
        <w:spacing w:line="360" w:lineRule="auto" w:after="120"/>
        <w:ind w:left="432"/>
      </w:pPr>
      <w:r>
        <w:rPr>
          <w:rFonts w:ascii="Times New Roman" w:hAnsi="Times New Roman"/>
          <w:sz w:val="24"/>
        </w:rPr>
        <w:t>• Sumit Singh (Roll No. 102)</w:t>
      </w:r>
    </w:p>
    <w:p>
      <w:pPr>
        <w:spacing w:line="360" w:lineRule="auto" w:after="120"/>
        <w:ind w:left="432"/>
      </w:pPr>
      <w:r>
        <w:rPr>
          <w:rFonts w:ascii="Times New Roman" w:hAnsi="Times New Roman"/>
          <w:sz w:val="24"/>
        </w:rPr>
        <w:t>• Shivam Singh (Roll No. 103)</w:t>
      </w:r>
    </w:p>
    <w:p>
      <w:pPr>
        <w:spacing w:line="360" w:lineRule="auto" w:after="120"/>
        <w:jc w:val="both"/>
      </w:pPr>
      <w:r>
        <w:rPr>
          <w:rFonts w:ascii="Times New Roman" w:hAnsi="Times New Roman"/>
          <w:sz w:val="24"/>
        </w:rPr>
        <w:t>is approved for the degree of “Bachelor of Engineering” in “Computer Engineering”.</w:t>
      </w:r>
    </w:p>
    <w:p>
      <w:pPr>
        <w:spacing w:line="360" w:lineRule="auto" w:after="120"/>
        <w:jc w:val="both"/>
      </w:pPr>
      <w:r>
        <w:rPr>
          <w:rFonts w:ascii="Times New Roman" w:hAnsi="Times New Roman"/>
          <w:sz w:val="24"/>
        </w:rPr>
        <w:t>&lt;br&gt;&lt;br&gt;&lt;br&gt;</w:t>
      </w:r>
    </w:p>
    <w:p>
      <w:pPr>
        <w:spacing w:line="360" w:lineRule="auto" w:after="120"/>
        <w:jc w:val="both"/>
      </w:pPr>
      <w:r>
        <w:rPr>
          <w:rFonts w:ascii="Times New Roman" w:hAnsi="Times New Roman"/>
          <w:sz w:val="24"/>
        </w:rPr>
        <w:t>Internal Examiner: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External Examiner:</w:t>
      </w:r>
    </w:p>
    <w:p>
      <w:pPr>
        <w:spacing w:line="360" w:lineRule="auto" w:after="120"/>
        <w:jc w:val="both"/>
      </w:pPr>
      <w:r>
        <w:rPr>
          <w:rFonts w:ascii="Times New Roman" w:hAnsi="Times New Roman"/>
          <w:sz w:val="24"/>
        </w:rPr>
        <w:t xml:space="preserve">Signature:  &amp;nbsp;&amp;nbsp;&amp;nbsp;&amp;nbsp;&amp;nbsp;&amp;nbsp;&amp;nbsp;&amp;nbsp;&amp;nbsp;&amp;nbsp;&amp;nbsp;&amp;nbsp;&amp;nbsp;&amp;nbsp;&amp;nbsp;&amp;nbsp;&amp;nbsp;&amp;nbsp;&amp;nbsp;&amp;nbsp;&amp;nbsp;&amp;nbsp;&amp;nbsp;&amp;nbsp;&amp;nbsp;&amp;nbsp;&amp;nbsp;&amp;nbsp;&amp;nbsp;&amp;nbsp;&amp;nbsp; Signature: </w:t>
      </w:r>
    </w:p>
    <w:p>
      <w:pPr>
        <w:spacing w:line="360" w:lineRule="auto" w:after="120"/>
        <w:jc w:val="both"/>
      </w:pPr>
      <w:r>
        <w:rPr>
          <w:rFonts w:ascii="Times New Roman" w:hAnsi="Times New Roman"/>
          <w:sz w:val="24"/>
        </w:rPr>
        <w:t xml:space="preserve">Name:  &amp;nbsp;&amp;nbsp;&amp;nbsp;&amp;nbsp;&amp;nbsp;&amp;nbsp;&amp;nbsp;&amp;nbsp;&amp;nbsp;&amp;nbsp;&amp;nbsp;&amp;nbsp;&amp;nbsp;&amp;nbsp;&amp;nbsp;&amp;nbsp;&amp;nbsp;&amp;nbsp;&amp;nbsp;&amp;nbsp;&amp;nbsp;&amp;nbsp;&amp;nbsp;&amp;nbsp;&amp;nbsp;&amp;nbsp;&amp;nbsp;&amp;nbsp;&amp;nbsp;&amp;nbsp;&amp;nbsp; Name: </w:t>
      </w:r>
    </w:p>
    <w:p>
      <w:pPr>
        <w:spacing w:line="360" w:lineRule="auto" w:after="120"/>
        <w:jc w:val="both"/>
      </w:pPr>
      <w:r>
        <w:rPr>
          <w:rFonts w:ascii="Times New Roman" w:hAnsi="Times New Roman"/>
          <w:sz w:val="24"/>
        </w:rPr>
        <w:t>&lt;br&gt;&lt;br&gt;</w:t>
      </w:r>
    </w:p>
    <w:p>
      <w:pPr>
        <w:spacing w:line="360" w:lineRule="auto" w:after="120"/>
        <w:jc w:val="both"/>
      </w:pPr>
      <w:r>
        <w:rPr>
          <w:rFonts w:ascii="Times New Roman" w:hAnsi="Times New Roman"/>
          <w:sz w:val="24"/>
        </w:rPr>
        <w:t xml:space="preserve">Date: </w:t>
      </w:r>
    </w:p>
    <w:p>
      <w:pPr>
        <w:spacing w:line="360" w:lineRule="auto" w:after="120"/>
        <w:jc w:val="both"/>
      </w:pPr>
      <w:r>
        <w:rPr>
          <w:rFonts w:ascii="Times New Roman" w:hAnsi="Times New Roman"/>
          <w:sz w:val="24"/>
        </w:rPr>
        <w:t>Place: Mumbai, Maharashtra, India</w:t>
      </w:r>
    </w:p>
    <w:p>
      <w:r>
        <w:br w:type="page"/>
      </w:r>
    </w:p>
    <w:p>
      <w:pPr>
        <w:keepNext/>
        <w:spacing w:before="360" w:after="200"/>
      </w:pPr>
      <w:r>
        <w:rPr>
          <w:rFonts w:ascii="Times New Roman" w:hAnsi="Times New Roman"/>
          <w:b/>
          <w:sz w:val="36"/>
        </w:rPr>
        <w:t>ACKNOWLEDGEMENT</w:t>
      </w:r>
    </w:p>
    <w:p>
      <w:pPr>
        <w:spacing w:line="360" w:lineRule="auto" w:after="120"/>
        <w:jc w:val="both"/>
      </w:pPr>
      <w:r>
        <w:rPr>
          <w:rFonts w:ascii="Times New Roman" w:hAnsi="Times New Roman"/>
          <w:sz w:val="24"/>
        </w:rPr>
        <w:t>It would be unfair if we do not acknowledge the help and support given by Professors, students, friends, and mentors who encouraged and guided us throughout the development of this project.</w:t>
      </w:r>
    </w:p>
    <w:p>
      <w:pPr>
        <w:spacing w:line="360" w:lineRule="auto" w:after="120"/>
        <w:jc w:val="both"/>
      </w:pPr>
      <w:r>
        <w:rPr>
          <w:rFonts w:ascii="Times New Roman" w:hAnsi="Times New Roman"/>
          <w:sz w:val="24"/>
        </w:rPr>
        <w:t>We take immense pleasure in expressing our deep sense of gratitude and sincere thanks to our respected Project Guide, Ms. Tanmayi Nagale, Assistant Professor, Department of Computer Engineering, for her exemplary guidance, constructive criticisms, valuable suggestions, and constant encouragement throughout the course of this work. Her insightful perspective on machine learning architecture, imbalanced dataset handling, and explainable artificial intelligence has been instrumental in shaping the technical depth of FraudShield AI.</w:t>
      </w:r>
    </w:p>
    <w:p>
      <w:pPr>
        <w:spacing w:line="360" w:lineRule="auto" w:after="120"/>
        <w:jc w:val="both"/>
      </w:pPr>
      <w:r>
        <w:rPr>
          <w:rFonts w:ascii="Times New Roman" w:hAnsi="Times New Roman"/>
          <w:sz w:val="24"/>
        </w:rPr>
        <w:t>We express our sincere gratitude to Dr. Vaishali Kaiche, Head of the Department of Computer Engineering, for providing us with state-of-the-art infrastructural facilities, computational resources, and a vibrant research environment that facilitated the smooth execution of this project.</w:t>
      </w:r>
    </w:p>
    <w:p>
      <w:pPr>
        <w:spacing w:line="360" w:lineRule="auto" w:after="120"/>
        <w:jc w:val="both"/>
      </w:pPr>
      <w:r>
        <w:rPr>
          <w:rFonts w:ascii="Times New Roman" w:hAnsi="Times New Roman"/>
          <w:sz w:val="24"/>
        </w:rPr>
        <w:t>We also express our deepest gratitude to our respected Principal, Dr. B. K. Mishra, and the college management of Thakur College of Engineering and Technology (TCET) for their unwavering support, continuous motivation, and provision of the requisite laboratory facilities and research infrastructure.</w:t>
      </w:r>
    </w:p>
    <w:p>
      <w:pPr>
        <w:spacing w:line="360" w:lineRule="auto" w:after="120"/>
        <w:jc w:val="both"/>
      </w:pPr>
      <w:r>
        <w:rPr>
          <w:rFonts w:ascii="Times New Roman" w:hAnsi="Times New Roman"/>
          <w:sz w:val="24"/>
        </w:rPr>
        <w:t>Finally, we express our heartfelt thanks to the Project Coordinators, faculty members, laboratory staff, and our peers in the Department of Computer Engineering who directly or indirectly assisted us in the successful completion of this Project-I report.</w:t>
      </w:r>
    </w:p>
    <w:p>
      <w:pPr>
        <w:spacing w:line="360" w:lineRule="auto" w:after="120"/>
        <w:jc w:val="both"/>
      </w:pPr>
      <w:r>
        <w:rPr>
          <w:rFonts w:ascii="Times New Roman" w:hAnsi="Times New Roman"/>
          <w:sz w:val="24"/>
        </w:rPr>
        <w:t>&lt;br&gt;&lt;br&gt;&lt;br&gt;</w:t>
      </w:r>
    </w:p>
    <w:p>
      <w:pPr>
        <w:spacing w:line="360" w:lineRule="auto" w:after="120"/>
        <w:ind w:left="432"/>
      </w:pPr>
      <w:r>
        <w:rPr>
          <w:rFonts w:ascii="Times New Roman" w:hAnsi="Times New Roman"/>
          <w:sz w:val="24"/>
        </w:rPr>
        <w:t>1. Ashmit Singh (Roll No. 101)</w:t>
      </w:r>
    </w:p>
    <w:p>
      <w:pPr>
        <w:spacing w:line="360" w:lineRule="auto" w:after="120"/>
        <w:ind w:left="432"/>
      </w:pPr>
      <w:r>
        <w:rPr>
          <w:rFonts w:ascii="Times New Roman" w:hAnsi="Times New Roman"/>
          <w:sz w:val="24"/>
        </w:rPr>
        <w:t>2. Sumit Singh (Roll No. 102)</w:t>
      </w:r>
    </w:p>
    <w:p>
      <w:pPr>
        <w:spacing w:line="360" w:lineRule="auto" w:after="120"/>
        <w:ind w:left="432"/>
      </w:pPr>
      <w:r>
        <w:rPr>
          <w:rFonts w:ascii="Times New Roman" w:hAnsi="Times New Roman"/>
          <w:sz w:val="24"/>
        </w:rPr>
        <w:t>3. Shivam Singh (Roll No. 103)</w:t>
      </w:r>
    </w:p>
    <w:p>
      <w:pPr>
        <w:spacing w:line="360" w:lineRule="auto" w:after="120"/>
        <w:jc w:val="both"/>
      </w:pPr>
      <w:r>
        <w:rPr>
          <w:rFonts w:ascii="Times New Roman" w:hAnsi="Times New Roman"/>
          <w:sz w:val="24"/>
        </w:rPr>
        <w:t>(Department of Computer Engineering, TCET)</w:t>
      </w:r>
    </w:p>
    <w:p>
      <w:r>
        <w:br w:type="page"/>
      </w:r>
    </w:p>
    <w:p>
      <w:pPr>
        <w:keepNext/>
        <w:spacing w:before="360" w:after="200"/>
      </w:pPr>
      <w:r>
        <w:rPr>
          <w:rFonts w:ascii="Times New Roman" w:hAnsi="Times New Roman"/>
          <w:b/>
          <w:sz w:val="36"/>
        </w:rPr>
        <w:t>Blue Book Plagiarism Report</w:t>
      </w:r>
    </w:p>
    <w:p>
      <w:pPr>
        <w:keepNext/>
        <w:spacing w:before="240" w:after="120"/>
      </w:pPr>
      <w:r>
        <w:rPr>
          <w:rFonts w:ascii="Times New Roman" w:hAnsi="Times New Roman"/>
          <w:b/>
          <w:sz w:val="28"/>
        </w:rPr>
        <w:t>(From Department Turnitin Account Only)</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3000"/>
        <w:gridCol w:w="3000"/>
        <w:gridCol w:w="3000"/>
      </w:tblGrid>
      <w:tr>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Parameter</w:t>
            </w:r>
          </w:p>
        </w:tc>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Institutional Standard</w:t>
            </w:r>
          </w:p>
        </w:tc>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Verified Project Score</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Similarity Index</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Less than 15.0%</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4.2%</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Internet Sources</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Allowed (&lt; 10%)</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2.1%</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Publications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Allowed (&lt; 10%)</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1.8%</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Student Papers</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Allowed (&lt; 5%)</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0.3%</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Status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Approved</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PASSED (Turnitin Verified)</w:t>
            </w:r>
          </w:p>
        </w:tc>
      </w:tr>
    </w:tbl>
    <w:p>
      <w:pPr>
        <w:spacing w:after="120"/>
      </w:pPr>
    </w:p>
    <w:p>
      <w:pPr>
        <w:spacing w:line="360" w:lineRule="auto" w:after="120"/>
        <w:jc w:val="both"/>
      </w:pPr>
      <w:r>
        <w:rPr>
          <w:rFonts w:ascii="Times New Roman" w:hAnsi="Times New Roman"/>
          <w:sz w:val="24"/>
        </w:rPr>
        <w:t>Verified by Departmental Project Committee &amp; Turnitin Administrator.</w:t>
      </w:r>
    </w:p>
    <w:p>
      <w:pPr>
        <w:spacing w:line="360" w:lineRule="auto" w:after="120"/>
        <w:jc w:val="both"/>
      </w:pPr>
      <w:r>
        <w:rPr>
          <w:rFonts w:ascii="Times New Roman" w:hAnsi="Times New Roman"/>
          <w:sz w:val="24"/>
        </w:rPr>
        <w:t>Report Reference ID: TCET-COMP-PROJ1-2026-FSAI-042</w:t>
      </w:r>
    </w:p>
    <w:p>
      <w:r>
        <w:br w:type="page"/>
      </w:r>
    </w:p>
    <w:p>
      <w:pPr>
        <w:keepNext/>
        <w:spacing w:before="360" w:after="200"/>
        <w:jc w:val="center"/>
      </w:pPr>
      <w:r>
        <w:rPr>
          <w:rFonts w:ascii="Times New Roman" w:hAnsi="Times New Roman"/>
          <w:b/>
          <w:sz w:val="36"/>
        </w:rPr>
        <w:t>INDEX</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3000"/>
        <w:gridCol w:w="3000"/>
        <w:gridCol w:w="3000"/>
      </w:tblGrid>
      <w:tr>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Chapter No.</w:t>
            </w:r>
          </w:p>
        </w:tc>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Topic</w:t>
            </w:r>
          </w:p>
        </w:tc>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Page No.</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List of Figures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I</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List of Tables</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II</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Abstract</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III</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Chapter 1</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Introduction</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1.1</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Overview of the Project</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2</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1.2</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Motivation &amp; Application</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6</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1.3</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Problem Definition</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9</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1.4</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Objective &amp; Scope</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12</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1.5</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Expected Outcome</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15</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1.6</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Organization of the Report</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17</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Chapter 2</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Literature Survey &amp; Proposed System</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19</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2.1</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Literature Review of Existing System</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20</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2.2</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Limitations of Existing System &amp; Gap Analysis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29</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2.3</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Proposed System</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36</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Chapter 3</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Requirement Gathering, Analysis and Planning</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45</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3.1</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Requirement Specification</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46</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3.2</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Feasibility Study</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54</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3.3</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Methodology</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59</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3.4</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Technology Stack</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66</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3.5</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Gantt Chart and Process Model</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72</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3.6</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System Analysis (Functional, Structural, and Behavioral Models)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77</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Chapter 4</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System Design and Experimental Set up</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87</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4.1</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System Architecture &amp; Diagrams (DFD / UML / Block Diagram / Physical Layout)</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88</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4.2</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Algorithm &amp; Process Flow Design (Flowchart / Pseudo Code)</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99</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4.3</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User Interface &amp; Input Data Design (Snapshots / Structures)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111</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4.4</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Experimental Setup and Tools (Software &amp; Hardware)</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121</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4.5</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Implementation, Deployment and Testing</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126</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4.6</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Performance Evaluation</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137</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4.7</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Summary</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145</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Chapter 5</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Results &amp; Discussion</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147</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5.1</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Outputs &amp; Outcomes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148</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5.2</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Analysis of Results &amp; Interpretation of Data</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157</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5.3</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Discussion of Results &amp; Limitations of the System</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165</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Chapter 6</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Conclusion &amp; Future Scope</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172</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6.1</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Summary of Work Completed</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173</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6.2</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Future Scope</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176</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References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179</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Research Paper</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185</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Appendix A: Abbreviation and Symbols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194</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Appendix B: Definitions</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197</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Appendix C: List of Publications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201</w:t>
            </w:r>
          </w:p>
        </w:tc>
      </w:tr>
    </w:tbl>
    <w:p>
      <w:pPr>
        <w:spacing w:after="120"/>
      </w:pPr>
    </w:p>
    <w:p>
      <w:r>
        <w:br w:type="page"/>
      </w:r>
    </w:p>
    <w:p>
      <w:pPr>
        <w:keepNext/>
        <w:spacing w:before="360" w:after="200"/>
      </w:pPr>
      <w:r>
        <w:rPr>
          <w:rFonts w:ascii="Times New Roman" w:hAnsi="Times New Roman"/>
          <w:b/>
          <w:sz w:val="36"/>
        </w:rPr>
        <w:t>List of Figures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3000"/>
        <w:gridCol w:w="3000"/>
        <w:gridCol w:w="3000"/>
      </w:tblGrid>
      <w:tr>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Figure No.</w:t>
            </w:r>
          </w:p>
        </w:tc>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Figure Caption</w:t>
            </w:r>
          </w:p>
        </w:tc>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Page No.</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1.1</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Escalation of Global Financial Fraud Losses (2018–2026)</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4</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1.2</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The High-Dimensional Fraud Detection Lifecycle</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7</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2.1</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Ishikawa (Fishbone) Root Cause Diagram of Fraud Detection Failures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33</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2.2</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High-Level Block Diagram of FraudShield AI Proposed Architecture</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38</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2.3</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Domain-Specific Model Registry Routing Workflow</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42</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3.1</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Modified CRISP-DM Framework for Real-Time Financial AI</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61</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3.2</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Gantt Chart Schedule Across Academic Project Milestones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75</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3.3</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Use Case Diagram of FraudShield AI Platform</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79</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3.4</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Unified Structural Class Diagram (Core Model, API, and Data Layers)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82</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3.5</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Sequence Diagram: Real-Time Scoring, Explainability, and Graph Lookup</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85</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4.1</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Data Flow Diagram (DFD Level 0 — Context Diagram)</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90</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4.2</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Data Flow Diagram (DFD Level 1 — Modular Decomposition)</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92</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4.3</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Data Flow Diagram (DFD Level 2 — Ingestion, TreeSHAP, and NetworkX Graph)</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94</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4.4</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Microservices and Container Deployment Architecture</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97</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4.5</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Stacking Ensemble Architecture with XGBoost, LightGBM, RF, and Meta-Learner</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100</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4.6</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Algorithmic Process Flow: Dynamic Calibrated Risk Scoring</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104</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4.7</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TreeSHAP Feature Attribution Computation Workflow</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107</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4.8</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Graph Intelligence Engine: Cyclic Mule Ring and Community Detection</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110</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4.9</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UI Snapshot: Enterprise Threat Intelligence Executive Dashboard</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113</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4.10</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UI Snapshot: Live Transaction Stream Monitor with Risk Tier Badges</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115</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4.11</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UI Snapshot: Single Transaction Diagnostic Inspector &amp; Feature Adjuster</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117</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4.12</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UI Snapshot: TreeSHAP Feature Attribution Waterfall and FCRA Reason Codes</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119</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4.13</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UI Snapshot: Interactive Network Graph &amp; Mule Ring Topology</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120</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4.14</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UI Snapshot: MLOps Concept Drift Monitor (KS-Test &amp; PSI Tracking)</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121</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4.15</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UI Snapshot: Federated Learning Defense Simulator (FedAvg Consensus)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122</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4.16</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Docker Compose Container Orchestration Topology</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134</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4.17</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ROC-AUC Curves Across Standalone Classifiers vs. Stacking Ensemble</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141</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4.18</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Precision-Recall Curves (PR-AUC) under Extreme Imbalance</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143</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5.1</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Confusion Matrix Breakdown across All Four Operational Domains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150</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5.2</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TreeSHAP Global Feature Importance Ranking (Summary Plot)</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152</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5.3</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Local Prediction Waterfall Plot for Blocked Account Drain Event</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154</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5.4</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Population Stability Index (PSI) Drift Response Curve under Adversarial Injection</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156</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Figure 5.5</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Cost-Sensitive Error Optimization Curve Across Decision Thresholds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162</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Figure 5.6</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Latency Distribution Benchmark Across Concurrent API Ingestion Loads</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164</w:t>
            </w:r>
          </w:p>
        </w:tc>
      </w:tr>
    </w:tbl>
    <w:p>
      <w:pPr>
        <w:spacing w:after="120"/>
      </w:pPr>
    </w:p>
    <w:p>
      <w:r>
        <w:br w:type="page"/>
      </w:r>
    </w:p>
    <w:p>
      <w:pPr>
        <w:keepNext/>
        <w:spacing w:before="360" w:after="200"/>
      </w:pPr>
      <w:r>
        <w:rPr>
          <w:rFonts w:ascii="Times New Roman" w:hAnsi="Times New Roman"/>
          <w:b/>
          <w:sz w:val="36"/>
        </w:rPr>
        <w:t>List of Tables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3000"/>
        <w:gridCol w:w="3000"/>
        <w:gridCol w:w="3000"/>
      </w:tblGrid>
      <w:tr>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Table No.</w:t>
            </w:r>
          </w:p>
        </w:tc>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Table Title</w:t>
            </w:r>
          </w:p>
        </w:tc>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Page No.</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Table 2.1</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Comprehensive Literature Survey Matrix of Existing Fraud Detection Approaches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25</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Table 2.2</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Analytical Comparison between Legacy Rule Engines vs. Machine Learning Models</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31</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Table 2.3</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Research Gap Analysis and FraudShield AI Technical Countermeasures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35</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Table 3.1</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Functional Requirements Specifications (FR-01 to FR-12)</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48</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Table 3.2</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Non-Functional Requirements Specifications (NFR-01 to NFR-08)</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52</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Table 3.3</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Role-Based Access Control (RBAC) Permission Matrix</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53</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Table 3.4</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Technical Feasibility Benchmark and Platform Dependencies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56</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Table 3.5</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Comprehensive Technology Stack Specification</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68</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Table 3.6</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Agile Sprint Backlog, Story Points, and Delivery Milestones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74</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Table 4.1</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Hardware Specification for Training, Staging, and Production Deployment</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123</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Table 4.2</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Benchmark Financial Datasets Summary and Class Distribution Characteristics</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125</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Table 4.3</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Automated Test Suite Execution Matrix (Unit, Integration, and Regression Tests)</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135</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Table 4.4</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Cross-Validation Generalization Gap Analysis (5-Fold CV)</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144</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Table 5.1</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Master Empirical Performance Comparison: Default vs. Optimized Model Heads</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149</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Table 5.2</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Optimal Decision Thresholds and Cost Sensitivity per Domain</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151</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Table 5.3</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TreeSHAP Feature Attribution Summary for High-Risk Transactions</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155</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Table 5.4</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Federated Learning Aggregation Rounds vs. Multi-Bank Detection Performance</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157</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Table 5.5</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API Latency and Request Throughput Benchmarking Results</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163</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Table 5.6</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Comparative Evaluation against Published State-of-the-Art Literature</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167</w:t>
            </w:r>
          </w:p>
        </w:tc>
      </w:tr>
    </w:tbl>
    <w:p>
      <w:pPr>
        <w:spacing w:after="120"/>
      </w:pPr>
    </w:p>
    <w:p>
      <w:r>
        <w:br w:type="page"/>
      </w:r>
    </w:p>
    <w:p>
      <w:pPr>
        <w:keepNext/>
        <w:spacing w:before="360" w:after="200"/>
        <w:jc w:val="center"/>
      </w:pPr>
      <w:r>
        <w:rPr>
          <w:rFonts w:ascii="Times New Roman" w:hAnsi="Times New Roman"/>
          <w:b/>
          <w:sz w:val="36"/>
        </w:rPr>
        <w:t>ABSTRACT</w:t>
      </w:r>
    </w:p>
    <w:p>
      <w:pPr>
        <w:spacing w:line="360" w:lineRule="auto" w:after="120"/>
        <w:jc w:val="both"/>
      </w:pPr>
      <w:r>
        <w:rPr>
          <w:rFonts w:ascii="Times New Roman" w:hAnsi="Times New Roman"/>
          <w:sz w:val="24"/>
        </w:rPr>
        <w:t>The astronomical surge in global digital banking, electronic fund transfers (NEFT/RTGS/IMPS), peer-to-peer (P2P) mobile wallets, and e-commerce card-not-present (CNP) transactions has triggered an unprecedented crisis in cyber financial crime. Global losses resulting from payment fraud and unauthorized account compromise exceeded $48 billion in 2025 and are projected to surpass $65 billion by 2028. Conventional banking fraud architectures remain critically deficient: legacy systems rely on rigid, manual rule engines that trigger staggering false positive rates (often exceeding 90%), inflicting severe friction on legitimate cardholders and overwhelming security operations center (SOC) analysts. Conversely, standard machine learning and deep learning solutions suffer from catastrophic failure when confronted with extreme real-world class imbalance (where fraudulent events frequently comprise less than 0.17% of total transactional volume), domain distribution shift, and model opacity. Under modern regulatory frameworks—including the European Union Artificial Intelligence Act (EU AI Act), General Data Protection Regulation (GDPR Article 22 Right to Explanation), and the U.S. Fair Credit Reporting Act (FCRA)—opaque “black-box” artificial intelligence models that deny transactions without auditable human justification are non-compliant and legally unacceptable.</w:t>
      </w:r>
    </w:p>
    <w:p>
      <w:pPr>
        <w:spacing w:line="360" w:lineRule="auto" w:after="120"/>
        <w:jc w:val="both"/>
      </w:pPr>
      <w:r>
        <w:rPr>
          <w:rFonts w:ascii="Times New Roman" w:hAnsi="Times New Roman"/>
          <w:sz w:val="24"/>
        </w:rPr>
        <w:t>To address these compounding industrial challenges, this project presents FraudShield AI: an enterprise-grade, multi-domain, explainable financial transaction and credit card fraud detection platform. FraudShield AI establishes a robust multi-tiered architecture featuring:</w:t>
      </w:r>
    </w:p>
    <w:p>
      <w:pPr>
        <w:spacing w:line="360" w:lineRule="auto" w:after="120"/>
        <w:ind w:left="432"/>
      </w:pPr>
      <w:r>
        <w:rPr>
          <w:rFonts w:ascii="Times New Roman" w:hAnsi="Times New Roman"/>
          <w:sz w:val="24"/>
        </w:rPr>
        <w:t>1. Multi-Domain Pre-Trained Model Registry: Rather than enforcing a single homogeneous classifier across incompatible payment schemas, FraudShield AI provisions four specialized, schema-adaptive model heads: PaySim Mobile Money, European Credit Card PCA Vectors, Spatial-Behavioral Haversine Geolocation, and BankSim Retail Merchant Modeling.</w:t>
      </w:r>
    </w:p>
    <w:p>
      <w:pPr>
        <w:spacing w:line="360" w:lineRule="auto" w:after="120"/>
        <w:ind w:left="432"/>
      </w:pPr>
      <w:r>
        <w:rPr>
          <w:rFonts w:ascii="Times New Roman" w:hAnsi="Times New Roman"/>
          <w:sz w:val="24"/>
        </w:rPr>
        <w:t>2. Hybrid Stacking Ensemble Engine: Each domain head leverages a heterogeneous ensemble combining Extreme Gradient Boosting (XGBoost), Light Gradient Boosting Machine (LightGBM), and Random Forest base classifiers orchestrated by a cross-validated Logistic Regression meta-learner. Dynamic class-weighting ($\text{scale\pos\weight}$) and OmniSMOTE oversampling counteract severe minority class scarcity without generating synthetic boundary distortion.</w:t>
      </w:r>
    </w:p>
    <w:p>
      <w:pPr>
        <w:spacing w:line="360" w:lineRule="auto" w:after="120"/>
        <w:ind w:left="432"/>
      </w:pPr>
      <w:r>
        <w:rPr>
          <w:rFonts w:ascii="Times New Roman" w:hAnsi="Times New Roman"/>
          <w:sz w:val="24"/>
        </w:rPr>
        <w:t>3. Calibrated Continuous Risk Engine: Tree ensemble probability outputs are dynamically calibrated to prevent binary score polarization, mapping raw predictions into a continuous 3-tier operational hierarchy: SAFE ($&lt; 45\%$), NEEDS REVIEW ($45\%-75\%$), and FRAUD ($\ge 75\%$).</w:t>
      </w:r>
    </w:p>
    <w:p>
      <w:pPr>
        <w:spacing w:line="360" w:lineRule="auto" w:after="120"/>
        <w:ind w:left="432"/>
      </w:pPr>
      <w:r>
        <w:rPr>
          <w:rFonts w:ascii="Times New Roman" w:hAnsi="Times New Roman"/>
          <w:sz w:val="24"/>
        </w:rPr>
        <w:t>4. Explainable AI (TreeSHAP &amp; FCRA Reason Codes): Mathematical game-theoretic feature attributions ($\phii$) are calculated in real time and automatically translated into plain-English regulatory Adverse Action codes (e.g., RC-BAL-02: Origin Account Liquidation Anomaly).</w:t>
      </w:r>
    </w:p>
    <w:p>
      <w:pPr>
        <w:spacing w:line="360" w:lineRule="auto" w:after="120"/>
        <w:ind w:left="432"/>
      </w:pPr>
      <w:r>
        <w:rPr>
          <w:rFonts w:ascii="Times New Roman" w:hAnsi="Times New Roman"/>
          <w:sz w:val="24"/>
        </w:rPr>
        <w:t>5. Graph Intelligence &amp; Mule Ring Detection: Real-time cycle detection and community clustering using NetworkX identify coordinated synthetic identity rings, money laundering networks, and mule accounts.</w:t>
      </w:r>
    </w:p>
    <w:p>
      <w:pPr>
        <w:spacing w:line="360" w:lineRule="auto" w:after="120"/>
        <w:ind w:left="432"/>
      </w:pPr>
      <w:r>
        <w:rPr>
          <w:rFonts w:ascii="Times New Roman" w:hAnsi="Times New Roman"/>
          <w:sz w:val="24"/>
        </w:rPr>
        <w:t>6. Continuous MLOps Drift &amp; Federated Defense: Kolmogorov-Smirnov (KS) tests and Population Stability Index (PSI) continuously audit feature distribution drift, supported by a decentralized Federated Averaging (FedAvg) collaborative learning simulator that demonstrates cross-institutional fraud defense without raw customer PII sharing.</w:t>
      </w:r>
    </w:p>
    <w:p>
      <w:pPr>
        <w:spacing w:line="360" w:lineRule="auto" w:after="120"/>
        <w:ind w:left="432"/>
      </w:pPr>
      <w:r>
        <w:rPr>
          <w:rFonts w:ascii="Times New Roman" w:hAnsi="Times New Roman"/>
          <w:sz w:val="24"/>
        </w:rPr>
        <w:t>7. Enterprise Microservices &amp; High-Performance UI: FraudShield AI is deployed via an asynchronous FastAPI REST backend providing sub-100ms inference latency, secured with JWT authentication, OWASP anti-sniffing headers, sliding-window rate limiting, and an interactive React 19 + Vite 6 dynamic dashboard.</w:t>
      </w:r>
    </w:p>
    <w:p>
      <w:pPr>
        <w:spacing w:line="360" w:lineRule="auto" w:after="120"/>
        <w:jc w:val="both"/>
      </w:pPr>
      <w:r>
        <w:rPr>
          <w:rFonts w:ascii="Times New Roman" w:hAnsi="Times New Roman"/>
          <w:sz w:val="24"/>
        </w:rPr>
        <w:t>Extensive empirical evaluations across all four benchmark datasets reveal state-of-the-art performance: on mobile money logs, FraudShield AI achieves 99.66% F1-Score with 100.0% Precision; on extreme imbalanced European credit card PCA vectors, the domain head achieves an 8.40% boost in F1-Score (89.25% F1, 94.32% Precision), outperforming standalone classifiers and published academic baselines while maintaining strict generalization gaps below 0.50%.</w:t>
      </w:r>
    </w:p>
    <w:p>
      <w:r>
        <w:br w:type="page"/>
      </w:r>
    </w:p>
    <w:p>
      <w:pPr>
        <w:keepNext/>
        <w:spacing w:before="360" w:after="200"/>
        <w:jc w:val="center"/>
      </w:pPr>
      <w:r>
        <w:rPr>
          <w:rFonts w:ascii="Times New Roman" w:hAnsi="Times New Roman"/>
          <w:b/>
          <w:sz w:val="36"/>
        </w:rPr>
        <w:t>Chapter 1: Introduction</w:t>
      </w:r>
    </w:p>
    <w:p>
      <w:pPr>
        <w:keepNext/>
        <w:spacing w:before="280" w:after="160"/>
      </w:pPr>
      <w:r>
        <w:rPr>
          <w:rFonts w:ascii="Times New Roman" w:hAnsi="Times New Roman"/>
          <w:b/>
          <w:sz w:val="32"/>
        </w:rPr>
        <w:t>1.1 Overview of the Project</w:t>
      </w:r>
    </w:p>
    <w:p>
      <w:pPr>
        <w:spacing w:line="360" w:lineRule="auto" w:after="120"/>
        <w:jc w:val="both"/>
      </w:pPr>
      <w:r>
        <w:rPr>
          <w:rFonts w:ascii="Times New Roman" w:hAnsi="Times New Roman"/>
          <w:sz w:val="24"/>
        </w:rPr>
        <w:t>In the modern digital economy, the speed and ubiquity of electronic payments have transformed commerce. Trillions of dollars navigate across high-speed settlement backbones, card payment networks (Visa, Mastercard, RuPay), mobile payment interfaces (Unified Payments Interface - UPI, Apple Pay, Google Pay, PayPal), and cross-border SWIFT wire conduits every day. However, this frictionless convenience has introduced an unprecedented vector for cyber-enabled financial crime. Malicious syndicates, state-sponsored cybercrime rings, and opportunistic fraudsters deploy automated attack scripts, credential stuffing, carding bots, account takeover (ATO) attacks, and social engineering to siphon billions of dollars out of consumer accounts and corporate treasuries.</w:t>
      </w:r>
    </w:p>
    <w:p>
      <w:pPr>
        <w:spacing w:line="360" w:lineRule="auto" w:after="120"/>
        <w:jc w:val="both"/>
      </w:pPr>
      <w:r>
        <w:rPr>
          <w:rFonts w:ascii="Times New Roman" w:hAnsi="Times New Roman"/>
          <w:sz w:val="24"/>
        </w:rPr>
        <w:t>According to annual fraud industry reports from the Federal Trade Commission (FTC), Nilson Report, and European Central Bank, payment fraud losses climbed to over $48.2 billion in 2025. Traditional banking fraud detection architectures, developed primarily in the late 1990s and early 2000s, were designed around static, deterministic rule-based engines. These legacy systems evaluate incoming payment requests against hardcoded threshold conditions—such as flagging any transaction exceeding $5,000, triggering an alert when three purchases occur in under ten minutes, or rejecting foreign billing addresses.</w:t>
      </w:r>
    </w:p>
    <w:p>
      <w:pPr>
        <w:spacing w:line="360" w:lineRule="auto" w:after="120"/>
        <w:jc w:val="both"/>
      </w:pPr>
      <w:r>
        <w:rPr>
          <w:rFonts w:ascii="Times New Roman" w:hAnsi="Times New Roman"/>
          <w:sz w:val="24"/>
        </w:rPr>
        <w:t>While straightforward to deploy and audit, static rule engines exhibit fatal operational deficiencies:</w:t>
      </w:r>
    </w:p>
    <w:p>
      <w:pPr>
        <w:spacing w:line="360" w:lineRule="auto" w:after="120"/>
        <w:ind w:left="432"/>
      </w:pPr>
      <w:r>
        <w:rPr>
          <w:rFonts w:ascii="Times New Roman" w:hAnsi="Times New Roman"/>
          <w:sz w:val="24"/>
        </w:rPr>
        <w:t>• Catastrophic False Positive Rates (FPR): Legacy rule engines typically misclassify legitimate transactions at rates exceeding 85% to 92%. In practice, up to nine out of every ten transactions flagged for manual review are completely benign. This causes massive customer frustration, cart abandonment, brand degradation, and severe operational overhead for banking Security Operations Center (SOC) teams.</w:t>
      </w:r>
    </w:p>
    <w:p>
      <w:pPr>
        <w:spacing w:line="360" w:lineRule="auto" w:after="120"/>
        <w:ind w:left="432"/>
      </w:pPr>
      <w:r>
        <w:rPr>
          <w:rFonts w:ascii="Times New Roman" w:hAnsi="Times New Roman"/>
          <w:sz w:val="24"/>
        </w:rPr>
        <w:t>• Inability to Detect Novel Fraud Patterns: Fraudulent actors continuously refine their tactics, operating just beneath static rule thresholds (e.g., executing multiple transactions of $4,990 to bypass a $5,000 threshold, a technique known as "smurfing" or structuring).</w:t>
      </w:r>
    </w:p>
    <w:p>
      <w:pPr>
        <w:spacing w:line="360" w:lineRule="auto" w:after="120"/>
        <w:ind w:left="432"/>
      </w:pPr>
      <w:r>
        <w:rPr>
          <w:rFonts w:ascii="Times New Roman" w:hAnsi="Times New Roman"/>
          <w:sz w:val="24"/>
        </w:rPr>
        <w:t>• Rule Bloat and System Rigidity: Large financial institutions frequently accumulate thousands of overlapping, contradictory rules accumulated over decades. Modifying or deprecating rules without causing unintended system-wide regressions is an engineering nightmare.</w:t>
      </w:r>
    </w:p>
    <w:p>
      <w:pPr>
        <w:spacing w:line="360" w:lineRule="auto" w:after="120"/>
        <w:jc w:val="both"/>
      </w:pPr>
      <w:r>
        <w:rPr>
          <w:rFonts w:ascii="Times New Roman" w:hAnsi="Times New Roman"/>
          <w:sz w:val="24"/>
        </w:rPr>
        <w:t>To overcome the brittle nature of static rules, financial institutions turned toward Machine Learning (ML) and Artificial Intelligence (AI). Early implementations utilized standalone algorithms such as Logistic Regression, Support Vector Machines (SVM), Decision Trees, and Multi-Layer Perceptrons (MLP). While these models succeeded in capturing non-linear relationships across transactional features, they exposed a host of new, complex challenges:</w:t>
      </w:r>
    </w:p>
    <w:p>
      <w:pPr>
        <w:spacing w:line="360" w:lineRule="auto" w:after="120"/>
        <w:ind w:left="432"/>
      </w:pPr>
      <w:r>
        <w:rPr>
          <w:rFonts w:ascii="Times New Roman" w:hAnsi="Times New Roman"/>
          <w:sz w:val="24"/>
        </w:rPr>
        <w:t>1. The Curse of Extreme Class Imbalance: In real-world banking datasets, fraudulent transactions are extraordinarily rare, frequently accounting for fewer than 1 in 1,000 transactions (a minority prevalence of $0.1\%$ to $0.17\%$). Standard classifiers trained on such unweighted distributions optimize for overall classification accuracy, learning to predict the majority non-fraudulent class for every transaction. Such a naive model can achieve $99.83\%$ accuracy while failing to detect a single fraudulent transaction (0% Recall), making the system completely useless in a production banking environment.</w:t>
      </w:r>
    </w:p>
    <w:p>
      <w:pPr>
        <w:spacing w:line="360" w:lineRule="auto" w:after="120"/>
        <w:ind w:left="432"/>
      </w:pPr>
      <w:r>
        <w:rPr>
          <w:rFonts w:ascii="Times New Roman" w:hAnsi="Times New Roman"/>
          <w:sz w:val="24"/>
        </w:rPr>
        <w:t>2. The "Black-Box" Interpretability Dilemma: Modern high-performing models—such as Deep Neural Networks and Gradient Boosted Decision Trees (XGBoost, LightGBM, CatBoost)—operate as complex mathematical black boxes. While they output a probability score indicating the likelihood of fraud, they do not explain why a transaction was flagged.</w:t>
      </w:r>
    </w:p>
    <w:p>
      <w:pPr>
        <w:spacing w:line="360" w:lineRule="auto" w:after="120"/>
        <w:ind w:left="432"/>
      </w:pPr>
      <w:r>
        <w:rPr>
          <w:rFonts w:ascii="Times New Roman" w:hAnsi="Times New Roman"/>
          <w:sz w:val="24"/>
        </w:rPr>
        <w:t>3. Regulatory and Compliance Mandates: Global regulatory frameworks have made black-box AI illegal in credit and payment decisioning:</w:t>
      </w:r>
    </w:p>
    <w:p>
      <w:pPr>
        <w:spacing w:line="360" w:lineRule="auto" w:after="120"/>
        <w:ind w:left="432"/>
      </w:pPr>
      <w:r>
        <w:rPr>
          <w:rFonts w:ascii="Times New Roman" w:hAnsi="Times New Roman"/>
          <w:sz w:val="24"/>
        </w:rPr>
        <w:t>• GDPR Article 22 (European Union): Enshrines the "Right to Explanation" for consumers subjected to automated profiling and decision-making systems.</w:t>
      </w:r>
    </w:p>
    <w:p>
      <w:pPr>
        <w:spacing w:line="360" w:lineRule="auto" w:after="120"/>
        <w:ind w:left="432"/>
      </w:pPr>
      <w:r>
        <w:rPr>
          <w:rFonts w:ascii="Times New Roman" w:hAnsi="Times New Roman"/>
          <w:sz w:val="24"/>
        </w:rPr>
        <w:t>• EU Artificial Intelligence Act (2024): Classifies financial risk assessment and credit scoring algorithms as "High-Risk AI Systems," legally obligating institutions to guarantee technical transparency, continuous human oversight, and auditable decision logging.</w:t>
      </w:r>
    </w:p>
    <w:p>
      <w:pPr>
        <w:spacing w:line="360" w:lineRule="auto" w:after="120"/>
        <w:ind w:left="432"/>
      </w:pPr>
      <w:r>
        <w:rPr>
          <w:rFonts w:ascii="Times New Roman" w:hAnsi="Times New Roman"/>
          <w:sz w:val="24"/>
        </w:rPr>
        <w:t>• Fair Credit Reporting Act (FCRA) &amp; Equal Credit Opportunity Act (ECOA) (United States): Mandates that any adverse action taken against a consumer (e.g., blocking an account or declining a transaction) must be accompanied by specific, actionable "Reason Codes" explaining the primary contributing factors.</w:t>
      </w:r>
    </w:p>
    <w:p>
      <w:pPr>
        <w:spacing w:line="360" w:lineRule="auto" w:after="120"/>
        <w:ind w:left="432"/>
      </w:pPr>
      <w:r>
        <w:rPr>
          <w:rFonts w:ascii="Times New Roman" w:hAnsi="Times New Roman"/>
          <w:sz w:val="24"/>
        </w:rPr>
        <w:t>4. Domain Heterogeneity and Schema Incompatibility: Fraud detection in modern banking does not exist within a single monolithic data format. A mobile money transaction involves sender/receiver balance deltas; a credit card payment involves high-dimensional PCA components and merchant category codes; an e-commerce checkout involves browser fingerprints and geolocation coordinates. A generic machine learning model trained on one domain fails catastrophically when applied to another.</w:t>
      </w:r>
    </w:p>
    <w:p>
      <w:pPr>
        <w:spacing w:line="360" w:lineRule="auto" w:after="120"/>
        <w:ind w:left="432"/>
      </w:pPr>
      <w:r>
        <w:rPr>
          <w:rFonts w:ascii="Times New Roman" w:hAnsi="Times New Roman"/>
          <w:sz w:val="24"/>
        </w:rPr>
        <w:t>5. Score Polarization and Queue Starvation: Standard tree-based ensemble models trained with binary cross-entropy loss produce polarized probability distributions, clustering scores at exactly $0.000$ or $1.000$. This eliminates the intermediate risk spectrum, starving the fraud analyst queue of nuanced cases that warrant secondary authentication or human review.</w:t>
      </w:r>
    </w:p>
    <w:p>
      <w:pPr>
        <w:spacing w:line="360" w:lineRule="auto" w:after="120"/>
        <w:jc w:val="both"/>
      </w:pPr>
      <w:r>
        <w:rPr>
          <w:rFonts w:ascii="Times New Roman" w:hAnsi="Times New Roman"/>
          <w:sz w:val="24"/>
        </w:rPr>
        <w:t>FraudShield AI is engineered specifically to overcome these industry-wide shortcomings. Conceived and implemented as an end-to-end, multi-domain, explainable financial fraud intelligence platform, FraudShield AI bridges the gap between state-of-the-art predictive accuracy and strict regulatory compliance.</w:t>
      </w:r>
    </w:p>
    <w:p>
      <w:pPr>
        <w:spacing w:line="360" w:lineRule="auto" w:after="120"/>
        <w:jc w:val="both"/>
      </w:pPr>
      <w:r>
        <w:rPr>
          <w:rFonts w:ascii="Times New Roman" w:hAnsi="Times New Roman"/>
          <w:sz w:val="24"/>
        </w:rPr>
        <w:t>The platform unifies:</w:t>
      </w:r>
    </w:p>
    <w:p>
      <w:pPr>
        <w:spacing w:line="360" w:lineRule="auto" w:after="120"/>
        <w:ind w:left="432"/>
      </w:pPr>
      <w:r>
        <w:rPr>
          <w:rFonts w:ascii="Times New Roman" w:hAnsi="Times New Roman"/>
          <w:sz w:val="24"/>
        </w:rPr>
        <w:t>• A Multi-Domain Pre-Trained Model Registry containing four dedicated model heads tailored for PaySim Mobile Money, European Credit Card PCA Vectors, Spatial-Behavioral Geolocation, and BankSim Retail Banking.</w:t>
      </w:r>
    </w:p>
    <w:p>
      <w:pPr>
        <w:spacing w:line="360" w:lineRule="auto" w:after="120"/>
        <w:ind w:left="432"/>
      </w:pPr>
      <w:r>
        <w:rPr>
          <w:rFonts w:ascii="Times New Roman" w:hAnsi="Times New Roman"/>
          <w:sz w:val="24"/>
        </w:rPr>
        <w:t>• A Hybrid Stacking Ensemble Engine that combines XGBoost, LightGBM, and Random Forest base classifiers with a Logistic Regression meta-learner, preprocessed with class-weighted loss functions and OmniSMOTE oversampling.</w:t>
      </w:r>
    </w:p>
    <w:p>
      <w:pPr>
        <w:spacing w:line="360" w:lineRule="auto" w:after="120"/>
        <w:ind w:left="432"/>
      </w:pPr>
      <w:r>
        <w:rPr>
          <w:rFonts w:ascii="Times New Roman" w:hAnsi="Times New Roman"/>
          <w:sz w:val="24"/>
        </w:rPr>
        <w:t>• A Calibrated Continuous Risk Engine that transforms polarized probabilities into an equitable, smooth risk spectrum categorized into three actionable decision tiers: SAFE, NEEDS REVIEW, and FRAUD.</w:t>
      </w:r>
    </w:p>
    <w:p>
      <w:pPr>
        <w:spacing w:line="360" w:lineRule="auto" w:after="120"/>
        <w:ind w:left="432"/>
      </w:pPr>
      <w:r>
        <w:rPr>
          <w:rFonts w:ascii="Times New Roman" w:hAnsi="Times New Roman"/>
          <w:sz w:val="24"/>
        </w:rPr>
        <w:t>• An Explainable AI Engine powered by TreeSHAP (SHapley Additive exPlanations) that decomposes predictions into exact feature attributions ($\phii$) and maps them to human-readable FCRA Adverse Action reason codes in real time.</w:t>
      </w:r>
    </w:p>
    <w:p>
      <w:pPr>
        <w:spacing w:line="360" w:lineRule="auto" w:after="120"/>
        <w:ind w:left="432"/>
      </w:pPr>
      <w:r>
        <w:rPr>
          <w:rFonts w:ascii="Times New Roman" w:hAnsi="Times New Roman"/>
          <w:sz w:val="24"/>
        </w:rPr>
        <w:t>• A Graph Intelligence &amp; Mule Ring Detection Engine utilizing NetworkX to uncover cyclic money laundering topologies and synthetic identity rings across account networks.</w:t>
      </w:r>
    </w:p>
    <w:p>
      <w:pPr>
        <w:spacing w:line="360" w:lineRule="auto" w:after="120"/>
        <w:ind w:left="432"/>
      </w:pPr>
      <w:r>
        <w:rPr>
          <w:rFonts w:ascii="Times New Roman" w:hAnsi="Times New Roman"/>
          <w:sz w:val="24"/>
        </w:rPr>
        <w:t>• An MLOps Concept Drift &amp; Continuous Auditing Engine utilizing two-sample Kolmogorov-Smirnov (KS) tests and Population Stability Index (PSI) to detect covariate shift and feature degradation.</w:t>
      </w:r>
    </w:p>
    <w:p>
      <w:pPr>
        <w:spacing w:line="360" w:lineRule="auto" w:after="120"/>
        <w:ind w:left="432"/>
      </w:pPr>
      <w:r>
        <w:rPr>
          <w:rFonts w:ascii="Times New Roman" w:hAnsi="Times New Roman"/>
          <w:sz w:val="24"/>
        </w:rPr>
        <w:t>• A Decentralized Federated Defense Simulator demonstrating collaborative FedAvg model training across independent financial institutions without violating data sovereignty or sharing raw customer Personally Identifiable Information (PII).</w:t>
      </w:r>
    </w:p>
    <w:p>
      <w:pPr>
        <w:spacing w:line="360" w:lineRule="auto" w:after="120"/>
        <w:ind w:left="432"/>
      </w:pPr>
      <w:r>
        <w:rPr>
          <w:rFonts w:ascii="Times New Roman" w:hAnsi="Times New Roman"/>
          <w:sz w:val="24"/>
        </w:rPr>
        <w:t>• A high-throughput, asynchronous FastAPI microservice backend coupled with a modern, responsive React 19 + Vite 6 web dashboard designed for fraud analysts and compliance auditors.</w:t>
      </w:r>
    </w:p>
    <w:p>
      <w:pPr>
        <w:keepNext/>
        <w:spacing w:before="280" w:after="160"/>
      </w:pPr>
      <w:r>
        <w:rPr>
          <w:rFonts w:ascii="Times New Roman" w:hAnsi="Times New Roman"/>
          <w:b/>
          <w:sz w:val="32"/>
        </w:rPr>
        <w:t>1.2 Motivation &amp; Application</w:t>
      </w:r>
    </w:p>
    <w:p>
      <w:pPr>
        <w:keepNext/>
        <w:spacing w:before="240" w:after="120"/>
      </w:pPr>
      <w:r>
        <w:rPr>
          <w:rFonts w:ascii="Times New Roman" w:hAnsi="Times New Roman"/>
          <w:b/>
          <w:sz w:val="28"/>
        </w:rPr>
        <w:t>1.2.1 Motivation</w:t>
      </w:r>
    </w:p>
    <w:p>
      <w:pPr>
        <w:spacing w:line="360" w:lineRule="auto" w:after="120"/>
        <w:jc w:val="both"/>
      </w:pPr>
      <w:r>
        <w:rPr>
          <w:rFonts w:ascii="Times New Roman" w:hAnsi="Times New Roman"/>
          <w:sz w:val="24"/>
        </w:rPr>
        <w:t>The motivation behind FraudShield AI stems from the urgent necessity to protect consumers, merchants, and financial institutions from systemic economic damage while ensuring that automated decision systems operate with fairness, ethical transparency, and legal accountability.</w:t>
      </w:r>
    </w:p>
    <w:p>
      <w:pPr>
        <w:spacing w:line="360" w:lineRule="auto" w:after="120"/>
        <w:ind w:left="432"/>
      </w:pPr>
      <w:r>
        <w:rPr>
          <w:rFonts w:ascii="Times New Roman" w:hAnsi="Times New Roman"/>
          <w:sz w:val="24"/>
        </w:rPr>
        <w:t>1. Economic Urgency:</w:t>
      </w:r>
    </w:p>
    <w:p>
      <w:pPr>
        <w:spacing w:line="360" w:lineRule="auto" w:after="120"/>
        <w:jc w:val="both"/>
      </w:pPr>
      <w:r>
        <w:rPr>
          <w:rFonts w:ascii="Times New Roman" w:hAnsi="Times New Roman"/>
          <w:sz w:val="24"/>
        </w:rPr>
        <w:t>Traditional fraud investigation is an expensive, manual, and reactive process. Financial institutions spend billions annually staffing fraud operations centers where human analysts spend hours manually reviewing transaction tickets, calling cardholders, and issuing dispute reconciliations. By automating high-confidence transaction approvals and blocks while intelligently routing ambiguous cases to an explainable review queue, banks can reduce operational overhead by up to 60%.</w:t>
      </w:r>
    </w:p>
    <w:p>
      <w:pPr>
        <w:spacing w:line="360" w:lineRule="auto" w:after="120"/>
        <w:ind w:left="432"/>
      </w:pPr>
      <w:r>
        <w:rPr>
          <w:rFonts w:ascii="Times New Roman" w:hAnsi="Times New Roman"/>
          <w:sz w:val="24"/>
        </w:rPr>
        <w:t>2. Customer Experience and Friction Reduction:</w:t>
      </w:r>
    </w:p>
    <w:p>
      <w:pPr>
        <w:spacing w:line="360" w:lineRule="auto" w:after="120"/>
        <w:jc w:val="both"/>
      </w:pPr>
      <w:r>
        <w:rPr>
          <w:rFonts w:ascii="Times New Roman" w:hAnsi="Times New Roman"/>
          <w:sz w:val="24"/>
        </w:rPr>
        <w:t>Every time a legitimate cardholder experiences a false transaction decline at a point-of-sale terminal or during an online checkout, consumer trust erodes. Industry studies indicate that over 30% of cardholders who suffer a false decline reduce their usage of that card, and 15% abandon the merchant entirely. A highly calibrated fraud detection system that minimizes false positives protects merchant revenue and customer loyalty.</w:t>
      </w:r>
    </w:p>
    <w:p>
      <w:pPr>
        <w:spacing w:line="360" w:lineRule="auto" w:after="120"/>
        <w:ind w:left="432"/>
      </w:pPr>
      <w:r>
        <w:rPr>
          <w:rFonts w:ascii="Times New Roman" w:hAnsi="Times New Roman"/>
          <w:sz w:val="24"/>
        </w:rPr>
        <w:t>3. Ethical AI and Algorithmic Accountability:</w:t>
      </w:r>
    </w:p>
    <w:p>
      <w:pPr>
        <w:spacing w:line="360" w:lineRule="auto" w:after="120"/>
        <w:jc w:val="both"/>
      </w:pPr>
      <w:r>
        <w:rPr>
          <w:rFonts w:ascii="Times New Roman" w:hAnsi="Times New Roman"/>
          <w:sz w:val="24"/>
        </w:rPr>
        <w:t>Machine learning models trained on historical data are prone to inheriting historical biases, regional discrepancies, and uncalibrated decision thresholds. When an automated algorithm blocks a cardholder's funds without explanation, it can strand travelers, disrupt critical medical or family purchases, and violate basic consumer rights. Providing real-time, mathematically rigorous explanations (TreeSHAP) ensures that automated decisions are fair, interpretable, and legally justifiable.</w:t>
      </w:r>
    </w:p>
    <w:p>
      <w:pPr>
        <w:spacing w:line="360" w:lineRule="auto" w:after="120"/>
        <w:ind w:left="432"/>
      </w:pPr>
      <w:r>
        <w:rPr>
          <w:rFonts w:ascii="Times New Roman" w:hAnsi="Times New Roman"/>
          <w:sz w:val="24"/>
        </w:rPr>
        <w:t>4. Bridging the Academic-to-Production Chasm:</w:t>
      </w:r>
    </w:p>
    <w:p>
      <w:pPr>
        <w:spacing w:line="360" w:lineRule="auto" w:after="120"/>
        <w:jc w:val="both"/>
      </w:pPr>
      <w:r>
        <w:rPr>
          <w:rFonts w:ascii="Times New Roman" w:hAnsi="Times New Roman"/>
          <w:sz w:val="24"/>
        </w:rPr>
        <w:t>A vast majority of published academic research in machine learning fraud detection focuses exclusively on static, offline evaluations inside Jupyter Notebooks using synthetic metrics. In real-world production environments, models must interface with high-concurrency REST APIs, handle sub-100ms latency SLAs, withstand adversarial concept drift, and provide intuitive user interfaces for non-technical risk analysts. FraudShield AI was built from the ground up to demonstrate a complete, production-grade reference architecture.</w:t>
      </w:r>
    </w:p>
    <w:p>
      <w:pPr>
        <w:keepNext/>
        <w:spacing w:before="240" w:after="120"/>
      </w:pPr>
      <w:r>
        <w:rPr>
          <w:rFonts w:ascii="Times New Roman" w:hAnsi="Times New Roman"/>
          <w:b/>
          <w:sz w:val="28"/>
        </w:rPr>
        <w:t>1.2.2 Practical Applications</w:t>
      </w:r>
    </w:p>
    <w:p>
      <w:pPr>
        <w:spacing w:line="360" w:lineRule="auto" w:after="120"/>
        <w:jc w:val="both"/>
      </w:pPr>
      <w:r>
        <w:rPr>
          <w:rFonts w:ascii="Times New Roman" w:hAnsi="Times New Roman"/>
          <w:sz w:val="24"/>
        </w:rPr>
        <w:t>FraudShield AI is architected for deployment across a broad spectrum of commercial and regulatory environments:</w:t>
      </w:r>
    </w:p>
    <w:p>
      <w:pPr>
        <w:spacing w:line="360" w:lineRule="auto" w:after="120"/>
        <w:ind w:left="432"/>
      </w:pPr>
      <w:r>
        <w:rPr>
          <w:rFonts w:ascii="Times New Roman" w:hAnsi="Times New Roman"/>
          <w:sz w:val="24"/>
        </w:rPr>
        <w:t>1. Commercial Issuing &amp; Acquiring Banks:</w:t>
      </w:r>
    </w:p>
    <w:p>
      <w:pPr>
        <w:spacing w:line="360" w:lineRule="auto" w:after="120"/>
        <w:jc w:val="both"/>
      </w:pPr>
      <w:r>
        <w:rPr>
          <w:rFonts w:ascii="Times New Roman" w:hAnsi="Times New Roman"/>
          <w:sz w:val="24"/>
        </w:rPr>
        <w:t>Core banking systems can integrate FraudShield AI as an inline authorization hook via REST webhooks. Incoming transaction payloads are evaluated in under 100ms, returning an immediate authorization flag (APPROVE, STEPUPAUTH, DECLINE) along with risk score metadata.</w:t>
      </w:r>
    </w:p>
    <w:p>
      <w:pPr>
        <w:spacing w:line="360" w:lineRule="auto" w:after="120"/>
        <w:ind w:left="432"/>
      </w:pPr>
      <w:r>
        <w:rPr>
          <w:rFonts w:ascii="Times New Roman" w:hAnsi="Times New Roman"/>
          <w:sz w:val="24"/>
        </w:rPr>
        <w:t>2. FinTech Payment Gateways &amp; E-Commerce Platforms:</w:t>
      </w:r>
    </w:p>
    <w:p>
      <w:pPr>
        <w:spacing w:line="360" w:lineRule="auto" w:after="120"/>
        <w:jc w:val="both"/>
      </w:pPr>
      <w:r>
        <w:rPr>
          <w:rFonts w:ascii="Times New Roman" w:hAnsi="Times New Roman"/>
          <w:sz w:val="24"/>
        </w:rPr>
        <w:t>Payment service providers (PSPs) handling multi-merchant checkout traffic can utilize FraudShield AI's multi-domain registry to detect card-not-present fraud, stolen card testing attacks, and synthetic identity exploitation.</w:t>
      </w:r>
    </w:p>
    <w:p>
      <w:pPr>
        <w:spacing w:line="360" w:lineRule="auto" w:after="120"/>
        <w:ind w:left="432"/>
      </w:pPr>
      <w:r>
        <w:rPr>
          <w:rFonts w:ascii="Times New Roman" w:hAnsi="Times New Roman"/>
          <w:sz w:val="24"/>
        </w:rPr>
        <w:t>3. Peer-to-Peer (P2P) Mobile Money &amp; Neo-Banks:</w:t>
      </w:r>
    </w:p>
    <w:p>
      <w:pPr>
        <w:spacing w:line="360" w:lineRule="auto" w:after="120"/>
        <w:jc w:val="both"/>
      </w:pPr>
      <w:r>
        <w:rPr>
          <w:rFonts w:ascii="Times New Roman" w:hAnsi="Times New Roman"/>
          <w:sz w:val="24"/>
        </w:rPr>
        <w:t>Digital wallet providers (such as PayTM, PhonePe, Venmo, CashApp, and M-Pesa) can deploy the PaySim-specialized engine to monitor mobile wallet transfers, detect account drain attacks, and identify mule accounts used to launder siphoned funds.</w:t>
      </w:r>
    </w:p>
    <w:p>
      <w:pPr>
        <w:spacing w:line="360" w:lineRule="auto" w:after="120"/>
        <w:ind w:left="432"/>
      </w:pPr>
      <w:r>
        <w:rPr>
          <w:rFonts w:ascii="Times New Roman" w:hAnsi="Times New Roman"/>
          <w:sz w:val="24"/>
        </w:rPr>
        <w:t>4. Regulatory Audit &amp; Compliance Oversight:</w:t>
      </w:r>
    </w:p>
    <w:p>
      <w:pPr>
        <w:spacing w:line="360" w:lineRule="auto" w:after="120"/>
        <w:jc w:val="both"/>
      </w:pPr>
      <w:r>
        <w:rPr>
          <w:rFonts w:ascii="Times New Roman" w:hAnsi="Times New Roman"/>
          <w:sz w:val="24"/>
        </w:rPr>
        <w:t>Financial compliance officers and banking regulators can leverage the platform’s immutable audit logs, FCRA Adverse Action generator, and concept drift monitors to conduct supervisory examinations and ensure compliance with the EU AI Act and GDPR.</w:t>
      </w:r>
    </w:p>
    <w:p>
      <w:pPr>
        <w:spacing w:line="360" w:lineRule="auto" w:after="120"/>
        <w:ind w:left="432"/>
      </w:pPr>
      <w:r>
        <w:rPr>
          <w:rFonts w:ascii="Times New Roman" w:hAnsi="Times New Roman"/>
          <w:sz w:val="24"/>
        </w:rPr>
        <w:t>5. Cross-Institutional Consortium Defense:</w:t>
      </w:r>
    </w:p>
    <w:p>
      <w:pPr>
        <w:spacing w:line="360" w:lineRule="auto" w:after="120"/>
        <w:jc w:val="both"/>
      </w:pPr>
      <w:r>
        <w:rPr>
          <w:rFonts w:ascii="Times New Roman" w:hAnsi="Times New Roman"/>
          <w:sz w:val="24"/>
        </w:rPr>
        <w:t>Banking syndicates can run the Federated Learning simulation module to collaboratively train shared defense models, identifying emerging multi-bank cybercrime campaigns without exposing proprietary customer account databases.</w:t>
      </w:r>
    </w:p>
    <w:p>
      <w:pPr>
        <w:keepNext/>
        <w:spacing w:before="280" w:after="160"/>
      </w:pPr>
      <w:r>
        <w:rPr>
          <w:rFonts w:ascii="Times New Roman" w:hAnsi="Times New Roman"/>
          <w:b/>
          <w:sz w:val="32"/>
        </w:rPr>
        <w:t>1.3 Problem Definition</w:t>
      </w:r>
    </w:p>
    <w:p>
      <w:pPr>
        <w:keepNext/>
        <w:spacing w:before="240" w:after="120"/>
      </w:pPr>
      <w:r>
        <w:rPr>
          <w:rFonts w:ascii="Times New Roman" w:hAnsi="Times New Roman"/>
          <w:b/>
          <w:sz w:val="28"/>
        </w:rPr>
        <w:t>1.3.1 Formal Mathematical Formulation</w:t>
      </w:r>
    </w:p>
    <w:p>
      <w:pPr>
        <w:spacing w:line="360" w:lineRule="auto" w:after="120"/>
        <w:jc w:val="both"/>
      </w:pPr>
      <w:r>
        <w:rPr>
          <w:rFonts w:ascii="Times New Roman" w:hAnsi="Times New Roman"/>
          <w:sz w:val="24"/>
        </w:rPr>
        <w:t>Let $\mathcal{X}$ represent the high-dimensional feature space of financial transactions, where each transaction $\mathbf{x} \in \mathcal{X}$ is represented as an $m$-dimensional vector:</w:t>
      </w:r>
    </w:p>
    <w:p>
      <w:pPr>
        <w:spacing w:line="360" w:lineRule="auto" w:after="120"/>
        <w:jc w:val="both"/>
      </w:pPr>
      <w:r>
        <w:rPr>
          <w:rFonts w:ascii="Times New Roman" w:hAnsi="Times New Roman"/>
          <w:sz w:val="24"/>
        </w:rPr>
        <w:t>$$\mathbf{x} = [x1, x2, \dots, xm]^T \in \mathbb{R}^m$$</w:t>
      </w:r>
    </w:p>
    <w:p>
      <w:pPr>
        <w:spacing w:line="360" w:lineRule="auto" w:after="120"/>
        <w:jc w:val="both"/>
      </w:pPr>
      <w:r>
        <w:rPr>
          <w:rFonts w:ascii="Times New Roman" w:hAnsi="Times New Roman"/>
          <w:sz w:val="24"/>
        </w:rPr>
        <w:t>Let $y \in \{0, 1\}$ denote the true ground-truth operational class label of the transaction, where:</w:t>
      </w:r>
    </w:p>
    <w:p>
      <w:pPr>
        <w:spacing w:line="360" w:lineRule="auto" w:after="120"/>
        <w:ind w:left="432"/>
      </w:pPr>
      <w:r>
        <w:rPr>
          <w:rFonts w:ascii="Times New Roman" w:hAnsi="Times New Roman"/>
          <w:sz w:val="24"/>
        </w:rPr>
        <w:t>• $y = 0$: Represents a legitimate (benign) transaction.</w:t>
      </w:r>
    </w:p>
    <w:p>
      <w:pPr>
        <w:spacing w:line="360" w:lineRule="auto" w:after="120"/>
        <w:ind w:left="432"/>
      </w:pPr>
      <w:r>
        <w:rPr>
          <w:rFonts w:ascii="Times New Roman" w:hAnsi="Times New Roman"/>
          <w:sz w:val="24"/>
        </w:rPr>
        <w:t>• $y = 1$: Represents an unauthorized (fraudulent) transaction.</w:t>
      </w:r>
    </w:p>
    <w:p>
      <w:pPr>
        <w:spacing w:line="360" w:lineRule="auto" w:after="120"/>
        <w:jc w:val="both"/>
      </w:pPr>
      <w:r>
        <w:rPr>
          <w:rFonts w:ascii="Times New Roman" w:hAnsi="Times New Roman"/>
          <w:sz w:val="24"/>
        </w:rPr>
        <w:t>The operational transaction dataset $\mathcal{D} = \{(\mathbf{x}k, yk)\}{k=1}^N$ exhibits severe class imbalance:</w:t>
      </w:r>
    </w:p>
    <w:p>
      <w:pPr>
        <w:spacing w:line="360" w:lineRule="auto" w:after="120"/>
        <w:jc w:val="both"/>
      </w:pPr>
      <w:r>
        <w:rPr>
          <w:rFonts w:ascii="Times New Roman" w:hAnsi="Times New Roman"/>
          <w:sz w:val="24"/>
        </w:rPr>
        <w:t>$$N1 = \sum{k=1}^N yk \ll N0 = \sum{k=1}^N (1 - yk)$$</w:t>
      </w:r>
    </w:p>
    <w:p>
      <w:pPr>
        <w:spacing w:line="360" w:lineRule="auto" w:after="120"/>
        <w:jc w:val="both"/>
      </w:pPr>
      <w:r>
        <w:rPr>
          <w:rFonts w:ascii="Times New Roman" w:hAnsi="Times New Roman"/>
          <w:sz w:val="24"/>
        </w:rPr>
        <w:t>such that the prior fraud prevalence ratio:</w:t>
      </w:r>
    </w:p>
    <w:p>
      <w:pPr>
        <w:spacing w:line="360" w:lineRule="auto" w:after="120"/>
        <w:jc w:val="both"/>
      </w:pPr>
      <w:r>
        <w:rPr>
          <w:rFonts w:ascii="Times New Roman" w:hAnsi="Times New Roman"/>
          <w:sz w:val="24"/>
        </w:rPr>
        <w:t>$$\pi1 = \frac{N1}{N} &lt; 0.002 \quad (\text{often } \le 0.17\%)$$</w:t>
      </w:r>
    </w:p>
    <w:p>
      <w:pPr>
        <w:spacing w:line="360" w:lineRule="auto" w:after="120"/>
        <w:jc w:val="both"/>
      </w:pPr>
      <w:r>
        <w:rPr>
          <w:rFonts w:ascii="Times New Roman" w:hAnsi="Times New Roman"/>
          <w:sz w:val="24"/>
        </w:rPr>
        <w:t>The primary objective of the classification engine is to learn a mapping hypothesis $f: \mathcal{X} \rightarrow [0, 1]$ parameterized by ensemble weights $\Theta$, outputting a continuous posterior probability:</w:t>
      </w:r>
    </w:p>
    <w:p>
      <w:pPr>
        <w:spacing w:line="360" w:lineRule="auto" w:after="120"/>
        <w:jc w:val="both"/>
      </w:pPr>
      <w:r>
        <w:rPr>
          <w:rFonts w:ascii="Times New Roman" w:hAnsi="Times New Roman"/>
          <w:sz w:val="24"/>
        </w:rPr>
        <w:t>$$\hat{p} = P(y = 1 \mid \mathbf{x}; \Theta)$$</w:t>
      </w:r>
    </w:p>
    <w:p>
      <w:pPr>
        <w:spacing w:line="360" w:lineRule="auto" w:after="120"/>
        <w:jc w:val="both"/>
      </w:pPr>
      <w:r>
        <w:rPr>
          <w:rFonts w:ascii="Times New Roman" w:hAnsi="Times New Roman"/>
          <w:sz w:val="24"/>
        </w:rPr>
        <w:t>subject to an asymmetric cost matrix $\mathcal{C}$ that penalizes False Negatives (missed fraud) significantly more severely than False Positives (customer friction):</w:t>
      </w:r>
    </w:p>
    <w:p>
      <w:pPr>
        <w:spacing w:line="360" w:lineRule="auto" w:after="120"/>
        <w:jc w:val="both"/>
      </w:pPr>
      <w:r>
        <w:rPr>
          <w:rFonts w:ascii="Times New Roman" w:hAnsi="Times New Roman"/>
          <w:sz w:val="24"/>
        </w:rPr>
        <w:t>$$\mathcal{C}(\hat{y}, y) = \begin{pmatrix}</w:t>
      </w:r>
    </w:p>
    <w:p>
      <w:pPr>
        <w:spacing w:line="360" w:lineRule="auto" w:after="120"/>
        <w:jc w:val="both"/>
      </w:pPr>
      <w:r>
        <w:rPr>
          <w:rFonts w:ascii="Times New Roman" w:hAnsi="Times New Roman"/>
          <w:sz w:val="24"/>
        </w:rPr>
        <w:t>0 &amp; C{FP} \\</w:t>
      </w:r>
    </w:p>
    <w:p>
      <w:pPr>
        <w:spacing w:line="360" w:lineRule="auto" w:after="120"/>
        <w:jc w:val="both"/>
      </w:pPr>
      <w:r>
        <w:rPr>
          <w:rFonts w:ascii="Times New Roman" w:hAnsi="Times New Roman"/>
          <w:sz w:val="24"/>
        </w:rPr>
        <w:t>C{FN} &amp; 0</w:t>
      </w:r>
    </w:p>
    <w:p>
      <w:pPr>
        <w:spacing w:line="360" w:lineRule="auto" w:after="120"/>
        <w:jc w:val="both"/>
      </w:pPr>
      <w:r>
        <w:rPr>
          <w:rFonts w:ascii="Times New Roman" w:hAnsi="Times New Roman"/>
          <w:sz w:val="24"/>
        </w:rPr>
        <w:t>\end{pmatrix}, \quad \text{where } C{FN} \gg C{FP}$$</w:t>
      </w:r>
    </w:p>
    <w:p>
      <w:pPr>
        <w:spacing w:line="360" w:lineRule="auto" w:after="120"/>
        <w:jc w:val="both"/>
      </w:pPr>
      <w:r>
        <w:rPr>
          <w:rFonts w:ascii="Times New Roman" w:hAnsi="Times New Roman"/>
          <w:sz w:val="24"/>
        </w:rPr>
        <w:t>Furthermore, for every transaction $\mathbf{x}$ evaluated by the platform, the system must compute a local explanation vector:</w:t>
      </w:r>
    </w:p>
    <w:p>
      <w:pPr>
        <w:spacing w:line="360" w:lineRule="auto" w:after="120"/>
        <w:jc w:val="both"/>
      </w:pPr>
      <w:r>
        <w:rPr>
          <w:rFonts w:ascii="Times New Roman" w:hAnsi="Times New Roman"/>
          <w:sz w:val="24"/>
        </w:rPr>
        <w:t>$$\boldsymbol{\Phi}(\mathbf{x}) = [\phi1(\mathbf{x}), \phi2(\mathbf{x}), \dots, \phim(\mathbf{x})]^T \in \mathbb{R}^m$$</w:t>
      </w:r>
    </w:p>
    <w:p>
      <w:pPr>
        <w:spacing w:line="360" w:lineRule="auto" w:after="120"/>
        <w:jc w:val="both"/>
      </w:pPr>
      <w:r>
        <w:rPr>
          <w:rFonts w:ascii="Times New Roman" w:hAnsi="Times New Roman"/>
          <w:sz w:val="24"/>
        </w:rPr>
        <w:t>satisfying the local accuracy efficiency property:</w:t>
      </w:r>
    </w:p>
    <w:p>
      <w:pPr>
        <w:spacing w:line="360" w:lineRule="auto" w:after="120"/>
        <w:jc w:val="both"/>
      </w:pPr>
      <w:r>
        <w:rPr>
          <w:rFonts w:ascii="Times New Roman" w:hAnsi="Times New Roman"/>
          <w:sz w:val="24"/>
        </w:rPr>
        <w:t>$$f(\mathbf{x}) = \phi0 + \sum{i=1}^m \phii(\mathbf{x})$$</w:t>
      </w:r>
    </w:p>
    <w:p>
      <w:pPr>
        <w:spacing w:line="360" w:lineRule="auto" w:after="120"/>
        <w:jc w:val="both"/>
      </w:pPr>
      <w:r>
        <w:rPr>
          <w:rFonts w:ascii="Times New Roman" w:hAnsi="Times New Roman"/>
          <w:sz w:val="24"/>
        </w:rPr>
        <w:t>where $\phi0 = \mathbb{E}[f(\mathbf{x})]$ is the base expected model prediction over the background reference dataset, and each $\phii(\mathbf{x})$ represents the exact marginal Shapley contribution of feature $i$ toward the fraud risk outcome.</w:t>
      </w:r>
    </w:p>
    <w:p>
      <w:pPr>
        <w:spacing w:line="360" w:lineRule="auto" w:after="120"/>
        <w:jc w:val="both"/>
      </w:pPr>
      <w:r>
        <w:rPr>
          <w:rFonts w:ascii="Times New Roman" w:hAnsi="Times New Roman"/>
          <w:sz w:val="24"/>
        </w:rPr>
        <w:t>Finally, the system must satisfy the real-time temporal latency constraint:</w:t>
      </w:r>
    </w:p>
    <w:p>
      <w:pPr>
        <w:spacing w:line="360" w:lineRule="auto" w:after="120"/>
        <w:jc w:val="both"/>
      </w:pPr>
      <w:r>
        <w:rPr>
          <w:rFonts w:ascii="Times New Roman" w:hAnsi="Times New Roman"/>
          <w:sz w:val="24"/>
        </w:rPr>
        <w:t>$$\tau{\text{total}} = \tau{\text{ingest}} + \tau{\text{preprocess}} + \tau{\text{inference}} + \tau{\text{explain}} \le \tau{\text{SLA}} = 150\,\text{ms}$$</w:t>
      </w:r>
    </w:p>
    <w:p>
      <w:pPr>
        <w:spacing w:line="360" w:lineRule="auto" w:after="120"/>
        <w:jc w:val="both"/>
      </w:pPr>
      <w:r>
        <w:rPr>
          <w:rFonts w:ascii="Times New Roman" w:hAnsi="Times New Roman"/>
          <w:sz w:val="24"/>
        </w:rPr>
        <w:t>under concurrent API query loads.</w:t>
      </w:r>
    </w:p>
    <w:p>
      <w:pPr>
        <w:keepNext/>
        <w:spacing w:before="280" w:after="160"/>
      </w:pPr>
      <w:r>
        <w:rPr>
          <w:rFonts w:ascii="Times New Roman" w:hAnsi="Times New Roman"/>
          <w:b/>
          <w:sz w:val="32"/>
        </w:rPr>
        <w:t>1.4 Objective &amp; Scope</w:t>
      </w:r>
    </w:p>
    <w:p>
      <w:pPr>
        <w:keepNext/>
        <w:spacing w:before="240" w:after="120"/>
      </w:pPr>
      <w:r>
        <w:rPr>
          <w:rFonts w:ascii="Times New Roman" w:hAnsi="Times New Roman"/>
          <w:b/>
          <w:sz w:val="28"/>
        </w:rPr>
        <w:t>1.4.1 Research and Engineering Objectives</w:t>
      </w:r>
    </w:p>
    <w:p>
      <w:pPr>
        <w:spacing w:line="360" w:lineRule="auto" w:after="120"/>
        <w:jc w:val="both"/>
      </w:pPr>
      <w:r>
        <w:rPr>
          <w:rFonts w:ascii="Times New Roman" w:hAnsi="Times New Roman"/>
          <w:sz w:val="24"/>
        </w:rPr>
        <w:t>The core objectives of the FraudShield AI project are divided into five primary pillars:</w:t>
      </w:r>
    </w:p>
    <w:p>
      <w:pPr>
        <w:spacing w:line="360" w:lineRule="auto" w:after="120"/>
        <w:ind w:left="432"/>
      </w:pPr>
      <w:r>
        <w:rPr>
          <w:rFonts w:ascii="Times New Roman" w:hAnsi="Times New Roman"/>
          <w:sz w:val="24"/>
        </w:rPr>
        <w:t>1. Design and Optimize a Multi-Domain Stacking Ensemble:</w:t>
      </w:r>
    </w:p>
    <w:p>
      <w:pPr>
        <w:spacing w:line="360" w:lineRule="auto" w:after="120"/>
        <w:ind w:left="432"/>
      </w:pPr>
      <w:r>
        <w:rPr>
          <w:rFonts w:ascii="Times New Roman" w:hAnsi="Times New Roman"/>
          <w:sz w:val="24"/>
        </w:rPr>
        <w:t>• Construct four specialized model heads: PaySim Mobile Money, European Credit Card PCA Vectors, Spatial-Behavioral Geolocation, and BankSim Retail.</w:t>
      </w:r>
    </w:p>
    <w:p>
      <w:pPr>
        <w:spacing w:line="360" w:lineRule="auto" w:after="120"/>
        <w:ind w:left="432"/>
      </w:pPr>
      <w:r>
        <w:rPr>
          <w:rFonts w:ascii="Times New Roman" w:hAnsi="Times New Roman"/>
          <w:sz w:val="24"/>
        </w:rPr>
        <w:t>• Combine XGBoost, LightGBM, and Random Forest base classifiers with a 5-fold cross-validated Logistic Regression meta-learner.</w:t>
      </w:r>
    </w:p>
    <w:p>
      <w:pPr>
        <w:spacing w:line="360" w:lineRule="auto" w:after="120"/>
        <w:ind w:left="432"/>
      </w:pPr>
      <w:r>
        <w:rPr>
          <w:rFonts w:ascii="Times New Roman" w:hAnsi="Times New Roman"/>
          <w:sz w:val="24"/>
        </w:rPr>
        <w:t>• Implement dynamic class-weighting ($\text{scale\pos\weight} = N0 / N1$) and OmniSMOTE synthetic oversampling to eliminate majority-class bias.</w:t>
      </w:r>
    </w:p>
    <w:p>
      <w:pPr>
        <w:spacing w:line="360" w:lineRule="auto" w:after="120"/>
        <w:ind w:left="432"/>
      </w:pPr>
      <w:r>
        <w:rPr>
          <w:rFonts w:ascii="Times New Roman" w:hAnsi="Times New Roman"/>
          <w:sz w:val="24"/>
        </w:rPr>
        <w:t>2. Formulate a Calibrated Continuous Risk Engine:</w:t>
      </w:r>
    </w:p>
    <w:p>
      <w:pPr>
        <w:spacing w:line="360" w:lineRule="auto" w:after="120"/>
        <w:ind w:left="432"/>
      </w:pPr>
      <w:r>
        <w:rPr>
          <w:rFonts w:ascii="Times New Roman" w:hAnsi="Times New Roman"/>
          <w:sz w:val="24"/>
        </w:rPr>
        <w:t>• Overcome tree ensemble score polarization by mapping raw model probabilities into a smooth, equitable risk score spectrum from $0.0\%$ to $100.0\%$.</w:t>
      </w:r>
    </w:p>
    <w:p>
      <w:pPr>
        <w:spacing w:line="360" w:lineRule="auto" w:after="120"/>
        <w:ind w:left="432"/>
      </w:pPr>
      <w:r>
        <w:rPr>
          <w:rFonts w:ascii="Times New Roman" w:hAnsi="Times New Roman"/>
          <w:sz w:val="24"/>
        </w:rPr>
        <w:t>• Establish a 3-tier operational decision hierarchy (SAFE $&lt; 45\%$, NEEDS REVIEW $45\%-75\%$, FRAUD $\ge 75\%$) to provide automated straight-through processing while preserving a human-in-the-loop analyst triage queue.</w:t>
      </w:r>
    </w:p>
    <w:p>
      <w:pPr>
        <w:spacing w:line="360" w:lineRule="auto" w:after="120"/>
        <w:ind w:left="432"/>
      </w:pPr>
      <w:r>
        <w:rPr>
          <w:rFonts w:ascii="Times New Roman" w:hAnsi="Times New Roman"/>
          <w:sz w:val="24"/>
        </w:rPr>
        <w:t>3. Integrate Real-Time Explainable AI (XAI) &amp; Regulatory Reason Codes:</w:t>
      </w:r>
    </w:p>
    <w:p>
      <w:pPr>
        <w:spacing w:line="360" w:lineRule="auto" w:after="120"/>
        <w:ind w:left="432"/>
      </w:pPr>
      <w:r>
        <w:rPr>
          <w:rFonts w:ascii="Times New Roman" w:hAnsi="Times New Roman"/>
          <w:sz w:val="24"/>
        </w:rPr>
        <w:t>• Implement TreeSHAP to compute exact additive feature attributions ($\phii$) for tree ensembles in sub-100ms latency.</w:t>
      </w:r>
    </w:p>
    <w:p>
      <w:pPr>
        <w:spacing w:line="360" w:lineRule="auto" w:after="120"/>
        <w:ind w:left="432"/>
      </w:pPr>
      <w:r>
        <w:rPr>
          <w:rFonts w:ascii="Times New Roman" w:hAnsi="Times New Roman"/>
          <w:sz w:val="24"/>
        </w:rPr>
        <w:t>• Map quantitative Shapley feature weights into human-understandable Fair Credit Reporting Act (FCRA) Adverse Action Reason Codes (e.g., RC-BAL-02: Account Liquidation Anomaly, RC-GEO-01: Haversine Geolocation Distance Discrepancy).</w:t>
      </w:r>
    </w:p>
    <w:p>
      <w:pPr>
        <w:spacing w:line="360" w:lineRule="auto" w:after="120"/>
        <w:ind w:left="432"/>
      </w:pPr>
      <w:r>
        <w:rPr>
          <w:rFonts w:ascii="Times New Roman" w:hAnsi="Times New Roman"/>
          <w:sz w:val="24"/>
        </w:rPr>
        <w:t>• Generate automated, downloadable Adverse Action disclosure documentation for compliance auditing.</w:t>
      </w:r>
    </w:p>
    <w:p>
      <w:pPr>
        <w:spacing w:line="360" w:lineRule="auto" w:after="120"/>
        <w:ind w:left="432"/>
      </w:pPr>
      <w:r>
        <w:rPr>
          <w:rFonts w:ascii="Times New Roman" w:hAnsi="Times New Roman"/>
          <w:sz w:val="24"/>
        </w:rPr>
        <w:t>4. Develop Graph Intelligence for Syndicate &amp; Mule Ring Detection:</w:t>
      </w:r>
    </w:p>
    <w:p>
      <w:pPr>
        <w:spacing w:line="360" w:lineRule="auto" w:after="120"/>
        <w:ind w:left="432"/>
      </w:pPr>
      <w:r>
        <w:rPr>
          <w:rFonts w:ascii="Times New Roman" w:hAnsi="Times New Roman"/>
          <w:sz w:val="24"/>
        </w:rPr>
        <w:t>• Construct an in-memory transactional graph using NetworkX where nodes represent accounts/merchants and directed edges represent fund flows.</w:t>
      </w:r>
    </w:p>
    <w:p>
      <w:pPr>
        <w:spacing w:line="360" w:lineRule="auto" w:after="120"/>
        <w:ind w:left="432"/>
      </w:pPr>
      <w:r>
        <w:rPr>
          <w:rFonts w:ascii="Times New Roman" w:hAnsi="Times New Roman"/>
          <w:sz w:val="24"/>
        </w:rPr>
        <w:t>• Implement depth-first cycle detection algorithms ($k$-hop cycles) and community clustering (Louvain / Greedy Modularity) to detect money laundering rings, smurfing networks, and mule accounts in real time.</w:t>
      </w:r>
    </w:p>
    <w:p>
      <w:pPr>
        <w:spacing w:line="360" w:lineRule="auto" w:after="120"/>
        <w:ind w:left="432"/>
      </w:pPr>
      <w:r>
        <w:rPr>
          <w:rFonts w:ascii="Times New Roman" w:hAnsi="Times New Roman"/>
          <w:sz w:val="24"/>
        </w:rPr>
        <w:t>5. Build an MLOps Concept Drift and Federated Defense Framework:</w:t>
      </w:r>
    </w:p>
    <w:p>
      <w:pPr>
        <w:spacing w:line="360" w:lineRule="auto" w:after="120"/>
        <w:ind w:left="432"/>
      </w:pPr>
      <w:r>
        <w:rPr>
          <w:rFonts w:ascii="Times New Roman" w:hAnsi="Times New Roman"/>
          <w:sz w:val="24"/>
        </w:rPr>
        <w:t>• Implement automated two-sample Kolmogorov-Smirnov (KS) tests and Population Stability Index (PSI) algorithms to track transactional feature distribution shifts.</w:t>
      </w:r>
    </w:p>
    <w:p>
      <w:pPr>
        <w:spacing w:line="360" w:lineRule="auto" w:after="120"/>
        <w:ind w:left="432"/>
      </w:pPr>
      <w:r>
        <w:rPr>
          <w:rFonts w:ascii="Times New Roman" w:hAnsi="Times New Roman"/>
          <w:sz w:val="24"/>
        </w:rPr>
        <w:t>• Provide an adversarial drift injection sandbox allowing administrators to simulate emerging fraud attacks.</w:t>
      </w:r>
    </w:p>
    <w:p>
      <w:pPr>
        <w:spacing w:line="360" w:lineRule="auto" w:after="120"/>
        <w:ind w:left="432"/>
      </w:pPr>
      <w:r>
        <w:rPr>
          <w:rFonts w:ascii="Times New Roman" w:hAnsi="Times New Roman"/>
          <w:sz w:val="24"/>
        </w:rPr>
        <w:t>• Construct a Federated Learning simulator utilizing Federated Averaging (FedAvg) to demonstrate decentralized, multi-bank model aggregation without raw data sharing.</w:t>
      </w:r>
    </w:p>
    <w:p>
      <w:pPr>
        <w:spacing w:line="360" w:lineRule="auto" w:after="120"/>
        <w:ind w:left="432"/>
      </w:pPr>
      <w:r>
        <w:rPr>
          <w:rFonts w:ascii="Times New Roman" w:hAnsi="Times New Roman"/>
          <w:sz w:val="24"/>
        </w:rPr>
        <w:t>6. Deliver an Enterprise-Grade, Low-Latency Web Platform:</w:t>
      </w:r>
    </w:p>
    <w:p>
      <w:pPr>
        <w:spacing w:line="360" w:lineRule="auto" w:after="120"/>
        <w:ind w:left="432"/>
      </w:pPr>
      <w:r>
        <w:rPr>
          <w:rFonts w:ascii="Times New Roman" w:hAnsi="Times New Roman"/>
          <w:sz w:val="24"/>
        </w:rPr>
        <w:t>• Build a production-ready asynchronous microservice backend using FastAPI, Pydantic, and Uvicorn.</w:t>
      </w:r>
    </w:p>
    <w:p>
      <w:pPr>
        <w:spacing w:line="360" w:lineRule="auto" w:after="120"/>
        <w:ind w:left="432"/>
      </w:pPr>
      <w:r>
        <w:rPr>
          <w:rFonts w:ascii="Times New Roman" w:hAnsi="Times New Roman"/>
          <w:sz w:val="24"/>
        </w:rPr>
        <w:t>• Enforce enterprise security standards: JWT role-based access control (RBAC), sliding-window rate limiting, OWASP security headers, and an append-only audit log.</w:t>
      </w:r>
    </w:p>
    <w:p>
      <w:pPr>
        <w:spacing w:line="360" w:lineRule="auto" w:after="120"/>
        <w:ind w:left="432"/>
      </w:pPr>
      <w:r>
        <w:rPr>
          <w:rFonts w:ascii="Times New Roman" w:hAnsi="Times New Roman"/>
          <w:sz w:val="24"/>
        </w:rPr>
        <w:t>• Develop an interactive, visually stunning single-page application (SPA) dashboard using React 19, Vite 6, Tailwind CSS, and Framer Motion.</w:t>
      </w:r>
    </w:p>
    <w:p>
      <w:pPr>
        <w:keepNext/>
        <w:spacing w:before="240" w:after="120"/>
      </w:pPr>
      <w:r>
        <w:rPr>
          <w:rFonts w:ascii="Times New Roman" w:hAnsi="Times New Roman"/>
          <w:b/>
          <w:sz w:val="28"/>
        </w:rPr>
        <w:t>1.4.2 Scope of the Project</w:t>
      </w:r>
    </w:p>
    <w:p>
      <w:pPr>
        <w:spacing w:line="360" w:lineRule="auto" w:after="120"/>
        <w:jc w:val="both"/>
      </w:pPr>
      <w:r>
        <w:rPr>
          <w:rFonts w:ascii="Times New Roman" w:hAnsi="Times New Roman"/>
          <w:sz w:val="24"/>
        </w:rPr>
        <w:t>In Scope:</w:t>
      </w:r>
    </w:p>
    <w:p>
      <w:pPr>
        <w:spacing w:line="360" w:lineRule="auto" w:after="120"/>
        <w:ind w:left="432"/>
      </w:pPr>
      <w:r>
        <w:rPr>
          <w:rFonts w:ascii="Times New Roman" w:hAnsi="Times New Roman"/>
          <w:sz w:val="24"/>
        </w:rPr>
        <w:t>• Comprehensive offline training and hyperparameter optimization across four public benchmark financial fraud datasets.</w:t>
      </w:r>
    </w:p>
    <w:p>
      <w:pPr>
        <w:spacing w:line="360" w:lineRule="auto" w:after="120"/>
        <w:ind w:left="432"/>
      </w:pPr>
      <w:r>
        <w:rPr>
          <w:rFonts w:ascii="Times New Roman" w:hAnsi="Times New Roman"/>
          <w:sz w:val="24"/>
        </w:rPr>
        <w:t>• Schema detection and dynamic routing of transaction payloads to dedicated domain model heads.</w:t>
      </w:r>
    </w:p>
    <w:p>
      <w:pPr>
        <w:spacing w:line="360" w:lineRule="auto" w:after="120"/>
        <w:ind w:left="432"/>
      </w:pPr>
      <w:r>
        <w:rPr>
          <w:rFonts w:ascii="Times New Roman" w:hAnsi="Times New Roman"/>
          <w:sz w:val="24"/>
        </w:rPr>
        <w:t>• Real-time scoring, risk tier assignment, and TreeSHAP attribution computation.</w:t>
      </w:r>
    </w:p>
    <w:p>
      <w:pPr>
        <w:spacing w:line="360" w:lineRule="auto" w:after="120"/>
        <w:ind w:left="432"/>
      </w:pPr>
      <w:r>
        <w:rPr>
          <w:rFonts w:ascii="Times New Roman" w:hAnsi="Times New Roman"/>
          <w:sz w:val="24"/>
        </w:rPr>
        <w:t>• Graphical visualization of transaction flows and circular mule networks.</w:t>
      </w:r>
    </w:p>
    <w:p>
      <w:pPr>
        <w:spacing w:line="360" w:lineRule="auto" w:after="120"/>
        <w:ind w:left="432"/>
      </w:pPr>
      <w:r>
        <w:rPr>
          <w:rFonts w:ascii="Times New Roman" w:hAnsi="Times New Roman"/>
          <w:sz w:val="24"/>
        </w:rPr>
        <w:t>• Synthetic adversarial drift simulation and monitoring.</w:t>
      </w:r>
    </w:p>
    <w:p>
      <w:pPr>
        <w:spacing w:line="360" w:lineRule="auto" w:after="120"/>
        <w:ind w:left="432"/>
      </w:pPr>
      <w:r>
        <w:rPr>
          <w:rFonts w:ascii="Times New Roman" w:hAnsi="Times New Roman"/>
          <w:sz w:val="24"/>
        </w:rPr>
        <w:t>• Interactive web portal supporting three pre-configured role personas (SOC Analyst, Compliance Officer, System Administrator) and custom self-registration.</w:t>
      </w:r>
    </w:p>
    <w:p>
      <w:pPr>
        <w:spacing w:line="360" w:lineRule="auto" w:after="120"/>
        <w:ind w:left="432"/>
      </w:pPr>
      <w:r>
        <w:rPr>
          <w:rFonts w:ascii="Times New Roman" w:hAnsi="Times New Roman"/>
          <w:sz w:val="24"/>
        </w:rPr>
        <w:t>• Containerized deployment using Docker and Docker Compose.</w:t>
      </w:r>
    </w:p>
    <w:p>
      <w:pPr>
        <w:spacing w:line="360" w:lineRule="auto" w:after="120"/>
        <w:jc w:val="both"/>
      </w:pPr>
      <w:r>
        <w:rPr>
          <w:rFonts w:ascii="Times New Roman" w:hAnsi="Times New Roman"/>
          <w:sz w:val="24"/>
        </w:rPr>
        <w:t>Out of Scope (Current Release):</w:t>
      </w:r>
    </w:p>
    <w:p>
      <w:pPr>
        <w:spacing w:line="360" w:lineRule="auto" w:after="120"/>
        <w:ind w:left="432"/>
      </w:pPr>
      <w:r>
        <w:rPr>
          <w:rFonts w:ascii="Times New Roman" w:hAnsi="Times New Roman"/>
          <w:sz w:val="24"/>
        </w:rPr>
        <w:t>• Direct hardware integration with physical automated teller machines (ATMs) or magnetic stripe point-of-sale (POS) terminal firmware.</w:t>
      </w:r>
    </w:p>
    <w:p>
      <w:pPr>
        <w:spacing w:line="360" w:lineRule="auto" w:after="120"/>
        <w:ind w:left="432"/>
      </w:pPr>
      <w:r>
        <w:rPr>
          <w:rFonts w:ascii="Times New Roman" w:hAnsi="Times New Roman"/>
          <w:sz w:val="24"/>
        </w:rPr>
        <w:t>• Processing uncompressed, petabyte-scale historical banking ledgers (the system currently operates in streaming microservice mode).</w:t>
      </w:r>
    </w:p>
    <w:p>
      <w:pPr>
        <w:spacing w:line="360" w:lineRule="auto" w:after="120"/>
        <w:ind w:left="432"/>
      </w:pPr>
      <w:r>
        <w:rPr>
          <w:rFonts w:ascii="Times New Roman" w:hAnsi="Times New Roman"/>
          <w:sz w:val="24"/>
        </w:rPr>
        <w:t>• Real-time execution of live financial wire settlement transactions (the platform acts as a decision intelligence layer, not a financial clearinghouse).</w:t>
      </w:r>
    </w:p>
    <w:p>
      <w:pPr>
        <w:keepNext/>
        <w:spacing w:before="280" w:after="160"/>
      </w:pPr>
      <w:r>
        <w:rPr>
          <w:rFonts w:ascii="Times New Roman" w:hAnsi="Times New Roman"/>
          <w:b/>
          <w:sz w:val="32"/>
        </w:rPr>
        <w:t>1.5 Expected Outcome</w:t>
      </w:r>
    </w:p>
    <w:p>
      <w:pPr>
        <w:spacing w:line="360" w:lineRule="auto" w:after="120"/>
        <w:jc w:val="both"/>
      </w:pPr>
      <w:r>
        <w:rPr>
          <w:rFonts w:ascii="Times New Roman" w:hAnsi="Times New Roman"/>
          <w:sz w:val="24"/>
        </w:rPr>
        <w:t>Upon successful execution, the FraudShield AI project is expected to deliver:</w:t>
      </w:r>
    </w:p>
    <w:p>
      <w:pPr>
        <w:spacing w:line="360" w:lineRule="auto" w:after="120"/>
        <w:ind w:left="432"/>
      </w:pPr>
      <w:r>
        <w:rPr>
          <w:rFonts w:ascii="Times New Roman" w:hAnsi="Times New Roman"/>
          <w:sz w:val="24"/>
        </w:rPr>
        <w:t>1. A State-of-the-Art Machine Learning Engine:</w:t>
      </w:r>
    </w:p>
    <w:p>
      <w:pPr>
        <w:spacing w:line="360" w:lineRule="auto" w:after="120"/>
        <w:ind w:left="432"/>
      </w:pPr>
      <w:r>
        <w:rPr>
          <w:rFonts w:ascii="Times New Roman" w:hAnsi="Times New Roman"/>
          <w:sz w:val="24"/>
        </w:rPr>
        <w:t>• Achieving $&gt; 99.5\%$ F1-Score on Mobile Money transactions with $100\%$ Precision.</w:t>
      </w:r>
    </w:p>
    <w:p>
      <w:pPr>
        <w:spacing w:line="360" w:lineRule="auto" w:after="120"/>
        <w:ind w:left="432"/>
      </w:pPr>
      <w:r>
        <w:rPr>
          <w:rFonts w:ascii="Times New Roman" w:hAnsi="Times New Roman"/>
          <w:sz w:val="24"/>
        </w:rPr>
        <w:t>• Delivering an $8.40\%$ boost in F1-Score (to $89.25\%$) on severe imbalanced PCA vector credit card transactions compared to standard baseline models.</w:t>
      </w:r>
    </w:p>
    <w:p>
      <w:pPr>
        <w:spacing w:line="360" w:lineRule="auto" w:after="120"/>
        <w:ind w:left="432"/>
      </w:pPr>
      <w:r>
        <w:rPr>
          <w:rFonts w:ascii="Times New Roman" w:hAnsi="Times New Roman"/>
          <w:sz w:val="24"/>
        </w:rPr>
        <w:t>• Maintaining cross-validation generalization gaps strictly below $0.50\%$, confirming the absence of overfitting.</w:t>
      </w:r>
    </w:p>
    <w:p>
      <w:pPr>
        <w:spacing w:line="360" w:lineRule="auto" w:after="120"/>
        <w:ind w:left="432"/>
      </w:pPr>
      <w:r>
        <w:rPr>
          <w:rFonts w:ascii="Times New Roman" w:hAnsi="Times New Roman"/>
          <w:sz w:val="24"/>
        </w:rPr>
        <w:t>2. A Production-Ready Asynchronous API Microservice:</w:t>
      </w:r>
    </w:p>
    <w:p>
      <w:pPr>
        <w:spacing w:line="360" w:lineRule="auto" w:after="120"/>
        <w:ind w:left="432"/>
      </w:pPr>
      <w:r>
        <w:rPr>
          <w:rFonts w:ascii="Times New Roman" w:hAnsi="Times New Roman"/>
          <w:sz w:val="24"/>
        </w:rPr>
        <w:t>• Sub-100ms average response latency for single transaction scoring and explainability.</w:t>
      </w:r>
    </w:p>
    <w:p>
      <w:pPr>
        <w:spacing w:line="360" w:lineRule="auto" w:after="120"/>
        <w:ind w:left="432"/>
      </w:pPr>
      <w:r>
        <w:rPr>
          <w:rFonts w:ascii="Times New Roman" w:hAnsi="Times New Roman"/>
          <w:sz w:val="24"/>
        </w:rPr>
        <w:t>• Resilient handling of high-concurrency transaction bursts via non-blocking asynchronous Python coroutines.</w:t>
      </w:r>
    </w:p>
    <w:p>
      <w:pPr>
        <w:spacing w:line="360" w:lineRule="auto" w:after="120"/>
        <w:ind w:left="432"/>
      </w:pPr>
      <w:r>
        <w:rPr>
          <w:rFonts w:ascii="Times New Roman" w:hAnsi="Times New Roman"/>
          <w:sz w:val="24"/>
        </w:rPr>
        <w:t>• Interactive OpenAPI (Swagger) documentation available at /docs.</w:t>
      </w:r>
    </w:p>
    <w:p>
      <w:pPr>
        <w:spacing w:line="360" w:lineRule="auto" w:after="120"/>
        <w:ind w:left="432"/>
      </w:pPr>
      <w:r>
        <w:rPr>
          <w:rFonts w:ascii="Times New Roman" w:hAnsi="Times New Roman"/>
          <w:sz w:val="24"/>
        </w:rPr>
        <w:t>3. Regulatory-Grade Transparency:</w:t>
      </w:r>
    </w:p>
    <w:p>
      <w:pPr>
        <w:spacing w:line="360" w:lineRule="auto" w:after="120"/>
        <w:ind w:left="432"/>
      </w:pPr>
      <w:r>
        <w:rPr>
          <w:rFonts w:ascii="Times New Roman" w:hAnsi="Times New Roman"/>
          <w:sz w:val="24"/>
        </w:rPr>
        <w:t>• Real-time generation of TreeSHAP waterfall and summary plots for every transaction.</w:t>
      </w:r>
    </w:p>
    <w:p>
      <w:pPr>
        <w:spacing w:line="360" w:lineRule="auto" w:after="120"/>
        <w:ind w:left="432"/>
      </w:pPr>
      <w:r>
        <w:rPr>
          <w:rFonts w:ascii="Times New Roman" w:hAnsi="Times New Roman"/>
          <w:sz w:val="24"/>
        </w:rPr>
        <w:t>• Automated conversion of top negative and positive feature attributions into FCRA-compliant Adverse Action letters with downloadable audit records.</w:t>
      </w:r>
    </w:p>
    <w:p>
      <w:pPr>
        <w:spacing w:line="360" w:lineRule="auto" w:after="120"/>
        <w:ind w:left="432"/>
      </w:pPr>
      <w:r>
        <w:rPr>
          <w:rFonts w:ascii="Times New Roman" w:hAnsi="Times New Roman"/>
          <w:sz w:val="24"/>
        </w:rPr>
        <w:t>4. Network and Graph Forensics:</w:t>
      </w:r>
    </w:p>
    <w:p>
      <w:pPr>
        <w:spacing w:line="360" w:lineRule="auto" w:after="120"/>
        <w:ind w:left="432"/>
      </w:pPr>
      <w:r>
        <w:rPr>
          <w:rFonts w:ascii="Times New Roman" w:hAnsi="Times New Roman"/>
          <w:sz w:val="24"/>
        </w:rPr>
        <w:t>• Immediate visual identification of multi-hop cyclic fund transfers (e.g., $A \rightarrow B \rightarrow C \rightarrow A$).</w:t>
      </w:r>
    </w:p>
    <w:p>
      <w:pPr>
        <w:spacing w:line="360" w:lineRule="auto" w:after="120"/>
        <w:ind w:left="432"/>
      </w:pPr>
      <w:r>
        <w:rPr>
          <w:rFonts w:ascii="Times New Roman" w:hAnsi="Times New Roman"/>
          <w:sz w:val="24"/>
        </w:rPr>
        <w:t>• Calculation of composite account mule risk scores based on graph degree centrality, transaction velocity, and balance anomalies.</w:t>
      </w:r>
    </w:p>
    <w:p>
      <w:pPr>
        <w:spacing w:line="360" w:lineRule="auto" w:after="120"/>
        <w:ind w:left="432"/>
      </w:pPr>
      <w:r>
        <w:rPr>
          <w:rFonts w:ascii="Times New Roman" w:hAnsi="Times New Roman"/>
          <w:sz w:val="24"/>
        </w:rPr>
        <w:t>5. An Interactive, Enterprise-Grade Analyst Dashboard:</w:t>
      </w:r>
    </w:p>
    <w:p>
      <w:pPr>
        <w:spacing w:line="360" w:lineRule="auto" w:after="120"/>
        <w:ind w:left="432"/>
      </w:pPr>
      <w:r>
        <w:rPr>
          <w:rFonts w:ascii="Times New Roman" w:hAnsi="Times New Roman"/>
          <w:sz w:val="24"/>
        </w:rPr>
        <w:t>• A single-page web dashboard providing live transaction monitoring, dynamic dataset switching, one-click persona switching, single-transaction parameter manipulation, and visual concept drift monitoring.</w:t>
      </w:r>
    </w:p>
    <w:p>
      <w:pPr>
        <w:keepNext/>
        <w:spacing w:before="280" w:after="160"/>
      </w:pPr>
      <w:r>
        <w:rPr>
          <w:rFonts w:ascii="Times New Roman" w:hAnsi="Times New Roman"/>
          <w:b/>
          <w:sz w:val="32"/>
        </w:rPr>
        <w:t>1.6 Organization of the Report</w:t>
      </w:r>
    </w:p>
    <w:p>
      <w:pPr>
        <w:spacing w:line="360" w:lineRule="auto" w:after="120"/>
        <w:jc w:val="both"/>
      </w:pPr>
      <w:r>
        <w:rPr>
          <w:rFonts w:ascii="Times New Roman" w:hAnsi="Times New Roman"/>
          <w:sz w:val="24"/>
        </w:rPr>
        <w:t>The remainder of this Project Report is organized into the following chapters:</w:t>
      </w:r>
    </w:p>
    <w:p>
      <w:pPr>
        <w:spacing w:line="360" w:lineRule="auto" w:after="120"/>
        <w:ind w:left="432"/>
      </w:pPr>
      <w:r>
        <w:rPr>
          <w:rFonts w:ascii="Times New Roman" w:hAnsi="Times New Roman"/>
          <w:sz w:val="24"/>
        </w:rPr>
        <w:t>• Chapter 2: Literature Survey &amp; Proposed System: Reviews existing academic research, commercial fraud detection architectures, class imbalance techniques, and explainability frameworks. Details the limitations of prior works, presents an Ishikawa fishbone root cause analysis, outlines identified research gaps, and introduces the proposed FraudShield AI architecture.</w:t>
      </w:r>
    </w:p>
    <w:p>
      <w:pPr>
        <w:spacing w:line="360" w:lineRule="auto" w:after="120"/>
        <w:ind w:left="432"/>
      </w:pPr>
      <w:r>
        <w:rPr>
          <w:rFonts w:ascii="Times New Roman" w:hAnsi="Times New Roman"/>
          <w:sz w:val="24"/>
        </w:rPr>
        <w:t>• Chapter 3: Requirement Gathering, Analysis and Planning: Specifies comprehensive Functional and Non-Functional Requirements, details Role-Based Access Control (RBAC) policies, conducts technical and economic feasibility studies, outlines the CRISP-DM engineering methodology, details the complete technology stack, presents the project Gantt chart, and formalizes structural, functional, and behavioral UML system models.</w:t>
      </w:r>
    </w:p>
    <w:p>
      <w:pPr>
        <w:spacing w:line="360" w:lineRule="auto" w:after="120"/>
        <w:ind w:left="432"/>
      </w:pPr>
      <w:r>
        <w:rPr>
          <w:rFonts w:ascii="Times New Roman" w:hAnsi="Times New Roman"/>
          <w:sz w:val="24"/>
        </w:rPr>
        <w:t>• Chapter 4: System Design and Experimental Set up: Details the complete system architecture across Data Flow Diagrams (DFD Levels 0, 1, and 2), modular component topologies, and containerized deployment. Presents complete flowcharts and pseudocode algorithms for Stacking Ensemble training, OmniSMOTE, calibrated risk scoring, TreeSHAP, NetworkX mule ring detection, and FedAvg. Describes the user interface design, experimental hardware/software setup, dataset distributions, automated testing suites, and performance evaluation metrics.</w:t>
      </w:r>
    </w:p>
    <w:p>
      <w:pPr>
        <w:spacing w:line="360" w:lineRule="auto" w:after="120"/>
        <w:ind w:left="432"/>
      </w:pPr>
      <w:r>
        <w:rPr>
          <w:rFonts w:ascii="Times New Roman" w:hAnsi="Times New Roman"/>
          <w:sz w:val="24"/>
        </w:rPr>
        <w:t>• Chapter 5: Results &amp; Discussion: Presents master empirical results and benchmark performance tables across all four domain datasets before and after optimization. Analyzes confusion matrices, ROC-AUC and PR-AUC curves, TreeSHAP feature attributions, graph clustering outcomes, and concept drift metrics. Discusses cost-sensitive optimization, operational trade-offs, and system limitations.</w:t>
      </w:r>
    </w:p>
    <w:p>
      <w:pPr>
        <w:spacing w:line="360" w:lineRule="auto" w:after="120"/>
        <w:ind w:left="432"/>
      </w:pPr>
      <w:r>
        <w:rPr>
          <w:rFonts w:ascii="Times New Roman" w:hAnsi="Times New Roman"/>
          <w:sz w:val="24"/>
        </w:rPr>
        <w:t>• Chapter 6: Conclusion &amp; Future Scope: Summarizes the completed engineering contributions, reviews empirical validation against formulated hypotheses, and outlines future research trajectories including Graph Neural Networks (GNNs) and homomorphic encrypted federated learning.</w:t>
      </w:r>
    </w:p>
    <w:p>
      <w:pPr>
        <w:spacing w:line="360" w:lineRule="auto" w:after="120"/>
        <w:ind w:left="432"/>
      </w:pPr>
      <w:r>
        <w:rPr>
          <w:rFonts w:ascii="Times New Roman" w:hAnsi="Times New Roman"/>
          <w:sz w:val="24"/>
        </w:rPr>
        <w:t>• References: Comprehensive bibliography of academic and industrial literature cited in standard IEEE format.</w:t>
      </w:r>
    </w:p>
    <w:p>
      <w:pPr>
        <w:spacing w:line="360" w:lineRule="auto" w:after="120"/>
        <w:ind w:left="432"/>
      </w:pPr>
      <w:r>
        <w:rPr>
          <w:rFonts w:ascii="Times New Roman" w:hAnsi="Times New Roman"/>
          <w:sz w:val="24"/>
        </w:rPr>
        <w:t>• Research Paper: Full academic whitepaper of FraudShield AI in publication-ready IEEE format.</w:t>
      </w:r>
    </w:p>
    <w:p>
      <w:pPr>
        <w:spacing w:line="360" w:lineRule="auto" w:after="120"/>
        <w:ind w:left="432"/>
      </w:pPr>
      <w:r>
        <w:rPr>
          <w:rFonts w:ascii="Times New Roman" w:hAnsi="Times New Roman"/>
          <w:sz w:val="24"/>
        </w:rPr>
        <w:t>• Appendices: Includes Appendix A (Abbreviations and Symbols), Appendix B (Domain Definitions), and Appendix C (List of Publications).</w:t>
      </w:r>
    </w:p>
    <w:p>
      <w:r>
        <w:br w:type="page"/>
      </w:r>
    </w:p>
    <w:p>
      <w:pPr>
        <w:keepNext/>
        <w:spacing w:before="360" w:after="200"/>
        <w:jc w:val="center"/>
      </w:pPr>
      <w:r>
        <w:rPr>
          <w:rFonts w:ascii="Times New Roman" w:hAnsi="Times New Roman"/>
          <w:b/>
          <w:sz w:val="36"/>
        </w:rPr>
        <w:t>Chapter 2: Literature Survey &amp; Proposed System</w:t>
      </w:r>
    </w:p>
    <w:p>
      <w:pPr>
        <w:keepNext/>
        <w:spacing w:before="280" w:after="160"/>
      </w:pPr>
      <w:r>
        <w:rPr>
          <w:rFonts w:ascii="Times New Roman" w:hAnsi="Times New Roman"/>
          <w:b/>
          <w:sz w:val="32"/>
        </w:rPr>
        <w:t>2.1 Literature Review of Existing System</w:t>
      </w:r>
    </w:p>
    <w:p>
      <w:pPr>
        <w:spacing w:line="360" w:lineRule="auto" w:after="120"/>
        <w:jc w:val="both"/>
      </w:pPr>
      <w:r>
        <w:rPr>
          <w:rFonts w:ascii="Times New Roman" w:hAnsi="Times New Roman"/>
          <w:sz w:val="24"/>
        </w:rPr>
        <w:t>Financial fraud detection has been a vibrant domain of computer science and financial engineering research for over three decades. This section conducts an exhaustive, systematic review of foundational and contemporary literature spanning statistical anomaly detection, supervised machine learning, class imbalance mitigation, ensemble learning, graph intelligence, Explainable AI (XAI), and distributed federated defense.</w:t>
      </w:r>
    </w:p>
    <w:p>
      <w:pPr>
        <w:keepNext/>
        <w:spacing w:before="240" w:after="120"/>
      </w:pPr>
      <w:r>
        <w:rPr>
          <w:rFonts w:ascii="Times New Roman" w:hAnsi="Times New Roman"/>
          <w:b/>
          <w:sz w:val="28"/>
        </w:rPr>
        <w:t>2.1.1 Evolution of Fraud Detection Methodologies</w:t>
      </w:r>
    </w:p>
    <w:p>
      <w:pPr>
        <w:spacing w:line="360" w:lineRule="auto" w:after="120"/>
        <w:jc w:val="both"/>
      </w:pPr>
      <w:r>
        <w:rPr>
          <w:rFonts w:ascii="Times New Roman" w:hAnsi="Times New Roman"/>
          <w:sz w:val="24"/>
        </w:rPr>
        <w:t>Early fraud management systems developed in the 1990s relied on deterministic Expert Rule Engines. Leonard (1995) and Ghosh and Reilly (1994) documented early automated credit card fraud detection frameworks deployed at major payment processors. These systems executed static Boolean rules (e.g., $\text{IF Amount} &gt; \$1000 \land \text{Distance} &gt; 500\,\text{miles} \rightarrow \text{FLAG}$). While computationally inexpensive and easily interpretable, these systems suffered from severe rule decay, inability to recognize non-linear multivariate interactions, and staggering False Positive Rates (FPR) exceeding 90%.</w:t>
      </w:r>
    </w:p>
    <w:p>
      <w:pPr>
        <w:spacing w:line="360" w:lineRule="auto" w:after="120"/>
        <w:jc w:val="both"/>
      </w:pPr>
      <w:r>
        <w:rPr>
          <w:rFonts w:ascii="Times New Roman" w:hAnsi="Times New Roman"/>
          <w:sz w:val="24"/>
        </w:rPr>
        <w:t>With the advent of statistical learning, researchers turned to supervised probabilistic classifiers. Aleskerov et al. (1997) introduced CARDWATCH, one of the earliest neural network architectures applied to credit card fraud, demonstrating that multi-layer perceptrons could detect non-linear transaction anomalies. Bolton and Hand (2002) pioneered statistical fraud detection principles, emphasizing the distinction between supervised learning (classifying known fraud topologies) and unsupervised learning (detecting novel behavioral outliers through peer-group analysis and break-point analysis).</w:t>
      </w:r>
    </w:p>
    <w:p>
      <w:pPr>
        <w:spacing w:line="360" w:lineRule="auto" w:after="120"/>
        <w:jc w:val="both"/>
      </w:pPr>
      <w:r>
        <w:rPr>
          <w:rFonts w:ascii="Times New Roman" w:hAnsi="Times New Roman"/>
          <w:sz w:val="24"/>
        </w:rPr>
        <w:t>In the benchmark study by Dal Pozzolo et al. (2015), the authors conducted an extensive empirical analysis of real-world European credit card transaction data comprising 284,807 transactions. They analyzed the dual phenomena of extreme class imbalance (0.17% fraud prevalence) and concept drift—the temporal shift in legitimate cardholder spending behavior and fraudulent attack strategies over time. Their findings demonstrated that standalone classifiers (such as Logistic Regression, Support Vector Machines, and single Decision Trees) degrade rapidly over time unless continuously recalibrated with fresh feedback loops.</w:t>
      </w:r>
    </w:p>
    <w:p>
      <w:pPr>
        <w:spacing w:line="360" w:lineRule="auto" w:after="120"/>
        <w:jc w:val="both"/>
      </w:pPr>
      <w:r>
        <w:rPr>
          <w:rFonts w:ascii="Times New Roman" w:hAnsi="Times New Roman"/>
          <w:sz w:val="24"/>
        </w:rPr>
        <w:t>Carcillo et al. (2018) extended this paradigm by proposing streaming fraud detection pipelines combining supervised and active learning. They highlighted the "verification latency" challenge in banking operations: when a fraud alert is triggered, human confirmation or cardholder dispute feedback may be delayed by days or weeks, depriving automated models of timely ground-truth labels.</w:t>
      </w:r>
    </w:p>
    <w:p>
      <w:pPr>
        <w:keepNext/>
        <w:spacing w:before="240" w:after="120"/>
      </w:pPr>
      <w:r>
        <w:rPr>
          <w:rFonts w:ascii="Times New Roman" w:hAnsi="Times New Roman"/>
          <w:b/>
          <w:sz w:val="28"/>
        </w:rPr>
        <w:t>2.1.2 Class Imbalance Mitigation Strategies</w:t>
      </w:r>
    </w:p>
    <w:p>
      <w:pPr>
        <w:spacing w:line="360" w:lineRule="auto" w:after="120"/>
        <w:jc w:val="both"/>
      </w:pPr>
      <w:r>
        <w:rPr>
          <w:rFonts w:ascii="Times New Roman" w:hAnsi="Times New Roman"/>
          <w:sz w:val="24"/>
        </w:rPr>
        <w:t>A central obstacle in fraud detection is the extreme scarcity of positive fraud instances. In financial transaction streams, legitimate transactions outnumber fraudulent events by ratios ranging from 500:1 to over 5,000:1. Naive minimization of standard cross-entropy loss causes machine learning models to converge toward the trivial majority-class solution, predicting all transactions as non-fraudulent.</w:t>
      </w:r>
    </w:p>
    <w:p>
      <w:pPr>
        <w:spacing w:line="360" w:lineRule="auto" w:after="120"/>
        <w:jc w:val="both"/>
      </w:pPr>
      <w:r>
        <w:rPr>
          <w:rFonts w:ascii="Times New Roman" w:hAnsi="Times New Roman"/>
          <w:sz w:val="24"/>
        </w:rPr>
        <w:t>To counteract class imbalance, academic literature bifurcates into data-level resampling techniques and algorithm-level cost-sensitive adjustments:</w:t>
      </w:r>
    </w:p>
    <w:p>
      <w:pPr>
        <w:spacing w:line="360" w:lineRule="auto" w:after="120"/>
        <w:ind w:left="432"/>
      </w:pPr>
      <w:r>
        <w:rPr>
          <w:rFonts w:ascii="Times New Roman" w:hAnsi="Times New Roman"/>
          <w:sz w:val="24"/>
        </w:rPr>
        <w:t>1. Data-Level Resampling:</w:t>
      </w:r>
    </w:p>
    <w:p>
      <w:pPr>
        <w:spacing w:line="360" w:lineRule="auto" w:after="120"/>
        <w:ind w:left="432"/>
      </w:pPr>
      <w:r>
        <w:rPr>
          <w:rFonts w:ascii="Times New Roman" w:hAnsi="Times New Roman"/>
          <w:sz w:val="24"/>
        </w:rPr>
        <w:t>• Random Undersampling (RUS): Randomly discards majority-class instances to balance class proportions. While computationally efficient, RUS discards potentially vital information regarding legitimate spending variance, inflating false positive rates.</w:t>
      </w:r>
    </w:p>
    <w:p>
      <w:pPr>
        <w:spacing w:line="360" w:lineRule="auto" w:after="120"/>
        <w:ind w:left="432"/>
      </w:pPr>
      <w:r>
        <w:rPr>
          <w:rFonts w:ascii="Times New Roman" w:hAnsi="Times New Roman"/>
          <w:sz w:val="24"/>
        </w:rPr>
        <w:t>• Random Oversampling (ROS): Duplicates minority-class instances. ROS frequently leads to severe model overfitting, as classifiers memorize individual fraud examples rather than learning generalized boundaries.</w:t>
      </w:r>
    </w:p>
    <w:p>
      <w:pPr>
        <w:spacing w:line="360" w:lineRule="auto" w:after="120"/>
        <w:ind w:left="432"/>
      </w:pPr>
      <w:r>
        <w:rPr>
          <w:rFonts w:ascii="Times New Roman" w:hAnsi="Times New Roman"/>
          <w:sz w:val="24"/>
        </w:rPr>
        <w:t>• Synthetic Minority Over-sampling Technique (SMOTE): Introduced by Chawla et al. (2002), SMOTE synthesizes artificial minority examples along the line segments joining $k$-nearest minority neighbors:</w:t>
      </w:r>
    </w:p>
    <w:p>
      <w:pPr>
        <w:spacing w:line="360" w:lineRule="auto" w:after="120"/>
        <w:jc w:val="both"/>
      </w:pPr>
      <w:r>
        <w:rPr>
          <w:rFonts w:ascii="Times New Roman" w:hAnsi="Times New Roman"/>
          <w:sz w:val="24"/>
        </w:rPr>
        <w:t>$$\mathbf{x}{\text{new}} = \mathbf{x}i + \lambda (\mathbf{x}{zi} - \mathbf{x}i), \quad \lambda \sim U(0, 1)$$</w:t>
      </w:r>
    </w:p>
    <w:p>
      <w:pPr>
        <w:spacing w:line="360" w:lineRule="auto" w:after="120"/>
        <w:jc w:val="both"/>
      </w:pPr>
      <w:r>
        <w:rPr>
          <w:rFonts w:ascii="Times New Roman" w:hAnsi="Times New Roman"/>
          <w:sz w:val="24"/>
        </w:rPr>
        <w:t>While groundbreaking, standard SMOTE generates synthetic samples indiscriminately across feature space, often bridging the gap between legitimate and fraudulent clusters and introducing noise along complex decision boundaries.</w:t>
      </w:r>
    </w:p>
    <w:p>
      <w:pPr>
        <w:spacing w:line="360" w:lineRule="auto" w:after="120"/>
        <w:ind w:left="432"/>
      </w:pPr>
      <w:r>
        <w:rPr>
          <w:rFonts w:ascii="Times New Roman" w:hAnsi="Times New Roman"/>
          <w:sz w:val="24"/>
        </w:rPr>
        <w:t>• Borderline-SMOTE and ADASYN: Han et al. (2005) proposed Borderline-SMOTE, which restricts synthetic generation exclusively to minority instances located near the decision boundary (instances whose $k$-nearest neighbors are predominantly majority class). He et al. (2008) formulated ADASYN (Adaptive Synthetic Sampling), which uses a density distribution $\Gammai$ to dynamically generate more synthetic samples for minority instances that are harder to learn.</w:t>
      </w:r>
    </w:p>
    <w:p>
      <w:pPr>
        <w:spacing w:line="360" w:lineRule="auto" w:after="120"/>
        <w:ind w:left="432"/>
      </w:pPr>
      <w:r>
        <w:rPr>
          <w:rFonts w:ascii="Times New Roman" w:hAnsi="Times New Roman"/>
          <w:sz w:val="24"/>
        </w:rPr>
        <w:t>• OmniSMOTE: In contemporary imbalanced learning, OmniSMOTE combines geometric boundary analysis with topological data analysis, ensuring that synthesized points respect multi-modal manifold geometry and do not violate convex hull bounds of legitimate transactions.</w:t>
      </w:r>
    </w:p>
    <w:p>
      <w:pPr>
        <w:spacing w:line="360" w:lineRule="auto" w:after="120"/>
        <w:ind w:left="432"/>
      </w:pPr>
      <w:r>
        <w:rPr>
          <w:rFonts w:ascii="Times New Roman" w:hAnsi="Times New Roman"/>
          <w:sz w:val="24"/>
        </w:rPr>
        <w:t>2. Algorithm-Level Cost-Sensitive Learning:</w:t>
      </w:r>
    </w:p>
    <w:p>
      <w:pPr>
        <w:spacing w:line="360" w:lineRule="auto" w:after="120"/>
        <w:ind w:left="432"/>
      </w:pPr>
      <w:r>
        <w:rPr>
          <w:rFonts w:ascii="Times New Roman" w:hAnsi="Times New Roman"/>
          <w:sz w:val="24"/>
        </w:rPr>
        <w:t>• Elkan (2001) established the theoretical foundations of cost-sensitive learning, proving that altering the loss function's penalty weights is functionally equivalent to re-weighting class priors.</w:t>
      </w:r>
    </w:p>
    <w:p>
      <w:pPr>
        <w:spacing w:line="360" w:lineRule="auto" w:after="120"/>
        <w:ind w:left="432"/>
      </w:pPr>
      <w:r>
        <w:rPr>
          <w:rFonts w:ascii="Times New Roman" w:hAnsi="Times New Roman"/>
          <w:sz w:val="24"/>
        </w:rPr>
        <w:t>• In modern gradient-boosted decision trees, Chen and Guestrin (2016) integrated the scaleposweight hyperparameter into XGBoost:</w:t>
      </w:r>
    </w:p>
    <w:p>
      <w:pPr>
        <w:spacing w:line="360" w:lineRule="auto" w:after="120"/>
        <w:jc w:val="both"/>
      </w:pPr>
      <w:r>
        <w:rPr>
          <w:rFonts w:ascii="Times New Roman" w:hAnsi="Times New Roman"/>
          <w:sz w:val="24"/>
        </w:rPr>
        <w:t>$$\text{scale\pos\weight} = \frac{\sum{i=1}^N \mathbb{I}(yi = 0)}{\sum{i=1}^N \mathbb{I}(yi = 1)}$$</w:t>
      </w:r>
    </w:p>
    <w:p>
      <w:pPr>
        <w:spacing w:line="360" w:lineRule="auto" w:after="120"/>
        <w:jc w:val="both"/>
      </w:pPr>
      <w:r>
        <w:rPr>
          <w:rFonts w:ascii="Times New Roman" w:hAnsi="Times New Roman"/>
          <w:sz w:val="24"/>
        </w:rPr>
        <w:t>This dynamically scales the gradient and hessian updates for positive instances, compelling the tree split optimizer to prioritize minority class separation without altering input data distributions.</w:t>
      </w:r>
    </w:p>
    <w:p>
      <w:pPr>
        <w:keepNext/>
        <w:spacing w:before="240" w:after="120"/>
      </w:pPr>
      <w:r>
        <w:rPr>
          <w:rFonts w:ascii="Times New Roman" w:hAnsi="Times New Roman"/>
          <w:b/>
          <w:sz w:val="28"/>
        </w:rPr>
        <w:t>2.1.3 Stacking Ensembles and Tree-Based Gradient Boosting</w:t>
      </w:r>
    </w:p>
    <w:p>
      <w:pPr>
        <w:spacing w:line="360" w:lineRule="auto" w:after="120"/>
        <w:jc w:val="both"/>
      </w:pPr>
      <w:r>
        <w:rPr>
          <w:rFonts w:ascii="Times New Roman" w:hAnsi="Times New Roman"/>
          <w:sz w:val="24"/>
        </w:rPr>
        <w:t>Ensemble learning combines predictions from multiple heterogeneous or homogeneous base models to achieve superior predictive generalization and variance reduction compared to any individual constituent classifier.</w:t>
      </w:r>
    </w:p>
    <w:p>
      <w:pPr>
        <w:spacing w:line="360" w:lineRule="auto" w:after="120"/>
        <w:ind w:left="432"/>
      </w:pPr>
      <w:r>
        <w:rPr>
          <w:rFonts w:ascii="Times New Roman" w:hAnsi="Times New Roman"/>
          <w:sz w:val="24"/>
        </w:rPr>
        <w:t>• Bagging (Bootstrap Aggregating): Breiman (1996) formulated Bagging, leading directly to the development of Random Forests (Breiman, 2001). By constructing hundreds of de-correlated decision trees trained on bootstrap samples with random feature sub-selection, Random Forests dramatically reduce model variance while resisting noise.</w:t>
      </w:r>
    </w:p>
    <w:p>
      <w:pPr>
        <w:spacing w:line="360" w:lineRule="auto" w:after="120"/>
        <w:ind w:left="432"/>
      </w:pPr>
      <w:r>
        <w:rPr>
          <w:rFonts w:ascii="Times New Roman" w:hAnsi="Times New Roman"/>
          <w:sz w:val="24"/>
        </w:rPr>
        <w:t>• Gradient Boosting: Friedman (2001) introduced Gradient Boosting Machines (GBM), building additive trees sequentially by fitting each successive tree to the negative gradient (pseudo-residuals) of the loss function.</w:t>
      </w:r>
    </w:p>
    <w:p>
      <w:pPr>
        <w:spacing w:line="360" w:lineRule="auto" w:after="120"/>
        <w:ind w:left="432"/>
      </w:pPr>
      <w:r>
        <w:rPr>
          <w:rFonts w:ascii="Times New Roman" w:hAnsi="Times New Roman"/>
          <w:sz w:val="24"/>
        </w:rPr>
        <w:t>• Modern Gradient Boosted Trees:</w:t>
      </w:r>
    </w:p>
    <w:p>
      <w:pPr>
        <w:spacing w:line="360" w:lineRule="auto" w:after="120"/>
        <w:ind w:left="432"/>
      </w:pPr>
      <w:r>
        <w:rPr>
          <w:rFonts w:ascii="Times New Roman" w:hAnsi="Times New Roman"/>
          <w:sz w:val="24"/>
        </w:rPr>
        <w:t>• XGBoost (Extreme Gradient Boosting): Developed by Chen and Guestrin (2016), XGBoost introduces second-order Taylor expansion approximations of the loss function, sparsity-aware split finding, cache-aware memory access, and built-in $L1$ (Lasso) and $L2$ (Ridge) regularization to prevent overfitting on structured tabular data.</w:t>
      </w:r>
    </w:p>
    <w:p>
      <w:pPr>
        <w:spacing w:line="360" w:lineRule="auto" w:after="120"/>
        <w:ind w:left="432"/>
      </w:pPr>
      <w:r>
        <w:rPr>
          <w:rFonts w:ascii="Times New Roman" w:hAnsi="Times New Roman"/>
          <w:sz w:val="24"/>
        </w:rPr>
        <w:t>• LightGBM: Formulated by Ke et al. (2017), LightGBM introduces Gradient-based One-Side Sampling (GOSS) and Exclusive Feature Bundling (EFB). Unlike traditional level-wise tree growth, LightGBM utilizes leaf-wise (best-first) tree growth with depth constraints, achieving orders-of-magnitude faster training speeds and superior memory efficiency on massive transaction datasets.</w:t>
      </w:r>
    </w:p>
    <w:p>
      <w:pPr>
        <w:spacing w:line="360" w:lineRule="auto" w:after="120"/>
        <w:ind w:left="432"/>
      </w:pPr>
      <w:r>
        <w:rPr>
          <w:rFonts w:ascii="Times New Roman" w:hAnsi="Times New Roman"/>
          <w:sz w:val="24"/>
        </w:rPr>
        <w:t>• Stacking Generalization: Wolpert (1992) formalized Stacking (Stacked Generalization). Unlike bagging (which averages predictions) or boosting (which trains sequential corrections), Stacking trains an ensemble of diverse base classifiers (Level-0), collects their out-of-fold probability predictions to form a meta-feature matrix, and trains a meta-learner (Level-1, typically Logistic Regression or an Elastic Net) to optimize the final decision boundary. In fraud detection, combining structurally diverse algorithms (gradient-boosted trees, bagged forests, and linear meta-learners) produces robust decision boundaries capable of capturing both local non-linear feature splits and global linear trends.</w:t>
      </w:r>
    </w:p>
    <w:p>
      <w:pPr>
        <w:keepNext/>
        <w:spacing w:before="240" w:after="120"/>
      </w:pPr>
      <w:r>
        <w:rPr>
          <w:rFonts w:ascii="Times New Roman" w:hAnsi="Times New Roman"/>
          <w:b/>
          <w:sz w:val="28"/>
        </w:rPr>
        <w:t>2.1.4 Explainable Artificial Intelligence (XAI) in FinTech</w:t>
      </w:r>
    </w:p>
    <w:p>
      <w:pPr>
        <w:spacing w:line="360" w:lineRule="auto" w:after="120"/>
        <w:jc w:val="both"/>
      </w:pPr>
      <w:r>
        <w:rPr>
          <w:rFonts w:ascii="Times New Roman" w:hAnsi="Times New Roman"/>
          <w:sz w:val="24"/>
        </w:rPr>
        <w:t>The deployment of complex non-linear ensemble models in banking operations created the urgent challenge of model opacity. When an algorithm blocks a cardholder's wire transfer or denies a merchant authorization, risk analysts must know the underlying rationale to prevent unfair discrimination, satisfy regulatory inquiries, and combat false positives.</w:t>
      </w:r>
    </w:p>
    <w:p>
      <w:pPr>
        <w:spacing w:line="360" w:lineRule="auto" w:after="120"/>
        <w:ind w:left="432"/>
      </w:pPr>
      <w:r>
        <w:rPr>
          <w:rFonts w:ascii="Times New Roman" w:hAnsi="Times New Roman"/>
          <w:sz w:val="24"/>
        </w:rPr>
        <w:t>1. LIME (Local Interpretable Model-Agnostic Explanations):</w:t>
      </w:r>
    </w:p>
    <w:p>
      <w:pPr>
        <w:spacing w:line="360" w:lineRule="auto" w:after="120"/>
        <w:jc w:val="both"/>
      </w:pPr>
      <w:r>
        <w:rPr>
          <w:rFonts w:ascii="Times New Roman" w:hAnsi="Times New Roman"/>
          <w:sz w:val="24"/>
        </w:rPr>
        <w:t>Ribeiro, Singh, and Guestrin (2016) introduced LIME. For a given complex model $f$ and an instance $\mathbf{x}$, LIME perturbs $\mathbf{x}$ in feature space, queries $f$ to obtain prediction labels for the perturbed points, weights the samples by their exponential proximity kernel $\pi{\mathbf{x}}(\mathbf{z}) = \exp(-D(\mathbf{x}, \mathbf{z})^2 / \sigma^2)$, and trains an interpretable sparse linear surrogate model $g \in G$:</w:t>
      </w:r>
    </w:p>
    <w:p>
      <w:pPr>
        <w:spacing w:line="360" w:lineRule="auto" w:after="120"/>
        <w:jc w:val="both"/>
      </w:pPr>
      <w:r>
        <w:rPr>
          <w:rFonts w:ascii="Times New Roman" w:hAnsi="Times New Roman"/>
          <w:sz w:val="24"/>
        </w:rPr>
        <w:t>$$\xi(\mathbf{x}) = \arg\min{g \in G} \mathcal{L}(f, g, \pi{\mathbf{x}}) + \Omega(g)$$</w:t>
      </w:r>
    </w:p>
    <w:p>
      <w:pPr>
        <w:spacing w:line="360" w:lineRule="auto" w:after="120"/>
        <w:jc w:val="both"/>
      </w:pPr>
      <w:r>
        <w:rPr>
          <w:rFonts w:ascii="Times New Roman" w:hAnsi="Times New Roman"/>
          <w:sz w:val="24"/>
        </w:rPr>
        <w:t>While highly intuitive, LIME suffers from sampling instability (explanations can vary slightly across repeated runs) and high runtime overhead due to runtime Monte Carlo perturbation sampling.</w:t>
      </w:r>
    </w:p>
    <w:p>
      <w:pPr>
        <w:spacing w:line="360" w:lineRule="auto" w:after="120"/>
        <w:ind w:left="432"/>
      </w:pPr>
      <w:r>
        <w:rPr>
          <w:rFonts w:ascii="Times New Roman" w:hAnsi="Times New Roman"/>
          <w:sz w:val="24"/>
        </w:rPr>
        <w:t>2. SHAP (SHapley Additive exPlanations):</w:t>
      </w:r>
    </w:p>
    <w:p>
      <w:pPr>
        <w:spacing w:line="360" w:lineRule="auto" w:after="120"/>
        <w:jc w:val="both"/>
      </w:pPr>
      <w:r>
        <w:rPr>
          <w:rFonts w:ascii="Times New Roman" w:hAnsi="Times New Roman"/>
          <w:sz w:val="24"/>
        </w:rPr>
        <w:t>Lundberg and Lee (2017) unified cooperative game theory and machine learning interpretability by introducing SHAP, rooted in Lloyd Shapley's (1953) axiomatic game theory. SHAP assigns each feature an attribution value representing its contribution to the displacement of the model prediction from the base expected value. SHAP is uniquely grounded in four desirable theoretical properties:</w:t>
      </w:r>
    </w:p>
    <w:p>
      <w:pPr>
        <w:spacing w:line="360" w:lineRule="auto" w:after="120"/>
        <w:ind w:left="432"/>
      </w:pPr>
      <w:r>
        <w:rPr>
          <w:rFonts w:ascii="Times New Roman" w:hAnsi="Times New Roman"/>
          <w:sz w:val="24"/>
        </w:rPr>
        <w:t>• Local Accuracy (Efficiency): $\sum{i=1}^m \phii(\mathbf{x}) = f(\mathbf{x}) - \phi0$.</w:t>
      </w:r>
    </w:p>
    <w:p>
      <w:pPr>
        <w:spacing w:line="360" w:lineRule="auto" w:after="120"/>
        <w:ind w:left="432"/>
      </w:pPr>
      <w:r>
        <w:rPr>
          <w:rFonts w:ascii="Times New Roman" w:hAnsi="Times New Roman"/>
          <w:sz w:val="24"/>
        </w:rPr>
        <w:t>• Missingness: A feature with no impact receives zero attribution.</w:t>
      </w:r>
    </w:p>
    <w:p>
      <w:pPr>
        <w:spacing w:line="360" w:lineRule="auto" w:after="120"/>
        <w:ind w:left="432"/>
      </w:pPr>
      <w:r>
        <w:rPr>
          <w:rFonts w:ascii="Times New Roman" w:hAnsi="Times New Roman"/>
          <w:sz w:val="24"/>
        </w:rPr>
        <w:t>• Consistency (Monotonicity): If a model changes such that a feature's marginal contribution increases or stays the same, its attribution value cannot decrease.</w:t>
      </w:r>
    </w:p>
    <w:p>
      <w:pPr>
        <w:spacing w:line="360" w:lineRule="auto" w:after="120"/>
        <w:ind w:left="432"/>
      </w:pPr>
      <w:r>
        <w:rPr>
          <w:rFonts w:ascii="Times New Roman" w:hAnsi="Times New Roman"/>
          <w:sz w:val="24"/>
        </w:rPr>
        <w:t>• Symmetry: Identical features receive identical attributions.</w:t>
      </w:r>
    </w:p>
    <w:p>
      <w:pPr>
        <w:spacing w:line="360" w:lineRule="auto" w:after="120"/>
        <w:ind w:left="432"/>
      </w:pPr>
      <w:r>
        <w:rPr>
          <w:rFonts w:ascii="Times New Roman" w:hAnsi="Times New Roman"/>
          <w:sz w:val="24"/>
        </w:rPr>
        <w:t>3. TreeSHAP:</w:t>
      </w:r>
    </w:p>
    <w:p>
      <w:pPr>
        <w:spacing w:line="360" w:lineRule="auto" w:after="120"/>
        <w:jc w:val="both"/>
      </w:pPr>
      <w:r>
        <w:rPr>
          <w:rFonts w:ascii="Times New Roman" w:hAnsi="Times New Roman"/>
          <w:sz w:val="24"/>
        </w:rPr>
        <w:t>In 2020, Lundberg et al. formulated TreeSHAP, an exact algorithm optimized specifically for tree ensembles. While general KernelSHAP scales exponentially with feature dimension ($\mathcal{O}(M 2^{|F|})$), TreeSHAP exploits the internal graph topology of decision trees, evaluating all feature subsets simultaneously in polynomial time:</w:t>
      </w:r>
    </w:p>
    <w:p>
      <w:pPr>
        <w:spacing w:line="360" w:lineRule="auto" w:after="120"/>
        <w:jc w:val="both"/>
      </w:pPr>
      <w:r>
        <w:rPr>
          <w:rFonts w:ascii="Times New Roman" w:hAnsi="Times New Roman"/>
          <w:sz w:val="24"/>
        </w:rPr>
        <w:t>$$\mathcal{O}(T L D^2)$$</w:t>
      </w:r>
    </w:p>
    <w:p>
      <w:pPr>
        <w:spacing w:line="360" w:lineRule="auto" w:after="120"/>
        <w:jc w:val="both"/>
      </w:pPr>
      <w:r>
        <w:rPr>
          <w:rFonts w:ascii="Times New Roman" w:hAnsi="Times New Roman"/>
          <w:sz w:val="24"/>
        </w:rPr>
        <w:t>where $T$ is the number of trees, $L$ is the maximum number of leaves, and $D$ is the maximum tree depth. This algorithmic breakthrough enables real-time, sub-50ms exact feature attribution for production transaction scoring.</w:t>
      </w:r>
    </w:p>
    <w:p>
      <w:pPr>
        <w:keepNext/>
        <w:spacing w:before="240" w:after="120"/>
      </w:pPr>
      <w:r>
        <w:rPr>
          <w:rFonts w:ascii="Times New Roman" w:hAnsi="Times New Roman"/>
          <w:b/>
          <w:sz w:val="28"/>
        </w:rPr>
        <w:t>2.1.5 Graph Analytics and Syndicate Ring Detection</w:t>
      </w:r>
    </w:p>
    <w:p>
      <w:pPr>
        <w:spacing w:line="360" w:lineRule="auto" w:after="120"/>
        <w:jc w:val="both"/>
      </w:pPr>
      <w:r>
        <w:rPr>
          <w:rFonts w:ascii="Times New Roman" w:hAnsi="Times New Roman"/>
          <w:sz w:val="24"/>
        </w:rPr>
        <w:t>While tabular machine learning analyzes individual transactions in isolation, modern organized cybercrime relies on collaborative networks: mule accounts, smurfing rings, and synthetic identity clusters.</w:t>
      </w:r>
    </w:p>
    <w:p>
      <w:pPr>
        <w:spacing w:line="360" w:lineRule="auto" w:after="120"/>
        <w:jc w:val="both"/>
      </w:pPr>
      <w:r>
        <w:rPr>
          <w:rFonts w:ascii="Times New Roman" w:hAnsi="Times New Roman"/>
          <w:sz w:val="24"/>
        </w:rPr>
        <w:t>Akoglu, Chandy, and Faloutsos (2015) conducted an exhaustive survey on graph-based anomaly detection, demonstrating that financial transactions naturally map to directed, weighted multi-graphs:</w:t>
      </w:r>
    </w:p>
    <w:p>
      <w:pPr>
        <w:spacing w:line="360" w:lineRule="auto" w:after="120"/>
        <w:jc w:val="both"/>
      </w:pPr>
      <w:r>
        <w:rPr>
          <w:rFonts w:ascii="Times New Roman" w:hAnsi="Times New Roman"/>
          <w:sz w:val="24"/>
        </w:rPr>
        <w:t>$$\mathcal{G} = (\mathcal{V}, \mathcal{E}, \mathcal{W})$$</w:t>
      </w:r>
    </w:p>
    <w:p>
      <w:pPr>
        <w:spacing w:line="360" w:lineRule="auto" w:after="120"/>
        <w:jc w:val="both"/>
      </w:pPr>
      <w:r>
        <w:rPr>
          <w:rFonts w:ascii="Times New Roman" w:hAnsi="Times New Roman"/>
          <w:sz w:val="24"/>
        </w:rPr>
        <w:t>where vertices $\mathcal{V}$ represent account entities (cardholders, merchants, bank accounts), directed edges $\mathcal{E} \subseteq \mathcal{V} \times \mathcal{V}$ represent fund transfers, and edge weights $\mathcal{W}$ denote transaction amounts and timestamps.</w:t>
      </w:r>
    </w:p>
    <w:p>
      <w:pPr>
        <w:spacing w:line="360" w:lineRule="auto" w:after="120"/>
        <w:jc w:val="both"/>
      </w:pPr>
      <w:r>
        <w:rPr>
          <w:rFonts w:ascii="Times New Roman" w:hAnsi="Times New Roman"/>
          <w:sz w:val="24"/>
        </w:rPr>
        <w:t>In financial money laundering, circular routing ($A \rightarrow B \rightarrow C \rightarrow A$) is a classic evasion topology used to obfuscate the illicit origin of stolen funds. Traditional relational databases cannot query multi-hop cyclic paths efficiently. By applying Tarjan’s Strongly Connected Components algorithm and Johnson’s elementary cycle-finding algorithm via in-memory graph engines (such as NetworkX), detection systems can uncover complex money laundering loops in real time.</w:t>
      </w:r>
    </w:p>
    <w:p>
      <w:pPr>
        <w:keepNext/>
        <w:spacing w:before="240" w:after="120"/>
      </w:pPr>
      <w:r>
        <w:rPr>
          <w:rFonts w:ascii="Times New Roman" w:hAnsi="Times New Roman"/>
          <w:b/>
          <w:sz w:val="28"/>
        </w:rPr>
        <w:t>2.1.6 Federated Learning in Financial Systems</w:t>
      </w:r>
    </w:p>
    <w:p>
      <w:pPr>
        <w:spacing w:line="360" w:lineRule="auto" w:after="120"/>
        <w:jc w:val="both"/>
      </w:pPr>
      <w:r>
        <w:rPr>
          <w:rFonts w:ascii="Times New Roman" w:hAnsi="Times New Roman"/>
          <w:sz w:val="24"/>
        </w:rPr>
        <w:t>Financial institutions are legally restricted by data privacy regulations (e.g., GDPR, PCI-DSS, Bank Secrecy Act) from sharing raw transaction records and cardholder PII with external competitors. However, fraudsters frequently exploit this information silo by launching coordinated, multi-bank card testing and account takeover campaigns across several institutions simultaneously.</w:t>
      </w:r>
    </w:p>
    <w:p>
      <w:pPr>
        <w:spacing w:line="360" w:lineRule="auto" w:after="120"/>
        <w:jc w:val="both"/>
      </w:pPr>
      <w:r>
        <w:rPr>
          <w:rFonts w:ascii="Times New Roman" w:hAnsi="Times New Roman"/>
          <w:sz w:val="24"/>
        </w:rPr>
        <w:t>McMahan et al. (2017) pioneered Federated Learning (FL) with the Federated Averaging (FedAvg) algorithm. In a federated ecosystem, $K$ distinct banking nodes train local models on their proprietary internal transaction data $\mathcal{D}k$. Rather than transmitting raw transactions to a centralized repository, each bank computes local gradient parameter updates $\mathbf{w}t^k$ and transmits only encrypted model weights to a central coordinator. The coordinator aggregates the weights:</w:t>
      </w:r>
    </w:p>
    <w:p>
      <w:pPr>
        <w:spacing w:line="360" w:lineRule="auto" w:after="120"/>
        <w:jc w:val="both"/>
      </w:pPr>
      <w:r>
        <w:rPr>
          <w:rFonts w:ascii="Times New Roman" w:hAnsi="Times New Roman"/>
          <w:sz w:val="24"/>
        </w:rPr>
        <w:t>$$\mathbf{w}{t+1} = \sum{k=1}^K \frac{nk}{N} \mathbf{w}t^k$$</w:t>
      </w:r>
    </w:p>
    <w:p>
      <w:pPr>
        <w:spacing w:line="360" w:lineRule="auto" w:after="120"/>
        <w:jc w:val="both"/>
      </w:pPr>
      <w:r>
        <w:rPr>
          <w:rFonts w:ascii="Times New Roman" w:hAnsi="Times New Roman"/>
          <w:sz w:val="24"/>
        </w:rPr>
        <w:t>and broadcasts the updated global model back to participating institutions. Yang et al. (2019) formalized Federated Machine Learning concepts, showing that Horizontal Federated Learning enables banking consortiums to collaboratively train robust fraud classifiers that detect cross-bank attack campaigns while strictly preserving customer privacy and regulatory compliance.</w:t>
      </w:r>
    </w:p>
    <w:p>
      <w:pPr>
        <w:keepNext/>
        <w:spacing w:before="240" w:after="120"/>
      </w:pPr>
      <w:r>
        <w:rPr>
          <w:rFonts w:ascii="Times New Roman" w:hAnsi="Times New Roman"/>
          <w:b/>
          <w:sz w:val="28"/>
        </w:rPr>
        <w:t>2.1.7 Comprehensive Literature Survey Matrix</w:t>
      </w:r>
    </w:p>
    <w:p>
      <w:pPr>
        <w:spacing w:line="360" w:lineRule="auto" w:after="120"/>
        <w:jc w:val="both"/>
      </w:pPr>
      <w:r>
        <w:rPr>
          <w:rFonts w:ascii="Times New Roman" w:hAnsi="Times New Roman"/>
          <w:sz w:val="24"/>
        </w:rPr>
        <w:t>The following matrix synthesizes fifteen benchmark academic studies across fraud detection methodologies, highlighting their key contributions, datasets utilized, algorithms deployed, and identified engineering gaps: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125"/>
        <w:gridCol w:w="1125"/>
        <w:gridCol w:w="1125"/>
        <w:gridCol w:w="1125"/>
        <w:gridCol w:w="1125"/>
        <w:gridCol w:w="1125"/>
        <w:gridCol w:w="1125"/>
        <w:gridCol w:w="1125"/>
      </w:tblGrid>
      <w:tr>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Ref.</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Authors &amp; Year</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Publication Venue</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Core Contribution</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Datasets Used</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Algorithms Evaluated</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Performance Achieved</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Critical Limitations &amp; Research Gaps</w:t>
            </w:r>
          </w:p>
        </w:tc>
      </w:tr>
      <w:tr>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[1]</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Dal Pozzolo et al. (2015)</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IEEE CIM</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Investigated concept drift and class imbalance in credit card streams.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European Credit Card (284k txn)</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Random Forest, SVM, Logistic Regression</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PR-AUC: 0.74, ROC-AUC: 0.94</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No real-time explainability; single classifiers without stacking meta-learner.</w:t>
            </w:r>
          </w:p>
        </w:tc>
      </w:tr>
      <w:tr>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[2]</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Carcillo et al. (2018)</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Information Sciences</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Combined active learning and semi-supervised streaming fraud detection.</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Real Banking Streams (45M txn)</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Ensemble Random Forest, Active Sampling</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Recall: 78.4%, FPR: 1.2%</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Heavy computational latency; opaque black-box predictions; no regulatory reason codes.</w:t>
            </w:r>
          </w:p>
        </w:tc>
      </w:tr>
      <w:tr>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[3]</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Chawla et al. (2002)</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JAIR</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Introduced SMOTE synthetic oversampling for imbalanced data.</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Synthetic &amp; Public Benchmarks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C4.5 Decision Trees, Naive Bayes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Significant ROC-AUC improvement</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Overgeneralizes across boundary noise; lacks calibration for tree gradient boosters.</w:t>
            </w:r>
          </w:p>
        </w:tc>
      </w:tr>
      <w:tr>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[4]</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He et al. (2008)</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IEEE IJCNN</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Formulated ADASYN adaptive synthetic sampling.</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UCI Benchmark Datasets</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Decision Trees, SVM</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G-Mean: 84.2%</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Can synthesize extreme outliers in high-dimensional PCA financial spaces.</w:t>
            </w:r>
          </w:p>
        </w:tc>
      </w:tr>
      <w:tr>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[5]</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Chen &amp; Guestrin (2016)</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ACM KDD</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Introduced XGBoost gradient boosting framework.</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Higgs, Yahoo, Tabular Benchmarks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XGBoost, LightGBM, Random Forest</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State-of-the-art tabular accuracy</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Lacks integrated XAI explanations; raw scores suffer from extreme probability polarization.</w:t>
            </w:r>
          </w:p>
        </w:tc>
      </w:tr>
      <w:tr>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[6]</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Ke et al. (2017)</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NeurIPS</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Developed LightGBM with GOSS and EFB algorithms.</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Flight, Yahoo, Microsoft LETOR</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LightGBM, XGBoost</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20x speedup over standard GBM</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Leaf-wise growth can overfit small minority fraud classes if unweighted.</w:t>
            </w:r>
          </w:p>
        </w:tc>
      </w:tr>
      <w:tr>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[7]</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Wolpert (1992)</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Neural Networks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Formulated Stacking Generalization principles.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Theoretical &amp; Multi-Task</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Heterogeneous Multi-Classifiers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Superior meta-generalization</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High architectural complexity; requires specialized microservices for fast inference.</w:t>
            </w:r>
          </w:p>
        </w:tc>
      </w:tr>
      <w:tr>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[8]</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Lundberg &amp; Lee (2017)</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NeurIPS</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Formulated SHAP game-theoretic unified framework.</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Tabular, Image, Text</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KernelSHAP, DeepSHAP</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Exact axiomatic attribution</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KernelSHAP is computationally prohibitive for real-time sub-100ms API inference.</w:t>
            </w:r>
          </w:p>
        </w:tc>
      </w:tr>
      <w:tr>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[9]</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Lundberg et al. (2020)</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Nature Machine Intelligence</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Developed TreeSHAP for polynomial-time tree interpretability.</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Medical &amp; Financial Tabular Data</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TreeSHAP with XGBoost/LGBM</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Exact local explanations in ms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Focused strictly on static offline analysis; no translation to FCRA reason codes.</w:t>
            </w:r>
          </w:p>
        </w:tc>
      </w:tr>
      <w:tr>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[10]</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Ribeiro et al. (2016)</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ACM KDD</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Developed LIME local surrogate explanations.</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Image, Text, Tabular</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Sparse Linear Surrogates</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Interpretable local weights</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High sampling instability; sensitive to perturbation kernel width $\sigma$.</w:t>
            </w:r>
          </w:p>
        </w:tc>
      </w:tr>
      <w:tr>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[11]</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Lopez-Rojas et al. (2016)</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EMSS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Developed PaySim synthetic mobile money simulator.</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PaySim Mobile Logs (6.3M txn)</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Baseline Decision Trees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Accuracy: 98.2%</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Initial baseline models omitted balance delta equations and stacking ensembles.</w:t>
            </w:r>
          </w:p>
        </w:tc>
      </w:tr>
      <w:tr>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[12]</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Akoglu et al. (2015)</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ACM TKDD</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Comprehensive survey of graph-based anomaly detection.</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Social &amp; Financial Graphs</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PageRank, HITS, Graph Walk</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High detection of network rings</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Relational graph databases incur massive query latency under live streaming loads.</w:t>
            </w:r>
          </w:p>
        </w:tc>
      </w:tr>
      <w:tr>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[13]</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McMahan et al. (2017)</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AISTATS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Formulated Federated Averaging (FedAvg) distributed learning.</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MNIST, CIFAR, Language Models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Distributed SGD, FedAvg</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Robust global convergence</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Did not address extreme financial class imbalance across non-IID bank nodes.</w:t>
            </w:r>
          </w:p>
        </w:tc>
      </w:tr>
      <w:tr>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[14]</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Yang et al. (2019)</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ACM TIST</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Established Horizontal &amp; Vertical Federated Learning taxonomy.</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FinTech &amp; Enterprise Systems</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Secure Aggregation, Split Learning</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High privacy preservation</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Theoretical framework; lacks complete open-source microservice reference implementation.</w:t>
            </w:r>
          </w:p>
        </w:tc>
      </w:tr>
      <w:tr>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[15]</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European Commission (2024)</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Official EU Journal</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Promulgated the EU Artificial Intelligence Act.</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Regulatory Compliance Document</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Legal &amp; Compliance Standards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Mandated transparency</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Establishes strict legal mandates but provides no engineering code implementation.</w:t>
            </w:r>
          </w:p>
        </w:tc>
      </w:tr>
    </w:tbl>
    <w:p>
      <w:pPr>
        <w:spacing w:after="120"/>
      </w:pPr>
    </w:p>
    <w:p>
      <w:pPr>
        <w:keepNext/>
        <w:spacing w:before="280" w:after="160"/>
      </w:pPr>
      <w:r>
        <w:rPr>
          <w:rFonts w:ascii="Times New Roman" w:hAnsi="Times New Roman"/>
          <w:b/>
          <w:sz w:val="32"/>
        </w:rPr>
        <w:t>2.2 Limitations of Existing System &amp; Gap Analysis</w:t>
      </w:r>
    </w:p>
    <w:p>
      <w:pPr>
        <w:keepNext/>
        <w:spacing w:before="240" w:after="120"/>
      </w:pPr>
      <w:r>
        <w:rPr>
          <w:rFonts w:ascii="Times New Roman" w:hAnsi="Times New Roman"/>
          <w:b/>
          <w:sz w:val="28"/>
        </w:rPr>
        <w:t>2.2.1 Critical Review of Contemporary Production Architectures</w:t>
      </w:r>
    </w:p>
    <w:p>
      <w:pPr>
        <w:spacing w:line="360" w:lineRule="auto" w:after="120"/>
        <w:jc w:val="both"/>
      </w:pPr>
      <w:r>
        <w:rPr>
          <w:rFonts w:ascii="Times New Roman" w:hAnsi="Times New Roman"/>
          <w:sz w:val="24"/>
        </w:rPr>
        <w:t>Current industrial fraud detection solutions deployed across tier-1 banks and payment gateways are characterized by fractured, siloed architectures. Organizations typically run a patchwork of legacy rule engines (e.g., FICO Falcon, Actimize) coupled with disconnected, offline analytical models developed in isolation by data science teams.</w:t>
      </w:r>
    </w:p>
    <w:p>
      <w:pPr>
        <w:spacing w:line="360" w:lineRule="auto" w:after="120"/>
        <w:jc w:val="both"/>
      </w:pPr>
      <w:r>
        <w:rPr>
          <w:rFonts w:ascii="Times New Roman" w:hAnsi="Times New Roman"/>
          <w:sz w:val="24"/>
        </w:rPr>
        <w:t>An objective examination of these architectures exposes several fundamental vulnerabilities:</w:t>
      </w:r>
    </w:p>
    <w:p>
      <w:pPr>
        <w:spacing w:line="360" w:lineRule="auto" w:after="120"/>
        <w:ind w:left="432"/>
      </w:pPr>
      <w:r>
        <w:rPr>
          <w:rFonts w:ascii="Times New Roman" w:hAnsi="Times New Roman"/>
          <w:sz w:val="24"/>
        </w:rPr>
        <w:t>1. The Dichotomy Between Rules and Machine Learning:</w:t>
      </w:r>
    </w:p>
    <w:p>
      <w:pPr>
        <w:spacing w:line="360" w:lineRule="auto" w:after="120"/>
        <w:jc w:val="both"/>
      </w:pPr>
      <w:r>
        <w:rPr>
          <w:rFonts w:ascii="Times New Roman" w:hAnsi="Times New Roman"/>
          <w:sz w:val="24"/>
        </w:rPr>
        <w:t>Traditional banks force a binary separation: transaction traffic passes first through a legacy rule engine; if a transaction passes without triggering a rule, it is either authorized immediately or sent to an asynchronous offline batch queue for machine learning scoring. This disjointed architecture fails because:</w:t>
      </w:r>
    </w:p>
    <w:p>
      <w:pPr>
        <w:spacing w:line="360" w:lineRule="auto" w:after="120"/>
        <w:ind w:left="432"/>
      </w:pPr>
      <w:r>
        <w:rPr>
          <w:rFonts w:ascii="Times New Roman" w:hAnsi="Times New Roman"/>
          <w:sz w:val="24"/>
        </w:rPr>
        <w:t>• Modern complex attacks easily bypass simplistic rule thresholds.</w:t>
      </w:r>
    </w:p>
    <w:p>
      <w:pPr>
        <w:spacing w:line="360" w:lineRule="auto" w:after="120"/>
        <w:ind w:left="432"/>
      </w:pPr>
      <w:r>
        <w:rPr>
          <w:rFonts w:ascii="Times New Roman" w:hAnsi="Times New Roman"/>
          <w:sz w:val="24"/>
        </w:rPr>
        <w:t>• Batch ML scoring happens after funds have already cleared, turning fraud prevention into a reactive loss-recovery effort.</w:t>
      </w:r>
    </w:p>
    <w:p>
      <w:pPr>
        <w:spacing w:line="360" w:lineRule="auto" w:after="120"/>
        <w:ind w:left="432"/>
      </w:pPr>
      <w:r>
        <w:rPr>
          <w:rFonts w:ascii="Times New Roman" w:hAnsi="Times New Roman"/>
          <w:sz w:val="24"/>
        </w:rPr>
        <w:t>• Updating rule tables requires manual sign-offs and extensive regression testing, taking weeks to respond to emerging attack vectors.</w:t>
      </w:r>
    </w:p>
    <w:p>
      <w:pPr>
        <w:spacing w:line="360" w:lineRule="auto" w:after="120"/>
        <w:ind w:left="432"/>
      </w:pPr>
      <w:r>
        <w:rPr>
          <w:rFonts w:ascii="Times New Roman" w:hAnsi="Times New Roman"/>
          <w:sz w:val="24"/>
        </w:rPr>
        <w:t>2. Extreme Score Polarization and Analyst Queue Starvation:</w:t>
      </w:r>
    </w:p>
    <w:p>
      <w:pPr>
        <w:spacing w:line="360" w:lineRule="auto" w:after="120"/>
        <w:jc w:val="both"/>
      </w:pPr>
      <w:r>
        <w:rPr>
          <w:rFonts w:ascii="Times New Roman" w:hAnsi="Times New Roman"/>
          <w:sz w:val="24"/>
        </w:rPr>
        <w:t>Standard gradient boosted models trained on imbalanced data yield raw probabilities clustered tightly at $0.000$ and $1.000$. Consequently, transactions are classified as either definitely safe or definitely fraudulent. In reality, modern attacks operate in grey zones: an authenticated cardholder making an unusually large purchase from a new device while traveling. By polarizing scores, standard models eliminate the intermediate risk tier, depriving banks of the opportunity to trigger step-up two-factor authentication (2FA) or route borderline transactions to specialized fraud analysts.</w:t>
      </w:r>
    </w:p>
    <w:p>
      <w:pPr>
        <w:spacing w:line="360" w:lineRule="auto" w:after="120"/>
        <w:ind w:left="432"/>
      </w:pPr>
      <w:r>
        <w:rPr>
          <w:rFonts w:ascii="Times New Roman" w:hAnsi="Times New Roman"/>
          <w:sz w:val="24"/>
        </w:rPr>
        <w:t>3. Total Absence of Inline Regulatory Transparency:</w:t>
      </w:r>
    </w:p>
    <w:p>
      <w:pPr>
        <w:spacing w:line="360" w:lineRule="auto" w:after="120"/>
        <w:jc w:val="both"/>
      </w:pPr>
      <w:r>
        <w:rPr>
          <w:rFonts w:ascii="Times New Roman" w:hAnsi="Times New Roman"/>
          <w:sz w:val="24"/>
        </w:rPr>
        <w:t>When a black-box model blocks a customer's transaction, current production platforms return a generic error code (e.g., DECLINE: ERRORCODE51). Under GDPR Article 22, California Consumer Privacy Act (CCPA), and FCRA Section 615(a), consumers have the legal right to receive specific reasons explaining why an adverse decision was rendered. Banking support staff are currently unable to answer customer inquiries because the underlying AI provides no feature attribution.</w:t>
      </w:r>
    </w:p>
    <w:p>
      <w:pPr>
        <w:spacing w:line="360" w:lineRule="auto" w:after="120"/>
        <w:ind w:left="432"/>
      </w:pPr>
      <w:r>
        <w:rPr>
          <w:rFonts w:ascii="Times New Roman" w:hAnsi="Times New Roman"/>
          <w:sz w:val="24"/>
        </w:rPr>
        <w:t>4. Vulnerability to Coordinated Syndicate Rings:</w:t>
      </w:r>
    </w:p>
    <w:p>
      <w:pPr>
        <w:spacing w:line="360" w:lineRule="auto" w:after="120"/>
        <w:jc w:val="both"/>
      </w:pPr>
      <w:r>
        <w:rPr>
          <w:rFonts w:ascii="Times New Roman" w:hAnsi="Times New Roman"/>
          <w:sz w:val="24"/>
        </w:rPr>
        <w:t>Tabular machine learning models treat each transaction as an independent, identically distributed ($i.i.d.$) point in vector space. They evaluate a transaction based solely on its immediate attributes (e.g., amount, time, user ID). They are completely blind to topological graph structures: such as an account receiving twenty $500 transfers from diverse sources and immediately aggregating them into a single $10,000 transfer to an offshore entity (classic money mule structuring).</w:t>
      </w:r>
    </w:p>
    <w:p>
      <w:pPr>
        <w:spacing w:line="360" w:lineRule="auto" w:after="120"/>
        <w:ind w:left="432"/>
      </w:pPr>
      <w:r>
        <w:rPr>
          <w:rFonts w:ascii="Times New Roman" w:hAnsi="Times New Roman"/>
          <w:sz w:val="24"/>
        </w:rPr>
        <w:t>5. Inability to Withstand Covariate Concept Drift:</w:t>
      </w:r>
    </w:p>
    <w:p>
      <w:pPr>
        <w:spacing w:line="360" w:lineRule="auto" w:after="120"/>
        <w:jc w:val="both"/>
      </w:pPr>
      <w:r>
        <w:rPr>
          <w:rFonts w:ascii="Times New Roman" w:hAnsi="Times New Roman"/>
          <w:sz w:val="24"/>
        </w:rPr>
        <w:t>Financial data distributions are inherently non-stationary. Consumer purchasing patterns change dramatically during holiday shopping seasons, macroeconomic inflation, or promotional events. Simultaneously, cybercriminals constantly alter their evasion tactics once an existing vector is closed. Standard production systems have no automated mechanism to measure feature distribution divergence, leading to silent model performance degradation.</w:t>
      </w:r>
    </w:p>
    <w:p>
      <w:pPr>
        <w:keepNext/>
        <w:spacing w:before="240" w:after="120"/>
      </w:pPr>
      <w:r>
        <w:rPr>
          <w:rFonts w:ascii="Times New Roman" w:hAnsi="Times New Roman"/>
          <w:b/>
          <w:sz w:val="28"/>
        </w:rPr>
        <w:t>2.2.2 Comparative Analysis: Legacy vs. Current ML vs. FraudShield AI</w:t>
      </w:r>
    </w:p>
    <w:p>
      <w:pPr>
        <w:spacing w:line="360" w:lineRule="auto" w:after="120"/>
        <w:jc w:val="both"/>
      </w:pPr>
      <w:r>
        <w:rPr>
          <w:rFonts w:ascii="Times New Roman" w:hAnsi="Times New Roman"/>
          <w:sz w:val="24"/>
        </w:rPr>
        <w:t>The following table provides a comprehensive multi-dimensional comparison contrasting traditional legacy rule engines, conventional machine learning models, and the proposed FraudShield AI architecture: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250"/>
        <w:gridCol w:w="2250"/>
        <w:gridCol w:w="2250"/>
        <w:gridCol w:w="2250"/>
      </w:tblGrid>
      <w:tr>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Architectural Dimension</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Legacy Rule-Based Systems (e.g., Falcon v1)</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Conventional Black-Box ML (e.g., Standalone XGBoost)</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Proposed FraudShield AI Platform</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Detection Methodology</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Hardcoded Boolean threshold conditions.</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Single-classifier statistical probability learning.</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Multi-Domain Hybrid Stacking Ensemble (XGB+LGBM+RF+Meta).</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Handling of Imbalance</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Manual threshold tuning; unweighted.</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Basic undersampling or unweighted cost function.</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Dynamic scaleposweight + OmniSMOTE oversampling.</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False Positive Rate (FPR)</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Extremely high ($85\% - 95\%$).</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Moderate ($15\% - 25\%$).</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Ultra-low ($&lt; 5.7\%$ on complex PCA vectors; $0\%$ on mobile money).</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Decision Spectrum</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Binary (PASS or FAIL).</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Highly polarized raw probabilities ($0.0$ or $1.0$).</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Continuous Calibrated Risk Score ($0\%-100\%$) across 3 Tiers.</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Triage &amp; Human-in-the-Loop</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Rigid alert queues without context.</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Queue starved due to probability polarization.</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Nuanced NEEDS REVIEW Tier ($45\%-75\%$) for targeted 2FA/Analyst review.</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Model Interpretability</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Transparent but simplistic (shows rule).</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Completely opaque "black box".</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Real-Time TreeSHAP feature attributions + Local Waterfall Plots.</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Regulatory Compliance</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Partial (auditable rules, but brittle).</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Non-Compliant (Violates GDPR Art 22 &amp; FCRA).</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100% Compliant (Automated FCRA Adverse Action Reason Codes).</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Graph Syndicate Detection</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None (evaluates individual records).</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None (treats data as isolated vectors).</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In-Memory NetworkX Cycle Detection &amp; Mule Ring Clustering.</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Drift &amp; Degradation Audit</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Manual rule inspection after loss spikes.</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None (requires periodic manual retraining).</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Automated 2-Sample KS-Tests &amp; Population Stability Index (PSI).</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Inter-Bank Collaboration</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Centralized fraud lists (blacklist sharing).</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None (data privacy prevents model sharing).</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Decentralized Federated Learning (FedAvg) Collaborative Defense.</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Inference Latency SLA</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Sub-10ms (simplistic lookups).</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50ms - 200ms (unoptimized Python).</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$&lt; 100\text{ms}$ (Asynchronous FastAPI microservices with caching).</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User &amp; Analyst Interface</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Clunky legacy green-screen terminal.</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Static Jupyter Notebooks or basic tables.</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Interactive Modern SPA (React 19 + Vite 6 + Tailwind CSS).</w:t>
            </w:r>
          </w:p>
        </w:tc>
      </w:tr>
    </w:tbl>
    <w:p>
      <w:pPr>
        <w:spacing w:after="120"/>
      </w:pPr>
    </w:p>
    <w:p>
      <w:pPr>
        <w:keepNext/>
        <w:spacing w:before="240" w:after="120"/>
      </w:pPr>
      <w:r>
        <w:rPr>
          <w:rFonts w:ascii="Times New Roman" w:hAnsi="Times New Roman"/>
          <w:b/>
          <w:sz w:val="28"/>
        </w:rPr>
        <w:t>2.2.3 Root Cause Analysis: 5-Why and Ishikawa (Fishbone) Analysis</w:t>
      </w:r>
    </w:p>
    <w:p>
      <w:pPr>
        <w:spacing w:line="360" w:lineRule="auto" w:after="120"/>
        <w:jc w:val="both"/>
      </w:pPr>
      <w:r>
        <w:rPr>
          <w:rFonts w:ascii="Times New Roman" w:hAnsi="Times New Roman"/>
          <w:sz w:val="24"/>
        </w:rPr>
        <w:t>To trace operational failures in modern fraud management down to their fundamental architectural root causes, two systematic engineering methodologies were conducted: 5-Why Analysis and Ishikawa (Fishbone) Diagram Formulation.</w:t>
      </w:r>
    </w:p>
    <w:p>
      <w:pPr>
        <w:keepNext/>
        <w:spacing w:before="200" w:after="80"/>
      </w:pPr>
      <w:r>
        <w:rPr>
          <w:rFonts w:ascii="Times New Roman" w:hAnsi="Times New Roman"/>
          <w:b/>
          <w:sz w:val="24"/>
        </w:rPr>
        <w:t>2.2.3.1 5-Why Root Cause Analysis</w:t>
      </w:r>
    </w:p>
    <w:p>
      <w:pPr>
        <w:spacing w:line="360" w:lineRule="auto" w:after="120"/>
        <w:ind w:left="432"/>
      </w:pPr>
      <w:r>
        <w:rPr>
          <w:rFonts w:ascii="Times New Roman" w:hAnsi="Times New Roman"/>
          <w:sz w:val="24"/>
        </w:rPr>
        <w:t>• Why 1: Why do financial institutions continue to experience tens of billions of dollars in annual unrecovered fraud losses?</w:t>
      </w:r>
    </w:p>
    <w:p>
      <w:pPr>
        <w:spacing w:line="360" w:lineRule="auto" w:after="120"/>
        <w:jc w:val="both"/>
      </w:pPr>
      <w:r>
        <w:rPr>
          <w:rFonts w:ascii="Times New Roman" w:hAnsi="Times New Roman"/>
          <w:sz w:val="24"/>
        </w:rPr>
        <w:t>Because existing production platforms fail to block sophisticated, non-linear, multi-channel fraud patterns in real time.</w:t>
      </w:r>
    </w:p>
    <w:p>
      <w:pPr>
        <w:spacing w:line="360" w:lineRule="auto" w:after="120"/>
        <w:ind w:left="432"/>
      </w:pPr>
      <w:r>
        <w:rPr>
          <w:rFonts w:ascii="Times New Roman" w:hAnsi="Times New Roman"/>
          <w:sz w:val="24"/>
        </w:rPr>
        <w:t>• Why 2: Why do production platforms fail to detect these dynamic fraud patterns?</w:t>
      </w:r>
    </w:p>
    <w:p>
      <w:pPr>
        <w:spacing w:line="360" w:lineRule="auto" w:after="120"/>
        <w:jc w:val="both"/>
      </w:pPr>
      <w:r>
        <w:rPr>
          <w:rFonts w:ascii="Times New Roman" w:hAnsi="Times New Roman"/>
          <w:sz w:val="24"/>
        </w:rPr>
        <w:t>Because they rely heavily on static rule-based thresholds and standalone single-model classifiers that cannot adapt to non-stationary fraud strategies.</w:t>
      </w:r>
    </w:p>
    <w:p>
      <w:pPr>
        <w:spacing w:line="360" w:lineRule="auto" w:after="120"/>
        <w:ind w:left="432"/>
      </w:pPr>
      <w:r>
        <w:rPr>
          <w:rFonts w:ascii="Times New Roman" w:hAnsi="Times New Roman"/>
          <w:sz w:val="24"/>
        </w:rPr>
        <w:t>• Why 3: Why do standard machine learning classifiers fail to generalize effectively in live banking streams?</w:t>
      </w:r>
    </w:p>
    <w:p>
      <w:pPr>
        <w:spacing w:line="360" w:lineRule="auto" w:after="120"/>
        <w:jc w:val="both"/>
      </w:pPr>
      <w:r>
        <w:rPr>
          <w:rFonts w:ascii="Times New Roman" w:hAnsi="Times New Roman"/>
          <w:sz w:val="24"/>
        </w:rPr>
        <w:t>Because extreme class imbalance causes models to heavily prioritize the majority non-fraud class, resulting in missed fraud (low recall) and high false positive rates.</w:t>
      </w:r>
    </w:p>
    <w:p>
      <w:pPr>
        <w:spacing w:line="360" w:lineRule="auto" w:after="120"/>
        <w:ind w:left="432"/>
      </w:pPr>
      <w:r>
        <w:rPr>
          <w:rFonts w:ascii="Times New Roman" w:hAnsi="Times New Roman"/>
          <w:sz w:val="24"/>
        </w:rPr>
        <w:t>• Why 4: Why are banking fraud analysts unable to promptly verify, explain, or override automated fraud classifications?</w:t>
      </w:r>
    </w:p>
    <w:p>
      <w:pPr>
        <w:spacing w:line="360" w:lineRule="auto" w:after="120"/>
        <w:jc w:val="both"/>
      </w:pPr>
      <w:r>
        <w:rPr>
          <w:rFonts w:ascii="Times New Roman" w:hAnsi="Times New Roman"/>
          <w:sz w:val="24"/>
        </w:rPr>
        <w:t>Because advanced gradient boosted models and deep neural networks operate as opaque black boxes that emit uncalibrated probabilities without human-understandable feature attributions.</w:t>
      </w:r>
    </w:p>
    <w:p>
      <w:pPr>
        <w:spacing w:line="360" w:lineRule="auto" w:after="120"/>
        <w:ind w:left="432"/>
      </w:pPr>
      <w:r>
        <w:rPr>
          <w:rFonts w:ascii="Times New Roman" w:hAnsi="Times New Roman"/>
          <w:sz w:val="24"/>
        </w:rPr>
        <w:t>• Why 5: Why has the financial sector not unified calibrated stacking ensembles, explainable AI, graph intelligence, and real-time streaming interfaces?</w:t>
      </w:r>
    </w:p>
    <w:p>
      <w:pPr>
        <w:spacing w:line="360" w:lineRule="auto" w:after="120"/>
        <w:jc w:val="both"/>
      </w:pPr>
      <w:r>
        <w:rPr>
          <w:rFonts w:ascii="Times New Roman" w:hAnsi="Times New Roman"/>
          <w:sz w:val="24"/>
        </w:rPr>
        <w:t>Because existing software solutions are developed in isolated silos—data scientists train models in offline notebooks, network engineers maintain separate relational databases, and compliance officers manage manual regulatory paperwork—lacking a unified, full-stack microservice reference architecture.</w:t>
      </w:r>
    </w:p>
    <w:p>
      <w:pPr>
        <w:keepNext/>
        <w:spacing w:before="200" w:after="80"/>
      </w:pPr>
      <w:r>
        <w:rPr>
          <w:rFonts w:ascii="Times New Roman" w:hAnsi="Times New Roman"/>
          <w:b/>
          <w:sz w:val="24"/>
        </w:rPr>
        <w:t>2.2.3.2 Ishikawa (Fishbone) Root Cause Diagram</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 xml:space="preserve">                 ISHIKAWA (FISHBONE) DIAGRAM: CAUSES OF INEFFECTIVE FRAUD DEFENSE</w:t>
              <w:br/>
              <w:br/>
              <w:t xml:space="preserve">    METHOD (Detection Pipeline)           MATERIAL (Transaction Data)           MACHINE (Compute &amp; Infra)</w:t>
              <w:br/>
              <w:t xml:space="preserve">    ───────────────────────────           ───────────────────────────           ─────────────────────────</w:t>
              <w:br/>
              <w:t xml:space="preserve">    • Static hardcoded rules              • Extreme class imbalance             • High inference latency</w:t>
              <w:br/>
              <w:t xml:space="preserve">    • Single classifier reliance          • High-dimensional anonymized PCA      • Legacy batch architectures</w:t>
              <w:br/>
              <w:t xml:space="preserve">    • Lack of ensemble diversity          • Non-stationary concept drift        • Lack of async streaming APIs</w:t>
              <w:br/>
              <w:t xml:space="preserve">    • Uncalibrated decision limits        • Multi-schema domain heterogeneity   • Heavy unoptimized XAI models</w:t>
              <w:br/>
              <w:t xml:space="preserve">                                   \                   │                   /</w:t>
              <w:br/>
              <w:t xml:space="preserve">                                    \                  │                  /</w:t>
              <w:br/>
              <w:t xml:space="preserve">                                     \                 │                 /</w:t>
              <w:br/>
              <w:t xml:space="preserve">                                      ═══════════════════════════════════►  INEFFICIENT REAL-TIME</w:t>
              <w:br/>
              <w:t xml:space="preserve">                                     /                 │                 \  FRAUD DETECTION, HIGH</w:t>
              <w:br/>
              <w:t xml:space="preserve">                                    /                  │                  \ FPR &amp; REGULATORY OPACITY</w:t>
              <w:br/>
              <w:t xml:space="preserve">                                   /                   │                   \</w:t>
              <w:br/>
              <w:t xml:space="preserve">    ───────────────────────────           ───────────────────────────           ─────────────────────────</w:t>
              <w:br/>
              <w:t xml:space="preserve">    • Severe analyst alert fatigue        • Exponential surge in e-commerce     • Evaluation on accuracy alone</w:t>
              <w:br/>
              <w:t xml:space="preserve">    • Lack of XAI decision clarity        • Cross-border cyber syndicates       • Neglect of PR-AUC &amp; F1-Score</w:t>
              <w:br/>
              <w:t xml:space="preserve">    • Manual review backlogs              • Sophisticated money mule rings      • Absence of real-time KS/PSI</w:t>
              <w:br/>
              <w:t xml:space="preserve">    • Inability to meet FCRA rules        • Coordinated card-testing attacks     drift metric tracking</w:t>
              <w:br/>
              <w:t xml:space="preserve">       MAN (Human Factors)                   ENVIRONMENT (Threat Landscape)        MEASUREMENT (Metrics &amp; KPI)</w:t>
            </w:r>
          </w:p>
        </w:tc>
      </w:tr>
    </w:tbl>
    <w:p>
      <w:pPr>
        <w:spacing w:after="120"/>
      </w:pPr>
    </w:p>
    <w:p>
      <w:pPr>
        <w:spacing w:line="360" w:lineRule="auto" w:after="120"/>
        <w:jc w:val="both"/>
      </w:pPr>
      <w:r>
        <w:rPr>
          <w:rFonts w:ascii="Times New Roman" w:hAnsi="Times New Roman"/>
          <w:sz w:val="24"/>
        </w:rPr>
        <w:t>As illustrated in Figure 2.1, the breakdown of financial fraud detection stems from intersecting factors:</w:t>
      </w:r>
    </w:p>
    <w:p>
      <w:pPr>
        <w:spacing w:line="360" w:lineRule="auto" w:after="120"/>
        <w:ind w:left="432"/>
      </w:pPr>
      <w:r>
        <w:rPr>
          <w:rFonts w:ascii="Times New Roman" w:hAnsi="Times New Roman"/>
          <w:sz w:val="24"/>
        </w:rPr>
        <w:t>1. Method: Outdated heuristics, absence of stacking ensemble diversity, and uncalibrated decision thresholds.</w:t>
      </w:r>
    </w:p>
    <w:p>
      <w:pPr>
        <w:spacing w:line="360" w:lineRule="auto" w:after="120"/>
        <w:ind w:left="432"/>
      </w:pPr>
      <w:r>
        <w:rPr>
          <w:rFonts w:ascii="Times New Roman" w:hAnsi="Times New Roman"/>
          <w:sz w:val="24"/>
        </w:rPr>
        <w:t>2. Material: Extreme class imbalance (0.17% fraud prevalence), high dimensionality ($V1-V{28}$ PCA components), and rapid behavioral distribution shifts.</w:t>
      </w:r>
    </w:p>
    <w:p>
      <w:pPr>
        <w:spacing w:line="360" w:lineRule="auto" w:after="120"/>
        <w:ind w:left="432"/>
      </w:pPr>
      <w:r>
        <w:rPr>
          <w:rFonts w:ascii="Times New Roman" w:hAnsi="Times New Roman"/>
          <w:sz w:val="24"/>
        </w:rPr>
        <w:t>3. Machine: Legacy batch-processing architectures that introduce unacceptable latency and unoptimized XAI pipelines.</w:t>
      </w:r>
    </w:p>
    <w:p>
      <w:pPr>
        <w:spacing w:line="360" w:lineRule="auto" w:after="120"/>
        <w:ind w:left="432"/>
      </w:pPr>
      <w:r>
        <w:rPr>
          <w:rFonts w:ascii="Times New Roman" w:hAnsi="Times New Roman"/>
          <w:sz w:val="24"/>
        </w:rPr>
        <w:t>4. Man: Fraud analyst fatigue caused by thousands of false alerts and opaque probability outputs that cannot be explained to cardholders.</w:t>
      </w:r>
    </w:p>
    <w:p>
      <w:pPr>
        <w:spacing w:line="360" w:lineRule="auto" w:after="120"/>
        <w:ind w:left="432"/>
      </w:pPr>
      <w:r>
        <w:rPr>
          <w:rFonts w:ascii="Times New Roman" w:hAnsi="Times New Roman"/>
          <w:sz w:val="24"/>
        </w:rPr>
        <w:t>5. Environment: Rapid escalation of global card-not-present fraud, automated botnets, and organized money laundering syndicates.</w:t>
      </w:r>
    </w:p>
    <w:p>
      <w:pPr>
        <w:spacing w:line="360" w:lineRule="auto" w:after="120"/>
        <w:ind w:left="432"/>
      </w:pPr>
      <w:r>
        <w:rPr>
          <w:rFonts w:ascii="Times New Roman" w:hAnsi="Times New Roman"/>
          <w:sz w:val="24"/>
        </w:rPr>
        <w:t>6. Measurement: Misleading evaluation of machine learning models on overall accuracy rather than cost-sensitive F1-score, Precision-Recall AUC, and calibrated risk tiers.</w:t>
      </w:r>
    </w:p>
    <w:p>
      <w:pPr>
        <w:keepNext/>
        <w:spacing w:before="240" w:after="120"/>
      </w:pPr>
      <w:r>
        <w:rPr>
          <w:rFonts w:ascii="Times New Roman" w:hAnsi="Times New Roman"/>
          <w:b/>
          <w:sz w:val="28"/>
        </w:rPr>
        <w:t>2.2.4 Research Gap Analysis and Proposed Countermeasures</w:t>
      </w:r>
    </w:p>
    <w:p>
      <w:pPr>
        <w:spacing w:line="360" w:lineRule="auto" w:after="120"/>
        <w:jc w:val="both"/>
      </w:pPr>
      <w:r>
        <w:rPr>
          <w:rFonts w:ascii="Times New Roman" w:hAnsi="Times New Roman"/>
          <w:sz w:val="24"/>
        </w:rPr>
        <w:t>Based on the systematic literature survey and root cause diagnostics, four primary research and engineering gaps were identified. Table 2.3 details these gaps alongside the specific engineering countermeasures implemented in FraudShield AI:</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250"/>
        <w:gridCol w:w="2250"/>
        <w:gridCol w:w="2250"/>
        <w:gridCol w:w="2250"/>
      </w:tblGrid>
      <w:tr>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Research Gap Identifier</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Identified Academic &amp; Industrial Gap</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Current State of the Art</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FraudShield AI Engineering Countermeasure</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GAP 1: Disjointed Imbalance Resampling and Stacking Ensembles</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Most studies evaluate basic SMOTE or random undersampling on single models (Logistic Regression or Random Forest).</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Single models fail to capture multi-scale non-linear interactions; basic SMOTE generates boundary distortion in PCA spaces.</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Coupled OmniSMOTE boundary-aware oversampling with dynamic algorithmic class-weighting (scaleposweight) and a multi-model Stacking Ensemble (XGBoost + LightGBM + Random Forest + Logistic Regression meta-learner).</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GAP 2: Regulatory Black-Box Opacity in High-Performing Tree Ensembles</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Gradient boosted ensembles achieve superior predictive accuracy but provide no human-interpretable rationale for transaction flags.</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Models output raw probabilities ($0.0$ to $1.0$); financial institutions violate GDPR Article 22 and FCRA disclosure mandates.</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Embedded an optimized TreeSHAP engine that evaluates polynomial-time feature attributions ($\phii$) in under 50ms, dynamically translating Shapley values into standardized FCRA Adverse Action Reason Codes.</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GAP 3: Score Polarization and Absence of Continuous Risk Calibration</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Tree ensemble loss functions produce polarized probability outputs ($p \in \{0.0001, 0.9999\}$), leaving the middle-tier review queue empty.</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Triage is forced into a binary pass/fail; cardholders suffer abrupt transaction declines without step-up authentication.</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Engineered a Calibrated Continuous Risk Engine that synthesizes raw probabilities, transaction velocity, balance liquidation heuristics, and geolocation deltas into a smooth 3-tier risk hierarchy (SAFE, NEEDS REVIEW, FRAUD).</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GAP 4: Siloed Tabular Models Blind to Coordinated Mule Rings and Drift</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Tabular classifiers evaluate transactions in complete isolation, failing to detect multi-account circular money laundering or feature distribution shift.</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Network analysis and concept drift monitoring exist only as disconnected, offline academic prototypes.</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Integrated an in-memory NetworkX Graph Intelligence Engine for real-time cyclic path and community detection, paired with an MLOps Concept Drift Engine tracking Kolmogorov-Smirnov and PSI metrics.</w:t>
            </w:r>
          </w:p>
        </w:tc>
      </w:tr>
    </w:tbl>
    <w:p>
      <w:pPr>
        <w:spacing w:after="120"/>
      </w:pPr>
    </w:p>
    <w:p>
      <w:pPr>
        <w:keepNext/>
        <w:spacing w:before="280" w:after="160"/>
      </w:pPr>
      <w:r>
        <w:rPr>
          <w:rFonts w:ascii="Times New Roman" w:hAnsi="Times New Roman"/>
          <w:b/>
          <w:sz w:val="32"/>
        </w:rPr>
        <w:t>2.3 Proposed System</w:t>
      </w:r>
    </w:p>
    <w:p>
      <w:pPr>
        <w:keepNext/>
        <w:spacing w:before="240" w:after="120"/>
      </w:pPr>
      <w:r>
        <w:rPr>
          <w:rFonts w:ascii="Times New Roman" w:hAnsi="Times New Roman"/>
          <w:b/>
          <w:sz w:val="28"/>
        </w:rPr>
        <w:t>2.3.1 Architectural Paradigm and Design Philosophy</w:t>
      </w:r>
    </w:p>
    <w:p>
      <w:pPr>
        <w:spacing w:line="360" w:lineRule="auto" w:after="120"/>
        <w:jc w:val="both"/>
      </w:pPr>
      <w:r>
        <w:rPr>
          <w:rFonts w:ascii="Times New Roman" w:hAnsi="Times New Roman"/>
          <w:sz w:val="24"/>
        </w:rPr>
        <w:t>FraudShield AI addresses the compounding failures of traditional fraud detection by introducing a unified, modular, enterprise-grade architecture. Rather than treating machine learning, explainability, graph intelligence, and user presentation as disconnected silos, FraudShield AI unifies these capabilities into an asynchronous microservice ecosystem designed around five core engineering principles:</w:t>
      </w:r>
    </w:p>
    <w:p>
      <w:pPr>
        <w:spacing w:line="360" w:lineRule="auto" w:after="120"/>
        <w:ind w:left="432"/>
      </w:pPr>
      <w:r>
        <w:rPr>
          <w:rFonts w:ascii="Times New Roman" w:hAnsi="Times New Roman"/>
          <w:sz w:val="24"/>
        </w:rPr>
        <w:t>1. Domain-Specialized Modularity:</w:t>
      </w:r>
    </w:p>
    <w:p>
      <w:pPr>
        <w:spacing w:line="360" w:lineRule="auto" w:after="120"/>
        <w:jc w:val="both"/>
      </w:pPr>
      <w:r>
        <w:rPr>
          <w:rFonts w:ascii="Times New Roman" w:hAnsi="Times New Roman"/>
          <w:sz w:val="24"/>
        </w:rPr>
        <w:t>Acknowledging that no single classifier can effectively process heterogeneous financial schemas, FraudShield AI maintains a dynamic Domain Model Registry. Incoming payloads are automatically classified by schema and routed to specialized model heads (PaySim, Credit Card PCA, Spatial Behavioral, or BankSim).</w:t>
      </w:r>
    </w:p>
    <w:p>
      <w:pPr>
        <w:spacing w:line="360" w:lineRule="auto" w:after="120"/>
        <w:ind w:left="432"/>
      </w:pPr>
      <w:r>
        <w:rPr>
          <w:rFonts w:ascii="Times New Roman" w:hAnsi="Times New Roman"/>
          <w:sz w:val="24"/>
        </w:rPr>
        <w:t>2. Heterogeneous Stacking Diversity:</w:t>
      </w:r>
    </w:p>
    <w:p>
      <w:pPr>
        <w:spacing w:line="360" w:lineRule="auto" w:after="120"/>
        <w:jc w:val="both"/>
      </w:pPr>
      <w:r>
        <w:rPr>
          <w:rFonts w:ascii="Times New Roman" w:hAnsi="Times New Roman"/>
          <w:sz w:val="24"/>
        </w:rPr>
        <w:t>Each domain head deploys a two-tier Stacking Ensemble combining structurally diverse base learners: XGBoost (depth-optimized gradient boosting), LightGBM (leaf-wise gradient boosting), and Random Forest (bagged variance reduction), synthesized by a cross-validated Logistic Regression meta-learner.</w:t>
      </w:r>
    </w:p>
    <w:p>
      <w:pPr>
        <w:spacing w:line="360" w:lineRule="auto" w:after="120"/>
        <w:ind w:left="432"/>
      </w:pPr>
      <w:r>
        <w:rPr>
          <w:rFonts w:ascii="Times New Roman" w:hAnsi="Times New Roman"/>
          <w:sz w:val="24"/>
        </w:rPr>
        <w:t>3. Equitable Continuous Risk Scoring:</w:t>
      </w:r>
    </w:p>
    <w:p>
      <w:pPr>
        <w:spacing w:line="360" w:lineRule="auto" w:after="120"/>
        <w:jc w:val="both"/>
      </w:pPr>
      <w:r>
        <w:rPr>
          <w:rFonts w:ascii="Times New Roman" w:hAnsi="Times New Roman"/>
          <w:sz w:val="24"/>
        </w:rPr>
        <w:t>The platform eliminates binary probability polarization through a calibrated scoring function that produces a smooth, continuous risk metric ($0.0\%$ to $100.0\%$), establishing an actionable NEEDS REVIEW tier ($45\%-75\%$) for step-up multi-factor authentication or manual analyst triage.</w:t>
      </w:r>
    </w:p>
    <w:p>
      <w:pPr>
        <w:spacing w:line="360" w:lineRule="auto" w:after="120"/>
        <w:ind w:left="432"/>
      </w:pPr>
      <w:r>
        <w:rPr>
          <w:rFonts w:ascii="Times New Roman" w:hAnsi="Times New Roman"/>
          <w:sz w:val="24"/>
        </w:rPr>
        <w:t>4. Sub-100ms Explainability as a First-Class Citizen:</w:t>
      </w:r>
    </w:p>
    <w:p>
      <w:pPr>
        <w:spacing w:line="360" w:lineRule="auto" w:after="120"/>
        <w:jc w:val="both"/>
      </w:pPr>
      <w:r>
        <w:rPr>
          <w:rFonts w:ascii="Times New Roman" w:hAnsi="Times New Roman"/>
          <w:sz w:val="24"/>
        </w:rPr>
        <w:t>Model interpretability is not an afterthought or offline batch script. Exact TreeSHAP feature attributions and FCRA Adverse Action reason codes are generated synchronously within the sub-100ms API inference lifecycle.</w:t>
      </w:r>
    </w:p>
    <w:p>
      <w:pPr>
        <w:spacing w:line="360" w:lineRule="auto" w:after="120"/>
        <w:ind w:left="432"/>
      </w:pPr>
      <w:r>
        <w:rPr>
          <w:rFonts w:ascii="Times New Roman" w:hAnsi="Times New Roman"/>
          <w:sz w:val="24"/>
        </w:rPr>
        <w:t>5. Decentralized and Graph-Aware Defense:</w:t>
      </w:r>
    </w:p>
    <w:p>
      <w:pPr>
        <w:spacing w:line="360" w:lineRule="auto" w:after="120"/>
        <w:jc w:val="both"/>
      </w:pPr>
      <w:r>
        <w:rPr>
          <w:rFonts w:ascii="Times New Roman" w:hAnsi="Times New Roman"/>
          <w:sz w:val="24"/>
        </w:rPr>
        <w:t>The system uncovers organized cybercrime syndicates via real-time cyclic graph traversal and enables cross-institutional consortium model training via Federated Learning (FedAvg) without exposing customer PII.</w:t>
      </w:r>
    </w:p>
    <w:p>
      <w:pPr>
        <w:keepNext/>
        <w:spacing w:before="240" w:after="120"/>
      </w:pPr>
      <w:r>
        <w:rPr>
          <w:rFonts w:ascii="Times New Roman" w:hAnsi="Times New Roman"/>
          <w:b/>
          <w:sz w:val="28"/>
        </w:rPr>
        <w:t>2.3.2 High-Level System Architecture</w:t>
      </w:r>
    </w:p>
    <w:p>
      <w:pPr>
        <w:spacing w:line="360" w:lineRule="auto" w:after="120"/>
        <w:jc w:val="both"/>
      </w:pPr>
      <w:r>
        <w:rPr>
          <w:rFonts w:ascii="Times New Roman" w:hAnsi="Times New Roman"/>
          <w:sz w:val="24"/>
        </w:rPr>
        <w:t>The following ASCII diagram illustrates the end-to-end architectural topology of FraudShield AI, detailing data flows from external ingestion through security gateways, analytical engines, and presentation layers:</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w:t>
              <w:br/>
              <w:t>│                                 PRESENTATION LAYER                                          │</w:t>
              <w:br/>
              <w:t>│                          React 19 + Vite 6 + Tailwind CSS SPA                               │</w:t>
              <w:br/>
              <w:t>│  ┌───────────────────────┐  ┌────────────────────────┐  ┌────────────────────────────────┐  │</w:t>
              <w:br/>
              <w:t>│  │ Threat Executive View │  │ Live Monitoring Stream │  │ Transaction Analysis Inspector │  │</w:t>
              <w:br/>
              <w:t>│  └───────────────────────┘  └────────────────────────┘  └────────────────────────────────┘  │</w:t>
              <w:br/>
              <w:t>│  ┌───────────────────────┐  ┌────────────────────────┐  ┌────────────────────────────────┐  │</w:t>
              <w:br/>
              <w:t>│  │ TreeSHAP XAI &amp; FCRA   │  │ Graph Intelligence UI  │  │ MLOps Drift &amp; Federated Portal │  │</w:t>
              <w:br/>
              <w:t>│  └───────────────────────┘  └────────────────────────┘  └────────────────────────────────┘  │</w:t>
              <w:br/>
              <w:t>└──────────────────────────────────────────────┬──────────────────────────────────────────────┘</w:t>
              <w:br/>
              <w:t xml:space="preserve">                                               │ HTTPS / JSON REST API (Port 8008)</w:t>
              <w:br/>
              <w:t xml:space="preserve">                                               ▼</w:t>
              <w:br/>
              <w:t>┌─────────────────────────────────────────────────────────────────────────────────────────────┐</w:t>
              <w:br/>
              <w:t>│                             ENTERPRISE API GATEWAY (FastAPI)                                │</w:t>
              <w:br/>
              <w:t>│  ┌────────────────────────┐  ┌────────────────────────┐  ┌────────────────────────────────┐  │</w:t>
              <w:br/>
              <w:t>│  │ OWASP Security Headers │  │ Sliding-Window Rate-Lim│  │ JWT Role-Based Access (RBAC)   │  │</w:t>
              <w:br/>
              <w:t>│  └────────────────────────┘  └────────────────────────┘  └────────────────────────────────┘  │</w:t>
              <w:br/>
              <w:t>└──────────────────────────────────────────────┬──────────────────────────────────────────────┘</w:t>
              <w:br/>
              <w:t xml:space="preserve">                                               │ Validated Ingestion Payload</w:t>
              <w:br/>
              <w:t xml:space="preserve">                                               ▼</w:t>
              <w:br/>
              <w:t>┌─────────────────────────────────────────────────────────────────────────────────────────────┐</w:t>
              <w:br/>
              <w:t>│                          SCHEMA DETECTION &amp; DOMAIN REGISTRY ROUTER                          │</w:t>
              <w:br/>
              <w:t>│                                (backend/app/core/model_engine.py)                           │</w:t>
              <w:br/>
              <w:t>│     ┌───────────────────┬───────────────────┬───────────────────┬─────────────────────┐     │</w:t>
              <w:br/>
              <w:t>│     ▼                   ▼                   ▼                   ▼                     ▼     │</w:t>
              <w:br/>
              <w:t>│  ┌───────────────┐   ┌───────────────┐   ┌───────────────┐   ┌───────────────┐   ┌───────────┐  │</w:t>
              <w:br/>
              <w:t>│  │ PaySim Head   │   │ CC PCA Head   │   │ Spatial Head  │   │ BankSim Head  │   │ Fallback  │  │</w:t>
              <w:br/>
              <w:t>│  │ Mobile Money  │   │ 28 PCA Vectors│   │ Haversine Geo │   │ Retail Trans  │   │ Heuristic │  │</w:t>
              <w:br/>
              <w:t>│  └───────┬───────┘   └───────┬───────┘   └───────┬───────┘   └───────┬───────┘   └─────┬─────┘  │</w:t>
              <w:br/>
              <w:t>└──────────┼───────────────────┼───────────────────┼───────────────────┼─────────────────┼────────┘</w:t>
              <w:br/>
              <w:t xml:space="preserve">           └───────────────────┴─────────┬─────────┴───────────────────┘                 │</w:t>
              <w:br/>
              <w:t xml:space="preserve">                                         ▼                                               │</w:t>
              <w:br/>
              <w:t>┌────────────────────────────────────────────────────────────────────────────────────────┴────┐</w:t>
              <w:br/>
              <w:t>│                              ANALYTICS &amp; INFERENCE PIPELINE                                 │</w:t>
              <w:br/>
              <w:t>│                                                                                             │</w:t>
              <w:br/>
              <w:t>│  ┌─────────────────────────────────────┐         ┌───────────────────────────────────────┐  │</w:t>
              <w:br/>
              <w:t>│  │       STACKING ENSEMBLE ENGINE      │         │         EXPLAINABLE AI ENGINE         │  │</w:t>
              <w:br/>
              <w:t>│  │  Level-0: XGBoost + LightGBM + RF   │ ◄─────► │  Exact TreeSHAP Attribution Engine    │  │</w:t>
              <w:br/>
              <w:t>│  │  Level-1: Logistic Regression Meta  │         │  FCRA Adverse Action Code Generator   │  │</w:t>
              <w:br/>
              <w:t>│  └──────────────────┬──────────────────┘         └───────────────────────────────────────┘  │</w:t>
              <w:br/>
              <w:t>│                     │ Raw Probability (p)                                                   │</w:t>
              <w:br/>
              <w:t>│                     ▼                                                                       │</w:t>
              <w:br/>
              <w:t>│  ┌───────────────────────────────────────────────────────────────────────────────────────┐  │</w:t>
              <w:br/>
              <w:t>│  │                         CALIBRATED CONTINUOUS RISK ENGINE                             │  │</w:t>
              <w:br/>
              <w:t>│  │      Composite Risk Score: SAFE (&lt;45%) | NEEDS REVIEW (45-75%) | FRAUD (&gt;=75%)       │  │</w:t>
              <w:br/>
              <w:t>│  └──────────────────┬────────────────────────────────────────────────────────────────────┘  │</w:t>
              <w:br/>
              <w:t>│                     │ Calibrated Score + Decision Metadata                                  │</w:t>
              <w:br/>
              <w:t>│                     ▼                                                                       │</w:t>
              <w:br/>
              <w:t>│  ┌─────────────────────────────────────┐         ┌───────────────────────────────────────┐  │</w:t>
              <w:br/>
              <w:t>│  │      GRAPH INTELLIGENCE ENGINE      │         │          MLOPS DRIFT MONITOR          │  │</w:t>
              <w:br/>
              <w:t>│  │  NetworkX In-Memory Transaction Net │         │  Two-Sample Kolmogorov-Smirnov Tests  │  │</w:t>
              <w:br/>
              <w:t>│  │  Cycles, Communities, Mule Scores   │         │  Population Stability Index (PSI)     │  │</w:t>
              <w:br/>
              <w:t>│  └─────────────────────────────────────┘         └───────────────────────────────────────┘  │</w:t>
              <w:br/>
              <w:t>└──────────────────────────────────────────────┬──────────────────────────────────────────────┘</w:t>
              <w:br/>
              <w:t xml:space="preserve">                                               │</w:t>
              <w:br/>
              <w:t xml:space="preserve">                                               ▼</w:t>
              <w:br/>
              <w:t>┌─────────────────────────────────────────────────────────────────────────────────────────────┐</w:t>
              <w:br/>
              <w:t>│                              STORAGE &amp; AUDITING INFRASTRUCTURE                              │</w:t>
              <w:br/>
              <w:t>│  ┌────────────────────────┐  ┌────────────────────────┐  ┌────────────────────────────────┐  │</w:t>
              <w:br/>
              <w:t>│  │ Append-Only Audit Log  │  │ Serialized .pkl Models │  │ Background Reference Samples   │  │</w:t>
              <w:br/>
              <w:t>│  └────────────────────────┘  └────────────────────────┘  └────────────────────────────────┘  │</w:t>
              <w:br/>
              <w:t>└─────────────────────────────────────────────────────────────────────────────────────────────┘</w:t>
            </w:r>
          </w:p>
        </w:tc>
      </w:tr>
    </w:tbl>
    <w:p>
      <w:pPr>
        <w:spacing w:after="120"/>
      </w:pPr>
    </w:p>
    <w:p>
      <w:pPr>
        <w:keepNext/>
        <w:spacing w:before="240" w:after="120"/>
      </w:pPr>
      <w:r>
        <w:rPr>
          <w:rFonts w:ascii="Times New Roman" w:hAnsi="Times New Roman"/>
          <w:b/>
          <w:sz w:val="28"/>
        </w:rPr>
        <w:t>2.3.3 Core Subsystems and Modular Breakdown</w:t>
      </w:r>
    </w:p>
    <w:p>
      <w:pPr>
        <w:spacing w:line="360" w:lineRule="auto" w:after="120"/>
        <w:jc w:val="both"/>
      </w:pPr>
      <w:r>
        <w:rPr>
          <w:rFonts w:ascii="Times New Roman" w:hAnsi="Times New Roman"/>
          <w:sz w:val="24"/>
        </w:rPr>
        <w:t>The FraudShield AI platform is partitioned into seven distinct, highly cohesive functional subsystems:</w:t>
      </w:r>
    </w:p>
    <w:p>
      <w:pPr>
        <w:keepNext/>
        <w:spacing w:before="200" w:after="80"/>
      </w:pPr>
      <w:r>
        <w:rPr>
          <w:rFonts w:ascii="Times New Roman" w:hAnsi="Times New Roman"/>
          <w:b/>
          <w:sz w:val="24"/>
        </w:rPr>
        <w:t>1. Presentation and Visualization Layer (frontend/src)</w:t>
      </w:r>
    </w:p>
    <w:p>
      <w:pPr>
        <w:spacing w:line="360" w:lineRule="auto" w:after="120"/>
        <w:jc w:val="both"/>
      </w:pPr>
      <w:r>
        <w:rPr>
          <w:rFonts w:ascii="Times New Roman" w:hAnsi="Times New Roman"/>
          <w:sz w:val="24"/>
        </w:rPr>
        <w:t>Constructed using React 19, Vite 6, and Tailwind CSS, the client application delivers an enterprise-grade threat operations interface. Key architectural modules include:</w:t>
      </w:r>
    </w:p>
    <w:p>
      <w:pPr>
        <w:spacing w:line="360" w:lineRule="auto" w:after="120"/>
        <w:ind w:left="432"/>
      </w:pPr>
      <w:r>
        <w:rPr>
          <w:rFonts w:ascii="Times New Roman" w:hAnsi="Times New Roman"/>
          <w:sz w:val="24"/>
        </w:rPr>
        <w:t>• Executive Threat Dashboard (DashboardModule.jsx): Displays high-level KPIs including total processed volume, active fraud detection rate, prevented financial loss, average inference latency, and interactive volume trend charts.</w:t>
      </w:r>
    </w:p>
    <w:p>
      <w:pPr>
        <w:spacing w:line="360" w:lineRule="auto" w:after="120"/>
        <w:ind w:left="432"/>
      </w:pPr>
      <w:r>
        <w:rPr>
          <w:rFonts w:ascii="Times New Roman" w:hAnsi="Times New Roman"/>
          <w:sz w:val="24"/>
        </w:rPr>
        <w:t>• Live Stream Monitor (LiveMonitoringModule.jsx): Simulates a high-throughput banking ingestion pipe, rendering transactions as color-coded event cards with animated risk badges (SAFE, NEEDS REVIEW, FRAUD) and quick-triage inspection drawers.</w:t>
      </w:r>
    </w:p>
    <w:p>
      <w:pPr>
        <w:spacing w:line="360" w:lineRule="auto" w:after="120"/>
        <w:ind w:left="432"/>
      </w:pPr>
      <w:r>
        <w:rPr>
          <w:rFonts w:ascii="Times New Roman" w:hAnsi="Times New Roman"/>
          <w:sz w:val="24"/>
        </w:rPr>
        <w:t>• Single Transaction Inspector (TransactionAnalysisModule.jsx): A deep diagnostic workbench allowing risk analysts to modify individual feature values ($V1-V{28}$, amounts, geographical coordinates, account balances) and trigger synchronous scoring.</w:t>
      </w:r>
    </w:p>
    <w:p>
      <w:pPr>
        <w:spacing w:line="360" w:lineRule="auto" w:after="120"/>
        <w:ind w:left="432"/>
      </w:pPr>
      <w:r>
        <w:rPr>
          <w:rFonts w:ascii="Times New Roman" w:hAnsi="Times New Roman"/>
          <w:sz w:val="24"/>
        </w:rPr>
        <w:t>• Explainable AI Visualizer (ExplainableAIModule.jsx): Renders interactive TreeSHAP waterfall charts, showing baseline displacement, positive risk drivers (red bars pushing toward fraud), negative mitigating drivers (green bars pulling toward safe), and standardized FCRA Adverse Action reason codes.</w:t>
      </w:r>
    </w:p>
    <w:p>
      <w:pPr>
        <w:spacing w:line="360" w:lineRule="auto" w:after="120"/>
        <w:ind w:left="432"/>
      </w:pPr>
      <w:r>
        <w:rPr>
          <w:rFonts w:ascii="Times New Roman" w:hAnsi="Times New Roman"/>
          <w:sz w:val="24"/>
        </w:rPr>
        <w:t>• Graph Intelligence Viewer (GraphIntelligenceModule.jsx): Visualizes multi-hop account transaction networks, rendering cyclic money laundering paths and highlighting mule accounts based on graph centrality.</w:t>
      </w:r>
    </w:p>
    <w:p>
      <w:pPr>
        <w:spacing w:line="360" w:lineRule="auto" w:after="120"/>
        <w:ind w:left="432"/>
      </w:pPr>
      <w:r>
        <w:rPr>
          <w:rFonts w:ascii="Times New Roman" w:hAnsi="Times New Roman"/>
          <w:sz w:val="24"/>
        </w:rPr>
        <w:t>• Concept Drift &amp; MLOps Monitor (ConceptDriftModule.jsx): Displays real-time feature distribution divergence, KS-test $p$-values, and PSI indicators, featuring an interactive sandbox to inject synthetic adversarial drift spikes.</w:t>
      </w:r>
    </w:p>
    <w:p>
      <w:pPr>
        <w:spacing w:line="360" w:lineRule="auto" w:after="120"/>
        <w:ind w:left="432"/>
      </w:pPr>
      <w:r>
        <w:rPr>
          <w:rFonts w:ascii="Times New Roman" w:hAnsi="Times New Roman"/>
          <w:sz w:val="24"/>
        </w:rPr>
        <w:t>• Federated Learning Defense Portal (FederatedLearningModule.jsx): Simulates a multi-bank consortium (Bank Alpha, Beta, Gamma), illustrating local model training rounds and global FedAvg parameter convergence without PII sharing.</w:t>
      </w:r>
    </w:p>
    <w:p>
      <w:pPr>
        <w:spacing w:line="360" w:lineRule="auto" w:after="120"/>
        <w:ind w:left="432"/>
      </w:pPr>
      <w:r>
        <w:rPr>
          <w:rFonts w:ascii="Times New Roman" w:hAnsi="Times New Roman"/>
          <w:sz w:val="24"/>
        </w:rPr>
        <w:t>• Identity &amp; RBAC Portal (AuthModal.jsx): Implements cryptographic JWT session handling and 1-click persona switching across SOC Analyst, Compliance Officer, and System Administrator roles.</w:t>
      </w:r>
    </w:p>
    <w:p>
      <w:pPr>
        <w:keepNext/>
        <w:spacing w:before="200" w:after="80"/>
      </w:pPr>
      <w:r>
        <w:rPr>
          <w:rFonts w:ascii="Times New Roman" w:hAnsi="Times New Roman"/>
          <w:b/>
          <w:sz w:val="24"/>
        </w:rPr>
        <w:t>2. Enterprise API Gateway (backend/main.py)</w:t>
      </w:r>
    </w:p>
    <w:p>
      <w:pPr>
        <w:spacing w:line="360" w:lineRule="auto" w:after="120"/>
        <w:jc w:val="both"/>
      </w:pPr>
      <w:r>
        <w:rPr>
          <w:rFonts w:ascii="Times New Roman" w:hAnsi="Times New Roman"/>
          <w:sz w:val="24"/>
        </w:rPr>
        <w:t>Built on FastAPI and served via Uvicorn, the gateway acts as the secure entry point:</w:t>
      </w:r>
    </w:p>
    <w:p>
      <w:pPr>
        <w:spacing w:line="360" w:lineRule="auto" w:after="120"/>
        <w:ind w:left="432"/>
      </w:pPr>
      <w:r>
        <w:rPr>
          <w:rFonts w:ascii="Times New Roman" w:hAnsi="Times New Roman"/>
          <w:sz w:val="24"/>
        </w:rPr>
        <w:t>• OWASP Security Headers: Enforces strict Content-Security-Policy, X-Content-Type-Options: nosniff, X-Frame-Options: DENY, and Referrer-Policy: strict-origin-when-cross-origin.</w:t>
      </w:r>
    </w:p>
    <w:p>
      <w:pPr>
        <w:spacing w:line="360" w:lineRule="auto" w:after="120"/>
        <w:ind w:left="432"/>
      </w:pPr>
      <w:r>
        <w:rPr>
          <w:rFonts w:ascii="Times New Roman" w:hAnsi="Times New Roman"/>
          <w:sz w:val="24"/>
        </w:rPr>
        <w:t>• Sliding-Window Rate Limiter: Protects sensitive inference endpoints against automated scraping and distributed denial-of-service (DDoS) attacks.</w:t>
      </w:r>
    </w:p>
    <w:p>
      <w:pPr>
        <w:spacing w:line="360" w:lineRule="auto" w:after="120"/>
        <w:ind w:left="432"/>
      </w:pPr>
      <w:r>
        <w:rPr>
          <w:rFonts w:ascii="Times New Roman" w:hAnsi="Times New Roman"/>
          <w:sz w:val="24"/>
        </w:rPr>
        <w:t>• CORS Middleware: Manages cross-origin resource sharing for secure edge CDN deployments.</w:t>
      </w:r>
    </w:p>
    <w:p>
      <w:pPr>
        <w:spacing w:line="360" w:lineRule="auto" w:after="120"/>
        <w:ind w:left="432"/>
      </w:pPr>
      <w:r>
        <w:rPr>
          <w:rFonts w:ascii="Times New Roman" w:hAnsi="Times New Roman"/>
          <w:sz w:val="24"/>
        </w:rPr>
        <w:t>• Append-Only Audit Trail: Cryptographically logs every authentication event, transaction decision, and manual analyst override with microsecond timestamps.</w:t>
      </w:r>
    </w:p>
    <w:p>
      <w:pPr>
        <w:keepNext/>
        <w:spacing w:before="200" w:after="80"/>
      </w:pPr>
      <w:r>
        <w:rPr>
          <w:rFonts w:ascii="Times New Roman" w:hAnsi="Times New Roman"/>
          <w:b/>
          <w:sz w:val="24"/>
        </w:rPr>
        <w:t>3. Domain Model Registry Router (backend/app/core/modelengine.py)</w:t>
      </w:r>
    </w:p>
    <w:p>
      <w:pPr>
        <w:spacing w:line="360" w:lineRule="auto" w:after="120"/>
        <w:jc w:val="both"/>
      </w:pPr>
      <w:r>
        <w:rPr>
          <w:rFonts w:ascii="Times New Roman" w:hAnsi="Times New Roman"/>
          <w:sz w:val="24"/>
        </w:rPr>
        <w:t>The registry maintains pre-trained Stacking Ensemble model heads. When an incoming JSON payload arrives at /analyze, the schema detector inspects the feature keys:</w:t>
      </w:r>
    </w:p>
    <w:p>
      <w:pPr>
        <w:spacing w:line="360" w:lineRule="auto" w:after="120"/>
        <w:ind w:left="432"/>
      </w:pPr>
      <w:r>
        <w:rPr>
          <w:rFonts w:ascii="Times New Roman" w:hAnsi="Times New Roman"/>
          <w:sz w:val="24"/>
        </w:rPr>
        <w:t>• If keys match $\{V1, V2, \dots, V{28}, \text{Amount}\}$, the transaction routes to the Credit Card PCA Head.</w:t>
      </w:r>
    </w:p>
    <w:p>
      <w:pPr>
        <w:spacing w:line="360" w:lineRule="auto" w:after="120"/>
        <w:ind w:left="432"/>
      </w:pPr>
      <w:r>
        <w:rPr>
          <w:rFonts w:ascii="Times New Roman" w:hAnsi="Times New Roman"/>
          <w:sz w:val="24"/>
        </w:rPr>
        <w:t>• If keys match $\{\text{oldbalanceOrg}, \text{newbalanceOrig}, \text{type}\}$, it routes to the PaySim Mobile Money Head.</w:t>
      </w:r>
    </w:p>
    <w:p>
      <w:pPr>
        <w:spacing w:line="360" w:lineRule="auto" w:after="120"/>
        <w:ind w:left="432"/>
      </w:pPr>
      <w:r>
        <w:rPr>
          <w:rFonts w:ascii="Times New Roman" w:hAnsi="Times New Roman"/>
          <w:sz w:val="24"/>
        </w:rPr>
        <w:t>• If keys match $\{\text{lat}, \text{long}, \text{merch\lat}, \text{merch\long}\}$, it routes to the Spatial Behavioral Head.</w:t>
      </w:r>
    </w:p>
    <w:p>
      <w:pPr>
        <w:spacing w:line="360" w:lineRule="auto" w:after="120"/>
        <w:ind w:left="432"/>
      </w:pPr>
      <w:r>
        <w:rPr>
          <w:rFonts w:ascii="Times New Roman" w:hAnsi="Times New Roman"/>
          <w:sz w:val="24"/>
        </w:rPr>
        <w:t>• If keys match $\{\text{category}, \text{merchant}, \text{amount}\}$, it routes to the BankSim Retail Head.</w:t>
      </w:r>
    </w:p>
    <w:p>
      <w:pPr>
        <w:spacing w:line="360" w:lineRule="auto" w:after="120"/>
        <w:ind w:left="432"/>
      </w:pPr>
      <w:r>
        <w:rPr>
          <w:rFonts w:ascii="Times New Roman" w:hAnsi="Times New Roman"/>
          <w:sz w:val="24"/>
        </w:rPr>
        <w:t>• If no schema matches, the transaction routes to a graceful fallback heuristic engine.</w:t>
      </w:r>
    </w:p>
    <w:p>
      <w:pPr>
        <w:keepNext/>
        <w:spacing w:before="200" w:after="80"/>
      </w:pPr>
      <w:r>
        <w:rPr>
          <w:rFonts w:ascii="Times New Roman" w:hAnsi="Times New Roman"/>
          <w:b/>
          <w:sz w:val="24"/>
        </w:rPr>
        <w:t>4. Stacking Ensemble Engine (modelengine.py)</w:t>
      </w:r>
    </w:p>
    <w:p>
      <w:pPr>
        <w:spacing w:line="360" w:lineRule="auto" w:after="120"/>
        <w:jc w:val="both"/>
      </w:pPr>
      <w:r>
        <w:rPr>
          <w:rFonts w:ascii="Times New Roman" w:hAnsi="Times New Roman"/>
          <w:sz w:val="24"/>
        </w:rPr>
        <w:t>Each domain head combines three high-capacity base estimators:</w:t>
      </w:r>
    </w:p>
    <w:p>
      <w:pPr>
        <w:spacing w:line="360" w:lineRule="auto" w:after="120"/>
        <w:ind w:left="432"/>
      </w:pPr>
      <w:r>
        <w:rPr>
          <w:rFonts w:ascii="Times New Roman" w:hAnsi="Times New Roman"/>
          <w:sz w:val="24"/>
        </w:rPr>
        <w:t>• XGBoost Classifier: Optimized for non-linear interactions, regularization, and gradient split handling.</w:t>
      </w:r>
    </w:p>
    <w:p>
      <w:pPr>
        <w:spacing w:line="360" w:lineRule="auto" w:after="120"/>
        <w:ind w:left="432"/>
      </w:pPr>
      <w:r>
        <w:rPr>
          <w:rFonts w:ascii="Times New Roman" w:hAnsi="Times New Roman"/>
          <w:sz w:val="24"/>
        </w:rPr>
        <w:t>• LightGBM Classifier: Optimized for leaf-wise tree growth, high-speed split calculation, and categorical encoding.</w:t>
      </w:r>
    </w:p>
    <w:p>
      <w:pPr>
        <w:spacing w:line="360" w:lineRule="auto" w:after="120"/>
        <w:ind w:left="432"/>
      </w:pPr>
      <w:r>
        <w:rPr>
          <w:rFonts w:ascii="Times New Roman" w:hAnsi="Times New Roman"/>
          <w:sz w:val="24"/>
        </w:rPr>
        <w:t>• Random Forest Classifier: Bagged ensemble of 100 de-correlated trees providing variance reduction and resistance to noise.</w:t>
      </w:r>
    </w:p>
    <w:p>
      <w:pPr>
        <w:spacing w:line="360" w:lineRule="auto" w:after="120"/>
        <w:ind w:left="432"/>
      </w:pPr>
      <w:r>
        <w:rPr>
          <w:rFonts w:ascii="Times New Roman" w:hAnsi="Times New Roman"/>
          <w:sz w:val="24"/>
        </w:rPr>
        <w:t>• Meta-Learner: A calibrated Logistic Regression model ($C=1.0$) that takes the predicted probability vectors from Level-0 estimators and computes the optimal meta-decision boundary.</w:t>
      </w:r>
    </w:p>
    <w:p>
      <w:pPr>
        <w:keepNext/>
        <w:spacing w:before="200" w:after="80"/>
      </w:pPr>
      <w:r>
        <w:rPr>
          <w:rFonts w:ascii="Times New Roman" w:hAnsi="Times New Roman"/>
          <w:b/>
          <w:sz w:val="24"/>
        </w:rPr>
        <w:t>5. Calibrated Continuous Risk Engine (backend/app/core/riskengine.py)</w:t>
      </w:r>
    </w:p>
    <w:p>
      <w:pPr>
        <w:spacing w:line="360" w:lineRule="auto" w:after="120"/>
        <w:jc w:val="both"/>
      </w:pPr>
      <w:r>
        <w:rPr>
          <w:rFonts w:ascii="Times New Roman" w:hAnsi="Times New Roman"/>
          <w:sz w:val="24"/>
        </w:rPr>
        <w:t>The risk engine eliminates score polarization by applying continuous mathematical transformations incorporating transactional velocity, account liquidation heuristics, and geolocation discrepancies. The resulting risk score is mapped into three operational tiers:</w:t>
      </w:r>
    </w:p>
    <w:p>
      <w:pPr>
        <w:spacing w:line="360" w:lineRule="auto" w:after="120"/>
        <w:ind w:left="432"/>
      </w:pPr>
      <w:r>
        <w:rPr>
          <w:rFonts w:ascii="Times New Roman" w:hAnsi="Times New Roman"/>
          <w:sz w:val="24"/>
        </w:rPr>
        <w:t>• 🟢 SAFE ($&lt; 45.0\%$): Immediate automated approval.</w:t>
      </w:r>
    </w:p>
    <w:p>
      <w:pPr>
        <w:spacing w:line="360" w:lineRule="auto" w:after="120"/>
        <w:ind w:left="432"/>
      </w:pPr>
      <w:r>
        <w:rPr>
          <w:rFonts w:ascii="Times New Roman" w:hAnsi="Times New Roman"/>
          <w:sz w:val="24"/>
        </w:rPr>
        <w:t>• 🟡 NEEDS REVIEW ($45.0\% - 74.9\%$): Routed to the fraud analyst queue or triggered for step-up SMS/Biometric 2FA.</w:t>
      </w:r>
    </w:p>
    <w:p>
      <w:pPr>
        <w:spacing w:line="360" w:lineRule="auto" w:after="120"/>
        <w:ind w:left="432"/>
      </w:pPr>
      <w:r>
        <w:rPr>
          <w:rFonts w:ascii="Times New Roman" w:hAnsi="Times New Roman"/>
          <w:sz w:val="24"/>
        </w:rPr>
        <w:t>• 🔴 FRAUD ($\ge 75.0\%$): Automated transaction decline and temporary account freeze.</w:t>
      </w:r>
    </w:p>
    <w:p>
      <w:pPr>
        <w:keepNext/>
        <w:spacing w:before="200" w:after="80"/>
      </w:pPr>
      <w:r>
        <w:rPr>
          <w:rFonts w:ascii="Times New Roman" w:hAnsi="Times New Roman"/>
          <w:b/>
          <w:sz w:val="24"/>
        </w:rPr>
        <w:t>6. Explainable AI &amp; FCRA Reason Code Engine (backend/app/core/explainer.py)</w:t>
      </w:r>
    </w:p>
    <w:p>
      <w:pPr>
        <w:spacing w:line="360" w:lineRule="auto" w:after="120"/>
        <w:jc w:val="both"/>
      </w:pPr>
      <w:r>
        <w:rPr>
          <w:rFonts w:ascii="Times New Roman" w:hAnsi="Times New Roman"/>
          <w:sz w:val="24"/>
        </w:rPr>
        <w:t>The XAI engine utilizes TreeSHAP to compute exact Shapley values ($\phii$) for tree ensembles. The engine extracts the top contributing features and converts them into standardized Fair Credit Reporting Act (FCRA) Adverse Action Reason Codes:</w:t>
      </w:r>
    </w:p>
    <w:p>
      <w:pPr>
        <w:spacing w:line="360" w:lineRule="auto" w:after="120"/>
        <w:ind w:left="432"/>
      </w:pPr>
      <w:r>
        <w:rPr>
          <w:rFonts w:ascii="Times New Roman" w:hAnsi="Times New Roman"/>
          <w:sz w:val="24"/>
        </w:rPr>
        <w:t>• RC-BAL-01: Unbalanced Transaction Settlement</w:t>
      </w:r>
    </w:p>
    <w:p>
      <w:pPr>
        <w:spacing w:line="360" w:lineRule="auto" w:after="120"/>
        <w:ind w:left="432"/>
      </w:pPr>
      <w:r>
        <w:rPr>
          <w:rFonts w:ascii="Times New Roman" w:hAnsi="Times New Roman"/>
          <w:sz w:val="24"/>
        </w:rPr>
        <w:t>• RC-BAL-02: Complete Account Liquidation Anomaly</w:t>
      </w:r>
    </w:p>
    <w:p>
      <w:pPr>
        <w:spacing w:line="360" w:lineRule="auto" w:after="120"/>
        <w:ind w:left="432"/>
      </w:pPr>
      <w:r>
        <w:rPr>
          <w:rFonts w:ascii="Times New Roman" w:hAnsi="Times New Roman"/>
          <w:sz w:val="24"/>
        </w:rPr>
        <w:t>• RC-AMT-01: High-Value Transaction Velocity Outlier</w:t>
      </w:r>
    </w:p>
    <w:p>
      <w:pPr>
        <w:spacing w:line="360" w:lineRule="auto" w:after="120"/>
        <w:ind w:left="432"/>
      </w:pPr>
      <w:r>
        <w:rPr>
          <w:rFonts w:ascii="Times New Roman" w:hAnsi="Times New Roman"/>
          <w:sz w:val="24"/>
        </w:rPr>
        <w:t>• RC-GEO-01: Haversine Geolocation Distance Discrepancy</w:t>
      </w:r>
    </w:p>
    <w:p>
      <w:pPr>
        <w:spacing w:line="360" w:lineRule="auto" w:after="120"/>
        <w:ind w:left="432"/>
      </w:pPr>
      <w:r>
        <w:rPr>
          <w:rFonts w:ascii="Times New Roman" w:hAnsi="Times New Roman"/>
          <w:sz w:val="24"/>
        </w:rPr>
        <w:t>• RC-PCA-01: High-Dimensional Latent Anomaly Vector ($Vi$)</w:t>
      </w:r>
    </w:p>
    <w:p>
      <w:pPr>
        <w:keepNext/>
        <w:spacing w:before="200" w:after="80"/>
      </w:pPr>
      <w:r>
        <w:rPr>
          <w:rFonts w:ascii="Times New Roman" w:hAnsi="Times New Roman"/>
          <w:b/>
          <w:sz w:val="24"/>
        </w:rPr>
        <w:t>7. Graph Intelligence &amp; MLOps Drift Subsystems (graphengine.py &amp; driftmonitor.py)</w:t>
      </w:r>
    </w:p>
    <w:p>
      <w:pPr>
        <w:spacing w:line="360" w:lineRule="auto" w:after="120"/>
        <w:ind w:left="432"/>
      </w:pPr>
      <w:r>
        <w:rPr>
          <w:rFonts w:ascii="Times New Roman" w:hAnsi="Times New Roman"/>
          <w:sz w:val="24"/>
        </w:rPr>
        <w:t>• Graph Engine: Builds an in-memory transactional multi-graph using NetworkX, detecting directed cycles ($A \rightarrow B \rightarrow C \rightarrow A$) and calculating composite mule scores based on degree centrality and velocity.</w:t>
      </w:r>
    </w:p>
    <w:p>
      <w:pPr>
        <w:spacing w:line="360" w:lineRule="auto" w:after="120"/>
        <w:ind w:left="432"/>
      </w:pPr>
      <w:r>
        <w:rPr>
          <w:rFonts w:ascii="Times New Roman" w:hAnsi="Times New Roman"/>
          <w:sz w:val="24"/>
        </w:rPr>
        <w:t>• Drift Monitor: Compares streaming transaction windows against baseline reference distributions using two-sample Kolmogorov-Smirnov (KS) tests and Population Stability Index (PSI):</w:t>
      </w:r>
    </w:p>
    <w:p>
      <w:pPr>
        <w:spacing w:line="360" w:lineRule="auto" w:after="120"/>
        <w:jc w:val="both"/>
      </w:pPr>
      <w:r>
        <w:rPr>
          <w:rFonts w:ascii="Times New Roman" w:hAnsi="Times New Roman"/>
          <w:sz w:val="24"/>
        </w:rPr>
        <w:t>$$\text{PSI} = \sum{j=1}^B \left( Pj - Qj \right) \ln\left(\frac{Pj}{Qj}\right)$$</w:t>
      </w:r>
    </w:p>
    <w:p>
      <w:pPr>
        <w:spacing w:line="360" w:lineRule="auto" w:after="120"/>
        <w:jc w:val="both"/>
      </w:pPr>
      <w:r>
        <w:rPr>
          <w:rFonts w:ascii="Times New Roman" w:hAnsi="Times New Roman"/>
          <w:sz w:val="24"/>
        </w:rPr>
        <w:t>triggering automated alerts when $\text{PSI} &gt; 0.25$ indicates severe covariate shift.</w:t>
      </w:r>
    </w:p>
    <w:p>
      <w:pPr>
        <w:spacing w:line="360" w:lineRule="auto" w:after="120"/>
        <w:jc w:val="both"/>
      </w:pPr>
      <w:r>
        <w:rPr>
          <w:rFonts w:ascii="Times New Roman" w:hAnsi="Times New Roman"/>
          <w:sz w:val="24"/>
        </w:rPr>
        <w:t>End of Chapter 2 — Literature Survey &amp; Proposed System</w:t>
      </w:r>
    </w:p>
    <w:p>
      <w:r>
        <w:br w:type="page"/>
      </w:r>
    </w:p>
    <w:p>
      <w:pPr>
        <w:keepNext/>
        <w:spacing w:before="360" w:after="200"/>
        <w:jc w:val="center"/>
      </w:pPr>
      <w:r>
        <w:rPr>
          <w:rFonts w:ascii="Times New Roman" w:hAnsi="Times New Roman"/>
          <w:b/>
          <w:sz w:val="36"/>
        </w:rPr>
        <w:t>Chapter 3: Requirement Gathering, Analysis and Planning</w:t>
      </w:r>
    </w:p>
    <w:p>
      <w:pPr>
        <w:keepNext/>
        <w:spacing w:before="280" w:after="160"/>
      </w:pPr>
      <w:r>
        <w:rPr>
          <w:rFonts w:ascii="Times New Roman" w:hAnsi="Times New Roman"/>
          <w:b/>
          <w:sz w:val="32"/>
        </w:rPr>
        <w:t>3.1 Requirement Specification</w:t>
      </w:r>
    </w:p>
    <w:p>
      <w:pPr>
        <w:spacing w:line="360" w:lineRule="auto" w:after="120"/>
        <w:jc w:val="both"/>
      </w:pPr>
      <w:r>
        <w:rPr>
          <w:rFonts w:ascii="Times New Roman" w:hAnsi="Times New Roman"/>
          <w:sz w:val="24"/>
        </w:rPr>
        <w:t>Software Requirement Specification (SRS) establishes the foundational functional capabilities, performance standards, architectural constraints, and operational boundaries of the FraudShield AI platform. The system is engineered to function within mission-critical banking environments where high availability, ultra-low latency, mathematical transparency, and regulatory compliance are non-negotiable.</w:t>
      </w:r>
    </w:p>
    <w:p>
      <w:pPr>
        <w:keepNext/>
        <w:spacing w:before="240" w:after="120"/>
      </w:pPr>
      <w:r>
        <w:rPr>
          <w:rFonts w:ascii="Times New Roman" w:hAnsi="Times New Roman"/>
          <w:b/>
          <w:sz w:val="28"/>
        </w:rPr>
        <w:t>3.1.1 Functional Requirements Specifications (FR)</w:t>
      </w:r>
    </w:p>
    <w:p>
      <w:pPr>
        <w:spacing w:line="360" w:lineRule="auto" w:after="120"/>
        <w:jc w:val="both"/>
      </w:pPr>
      <w:r>
        <w:rPr>
          <w:rFonts w:ascii="Times New Roman" w:hAnsi="Times New Roman"/>
          <w:sz w:val="24"/>
        </w:rPr>
        <w:t>The platform’s functional scope is partitioned into twelve formal Functional Requirements (FR-01 through FR-12) detailed below:</w:t>
      </w:r>
    </w:p>
    <w:p>
      <w:pPr>
        <w:keepNext/>
        <w:spacing w:before="200" w:after="80"/>
      </w:pPr>
      <w:r>
        <w:rPr>
          <w:rFonts w:ascii="Times New Roman" w:hAnsi="Times New Roman"/>
          <w:b/>
          <w:sz w:val="24"/>
        </w:rPr>
        <w:t>Table 3.1: Functional Requirements Specifications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250"/>
        <w:gridCol w:w="2250"/>
        <w:gridCol w:w="2250"/>
        <w:gridCol w:w="2250"/>
      </w:tblGrid>
      <w:tr>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Requirement ID</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Requirement Title</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Requirement Description &amp; Acceptance Criteria</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Priority</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FR-01</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Multi-Domain Schema Ingestion &amp; Routing</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The system must automatically detect the schema of incoming transaction payloads (e.g., PaySim, Credit Card PCA, Spatial Behavioral, BankSim) and route the payload to the corresponding pre-trained domain model head. Acceptance: Routing completes in $&lt; 2\text{ms}$ with 100% schema match.</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FR-02</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Stacking Ensemble Inference</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The platform must execute Level-0 inference across XGBoost, LightGBM, and Random Forest base classifiers and synthesize predictions using a Logistic Regression meta-learner. Acceptance: Ensemble output yields continuous posterior probability $p \in [0, 1]$.</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FR-03</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Calibrated Continuous Risk Scoring</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The system must map raw ensemble probabilities into a continuous risk score ($0.0\% - 100.0\%$) using transaction velocity, account liquidation heuristics, and geolocation deltas, assigning one of three decision tiers: SAFE, NEEDS REVIEW, or FRAUD.</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FR-04</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Real-Time TreeSHAP Feature Attribution</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The platform must synchronously compute exact Shapley values (TreeSHAP) for each input feature during transaction scoring. Acceptance: Feature attributions must satisfy additive efficiency ($\sum \phii = f(x) - \phi0$) within $&lt; 50\text{ms}$.</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FR-05</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Automated FCRA Reason Code Generation</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For any transaction assigned to NEEDS REVIEW or FRAUD, the system must extract top positive risk-driving features and map them into standardized Fair Credit Reporting Act (FCRA) Adverse Action Reason Codes (e.g., RC-BAL-02, RC-GEO-01).</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FR-06</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In-Memory Cyclic Mule Ring Detection</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The graph intelligence engine must construct an in-memory directed transaction graph and detect multi-hop cycles ($A \rightarrow B \rightarrow C \rightarrow A$) of length $k \in [2, 6]$. Acceptance: Detects cyclic money laundering paths in $&lt; 10\text{ms}$ for up to 10,000 active nodes.</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FR-07</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Account Mule Centrality Scoring</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The system must compute composite mule risk scores for individual accounts based on graph in-degree, out-degree, transaction velocity, and balance depletion flags. Acceptance: Scores updated dynamically upon new edge creation.</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Medium</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FR-08</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MLOps Concept Drift Monitoring</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The platform must monitor streaming feature distributions against baseline reference distributions using two-sample Kolmogorov-Smirnov (KS) tests and Population Stability Index (PSI). Acceptance: Generates automated warnings when $\text{PSI} &gt; 0.10$ and alerts when $\text{PSI} &gt; 0.25$.</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Medium</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FR-09</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Synthetic Adversarial Drift Injection</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The platform must provide an administrative sandbox allowing authorized users to inject synthetic covariate drift vectors (e.g., balance anomalies, amount spikes) to test system resilience.</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Medium</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FR-10</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Federated Learning Simulation (FedAvg)</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The system must simulate decentralized multi-bank collaborative training across at least three independent nodes (Bank Alpha, Beta, Gamma) using Federated Averaging (FedAvg), updating global model weights without sharing raw transaction records.</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Medium</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FR-11</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Role-Based Access Control (RBAC)</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The platform must enforce strict cryptographic JWT authentication, provisioning distinct permissions for three user personas: SOC Analyst, Compliance Officer, and System Administrator.</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FR-12</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Immutable Audit Trail Logging</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The system must maintain an append-only, tamper-evident audit log recording user logins, single-transaction inspections, manual triage overrides, and federated training rounds with microsecond timestamps.</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High</w:t>
            </w:r>
          </w:p>
        </w:tc>
      </w:tr>
    </w:tbl>
    <w:p>
      <w:pPr>
        <w:spacing w:after="120"/>
      </w:pPr>
    </w:p>
    <w:p>
      <w:pPr>
        <w:keepNext/>
        <w:spacing w:before="240" w:after="120"/>
      </w:pPr>
      <w:r>
        <w:rPr>
          <w:rFonts w:ascii="Times New Roman" w:hAnsi="Times New Roman"/>
          <w:b/>
          <w:sz w:val="28"/>
        </w:rPr>
        <w:t>3.1.2 Non-Functional Requirements Specifications (NFR)</w:t>
      </w:r>
    </w:p>
    <w:p>
      <w:pPr>
        <w:spacing w:line="360" w:lineRule="auto" w:after="120"/>
        <w:jc w:val="both"/>
      </w:pPr>
      <w:r>
        <w:rPr>
          <w:rFonts w:ascii="Times New Roman" w:hAnsi="Times New Roman"/>
          <w:sz w:val="24"/>
        </w:rPr>
        <w:t>Non-functional requirements specify operational criteria used to evaluate system performance, security posture, reliability, and usability:</w:t>
      </w:r>
    </w:p>
    <w:p>
      <w:pPr>
        <w:keepNext/>
        <w:spacing w:before="200" w:after="80"/>
      </w:pPr>
      <w:r>
        <w:rPr>
          <w:rFonts w:ascii="Times New Roman" w:hAnsi="Times New Roman"/>
          <w:b/>
          <w:sz w:val="24"/>
        </w:rPr>
        <w:t>Table 3.2: Non-Functional Requirements Specifications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3000"/>
        <w:gridCol w:w="3000"/>
        <w:gridCol w:w="3000"/>
      </w:tblGrid>
      <w:tr>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Requirement ID</w:t>
            </w:r>
          </w:p>
        </w:tc>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Quality Attribute</w:t>
            </w:r>
          </w:p>
        </w:tc>
        <w:tc>
          <w:tcPr>
            <w:tcW w:type="dxa" w:w="3000"/>
            <w:shd w:fill="E5E7EB"/>
            <w:tcMar>
              <w:top w:w="120" w:type="dxa"/>
              <w:bottom w:w="120" w:type="dxa"/>
              <w:left w:w="140" w:type="dxa"/>
              <w:right w:w="140" w:type="dxa"/>
            </w:tcMar>
          </w:tcPr>
          <w:p>
            <w:pPr>
              <w:spacing w:line="276" w:lineRule="auto" w:after="40"/>
            </w:pPr>
            <w:r>
              <w:rPr>
                <w:rFonts w:ascii="Times New Roman" w:hAnsi="Times New Roman"/>
                <w:b/>
                <w:sz w:val="21"/>
              </w:rPr>
              <w:t>Technical Specification &amp; Target Benchmark</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NFR-01</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Performance &amp; Latency</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Single-transaction inference and risk scoring must execute within an average response latency of $&lt; 100\text{ms}$ (P95 $&lt; 150\text{ms}$, P99 $&lt; 250\text{ms}$) under a baseline concurrency of 50 requests/sec.</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NFR-02</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High Throughput</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The asynchronous FastAPI microservice backend must support sustained throughput of $\ge 500\text{ transactions/sec}$ in batch ingestion mode on standard quad-core server hardware.</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NFR-03</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System Availability</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The platform architecture must support $99.9\%$ service availability, utilizing container health probes (/health) and automatic process restarts via Docker orchestration.</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NFR-04</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Security &amp; Hardening</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All API endpoints must enforce OWASP Recommended Security Headers: X-Content-Type-Options: nosniff, X-Frame-Options: DENY, and strict CORS policies. Sensitive tokens must utilize HMAC-SHA256 signatures with 60-minute expiration windows.</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NFR-05</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Anti-DDoS Protection</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The API Gateway must implement sliding-window rate limiting (e.g., max 100 requests per minute per IP for public endpoints) returning HTTP 429 Too Many Requests upon breach.</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NFR-06</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Explainability Latency</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Synchronous TreeSHAP feature attribution calculation must not introduce more than $50\text{ms}$ of computational overhead to the base inference pipeline.</w:t>
            </w:r>
          </w:p>
        </w:tc>
      </w:tr>
      <w:tr>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NFR-07</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Responsive Web Usability</w:t>
            </w:r>
          </w:p>
        </w:tc>
        <w:tc>
          <w:tcPr>
            <w:tcW w:type="dxa" w:w="3000"/>
            <w:shd w:fill="FFFFFF"/>
            <w:tcMar>
              <w:top w:w="100" w:type="dxa"/>
              <w:bottom w:w="100" w:type="dxa"/>
              <w:left w:w="120" w:type="dxa"/>
              <w:right w:w="120" w:type="dxa"/>
            </w:tcMar>
          </w:tcPr>
          <w:p>
            <w:pPr>
              <w:spacing w:line="276" w:lineRule="auto" w:after="40"/>
            </w:pPr>
            <w:r>
              <w:rPr>
                <w:rFonts w:ascii="Times New Roman" w:hAnsi="Times New Roman"/>
                <w:sz w:val="20"/>
              </w:rPr>
              <w:t>The React 19 frontend SPA must achieve a Google Lighthouse performance score of $\ge 90$, render fluid micro-animations at 60 FPS, and adapt responsively across desktop, tablet, and mobile displays.</w:t>
            </w:r>
          </w:p>
        </w:tc>
      </w:tr>
      <w:tr>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NFR-08</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Maintainability &amp; Testability</w:t>
            </w:r>
          </w:p>
        </w:tc>
        <w:tc>
          <w:tcPr>
            <w:tcW w:type="dxa" w:w="3000"/>
            <w:shd w:fill="F9FAFB"/>
            <w:tcMar>
              <w:top w:w="100" w:type="dxa"/>
              <w:bottom w:w="100" w:type="dxa"/>
              <w:left w:w="120" w:type="dxa"/>
              <w:right w:w="120" w:type="dxa"/>
            </w:tcMar>
          </w:tcPr>
          <w:p>
            <w:pPr>
              <w:spacing w:line="276" w:lineRule="auto" w:after="40"/>
            </w:pPr>
            <w:r>
              <w:rPr>
                <w:rFonts w:ascii="Times New Roman" w:hAnsi="Times New Roman"/>
                <w:sz w:val="20"/>
              </w:rPr>
              <w:t>Codebase must maintain modular separation of concerns (Core, API, Schemas, UI), achieve $\ge 90\%$ code coverage across core scoring logic, and execute automated pytest suites in $&lt; 15\text{ seconds}$.</w:t>
            </w:r>
          </w:p>
        </w:tc>
      </w:tr>
    </w:tbl>
    <w:p>
      <w:pPr>
        <w:spacing w:after="120"/>
      </w:pPr>
    </w:p>
    <w:p>
      <w:pPr>
        <w:keepNext/>
        <w:spacing w:before="240" w:after="120"/>
      </w:pPr>
      <w:r>
        <w:rPr>
          <w:rFonts w:ascii="Times New Roman" w:hAnsi="Times New Roman"/>
          <w:b/>
          <w:sz w:val="28"/>
        </w:rPr>
        <w:t>3.1.3 Role-Based Access Control (RBAC) Specifications</w:t>
      </w:r>
    </w:p>
    <w:p>
      <w:pPr>
        <w:spacing w:line="360" w:lineRule="auto" w:after="120"/>
        <w:jc w:val="both"/>
      </w:pPr>
      <w:r>
        <w:rPr>
          <w:rFonts w:ascii="Times New Roman" w:hAnsi="Times New Roman"/>
          <w:sz w:val="24"/>
        </w:rPr>
        <w:t>To safeguard sensitive financial data and prevent unauthorized override of automated fraud decisions, FraudShield AI enforces a granular Role-Based Access Control matrix. The platform defines three distinct user personas:</w:t>
      </w:r>
    </w:p>
    <w:p>
      <w:pPr>
        <w:keepNext/>
        <w:spacing w:before="200" w:after="80"/>
      </w:pPr>
      <w:r>
        <w:rPr>
          <w:rFonts w:ascii="Times New Roman" w:hAnsi="Times New Roman"/>
          <w:b/>
          <w:sz w:val="24"/>
        </w:rPr>
        <w:t>Table 3.3: Role-Based Access Control (RBAC) Permission Matrix</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800"/>
        <w:gridCol w:w="1800"/>
        <w:gridCol w:w="1800"/>
        <w:gridCol w:w="1800"/>
        <w:gridCol w:w="1800"/>
      </w:tblGrid>
      <w:tr>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Functional Capability / Endpoint</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Public / Unauthenticated</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SOC Analyst (socanalyst)</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Compliance Officer (complianceofficer)</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System Administrator (admin)</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System Health Check (/health)</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Allowed</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User Authentication (/auth/login)</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Allowed</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User Self-Registration (/auth/register)</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Allowed</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Single Transaction Scoring (/analyze)</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Full Access</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Full Access</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Full Access</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Live Transaction Stream Monitoring</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View &amp; Triage</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View Only</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Full Control</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TreeSHAP Waterfall &amp; Feature View</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View Attribution</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Full Audit View</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Full Audit View</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FCRA Adverse Action Letter Download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Generate &amp; Export</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Generate &amp; Export</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Graph Network Topology &amp; Mule Rings</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Investigate Rings</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View Topology</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Full Admin Control</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MLOps Drift Status &amp; KS Metrics</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View Metrics</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Full Access</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Synthetic Drift Injection Sandbox</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Execute Spikes</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Federated Learning Simulation Round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Trigger FedAvg</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View Immutable Security Audit Logs</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Read-Only Audit</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Full Audit Access</w:t>
            </w:r>
          </w:p>
        </w:tc>
      </w:tr>
    </w:tbl>
    <w:p>
      <w:pPr>
        <w:spacing w:after="120"/>
      </w:pPr>
    </w:p>
    <w:p>
      <w:pPr>
        <w:keepNext/>
        <w:spacing w:before="280" w:after="160"/>
      </w:pPr>
      <w:r>
        <w:rPr>
          <w:rFonts w:ascii="Times New Roman" w:hAnsi="Times New Roman"/>
          <w:b/>
          <w:sz w:val="32"/>
        </w:rPr>
        <w:t>3.2 Feasibility Study</w:t>
      </w:r>
    </w:p>
    <w:p>
      <w:pPr>
        <w:spacing w:line="360" w:lineRule="auto" w:after="120"/>
        <w:jc w:val="both"/>
      </w:pPr>
      <w:r>
        <w:rPr>
          <w:rFonts w:ascii="Times New Roman" w:hAnsi="Times New Roman"/>
          <w:sz w:val="24"/>
        </w:rPr>
        <w:t>A multi-dimensional feasibility study was conducted prior to system implementation to evaluate technical, operational, economic, schedule, and legal dimensions.</w:t>
      </w:r>
    </w:p>
    <w:p>
      <w:pPr>
        <w:keepNext/>
        <w:spacing w:before="240" w:after="120"/>
      </w:pPr>
      <w:r>
        <w:rPr>
          <w:rFonts w:ascii="Times New Roman" w:hAnsi="Times New Roman"/>
          <w:b/>
          <w:sz w:val="28"/>
        </w:rPr>
        <w:t>3.2.1 Technical Feasibility</w:t>
      </w:r>
    </w:p>
    <w:p>
      <w:pPr>
        <w:spacing w:line="360" w:lineRule="auto" w:after="120"/>
        <w:jc w:val="both"/>
      </w:pPr>
      <w:r>
        <w:rPr>
          <w:rFonts w:ascii="Times New Roman" w:hAnsi="Times New Roman"/>
          <w:sz w:val="24"/>
        </w:rPr>
        <w:t>The technical feasibility evaluates whether available algorithmic frameworks, programming languages, libraries, and hardware infrastructure can satisfy project objectives:</w:t>
      </w:r>
    </w:p>
    <w:p>
      <w:pPr>
        <w:spacing w:line="360" w:lineRule="auto" w:after="120"/>
        <w:ind w:left="432"/>
      </w:pPr>
      <w:r>
        <w:rPr>
          <w:rFonts w:ascii="Times New Roman" w:hAnsi="Times New Roman"/>
          <w:sz w:val="24"/>
        </w:rPr>
        <w:t>• Machine Learning &amp; Ensemble Feasibility: Python provides mature, highly optimized C++ bindings for gradient-boosted trees through xgboost and lightgbm. Both libraries support multi-threaded CPU and GPU training, built-in $L1/L2$ regularization, and native positive class weighting (scaleposweight). Scikit-learn's StackingClassifier offers an industrial-grade interface for training Level-0 base learners and Level-1 meta-classifiers.</w:t>
      </w:r>
    </w:p>
    <w:p>
      <w:pPr>
        <w:spacing w:line="360" w:lineRule="auto" w:after="120"/>
        <w:ind w:left="432"/>
      </w:pPr>
      <w:r>
        <w:rPr>
          <w:rFonts w:ascii="Times New Roman" w:hAnsi="Times New Roman"/>
          <w:sz w:val="24"/>
        </w:rPr>
        <w:t>• Explainability Feasibility: Lundberg’s shap C++ implementation of the TreeSHAP algorithm evaluates tree ensemble attributions in polynomial time $\mathcal{O}(T L D^2)$, reducing calculation times from minutes (KernelSHAP) to under 30 milliseconds.</w:t>
      </w:r>
    </w:p>
    <w:p>
      <w:pPr>
        <w:spacing w:line="360" w:lineRule="auto" w:after="120"/>
        <w:ind w:left="432"/>
      </w:pPr>
      <w:r>
        <w:rPr>
          <w:rFonts w:ascii="Times New Roman" w:hAnsi="Times New Roman"/>
          <w:sz w:val="24"/>
        </w:rPr>
        <w:t>• Microservices &amp; Web Feasibility: FastAPI utilizes Starlette and Pydantic, executing asynchronous event loops powered by uvloop. It consistently ranks among the fastest web frameworks in TechEmpower benchmarks, rivaling Node.js and Go. On the frontend, React 19 and Vite 6 provide rapid Hot Module Replacement (HMR) and lightweight production bundles ($&lt; 400\text{ KB}$ gzipped).</w:t>
      </w:r>
    </w:p>
    <w:p>
      <w:pPr>
        <w:spacing w:line="360" w:lineRule="auto" w:after="120"/>
        <w:ind w:left="432"/>
      </w:pPr>
      <w:r>
        <w:rPr>
          <w:rFonts w:ascii="Times New Roman" w:hAnsi="Times New Roman"/>
          <w:sz w:val="24"/>
        </w:rPr>
        <w:t>• Conclusion: The project is 100% Technically Feasible.</w:t>
      </w:r>
    </w:p>
    <w:p>
      <w:pPr>
        <w:keepNext/>
        <w:spacing w:before="240" w:after="120"/>
      </w:pPr>
      <w:r>
        <w:rPr>
          <w:rFonts w:ascii="Times New Roman" w:hAnsi="Times New Roman"/>
          <w:b/>
          <w:sz w:val="28"/>
        </w:rPr>
        <w:t>3.2.2 Operational Feasibility</w:t>
      </w:r>
    </w:p>
    <w:p>
      <w:pPr>
        <w:spacing w:line="360" w:lineRule="auto" w:after="120"/>
        <w:jc w:val="both"/>
      </w:pPr>
      <w:r>
        <w:rPr>
          <w:rFonts w:ascii="Times New Roman" w:hAnsi="Times New Roman"/>
          <w:sz w:val="24"/>
        </w:rPr>
        <w:t>Operational feasibility evaluates how effectively the platform integrates into existing banking workflows:</w:t>
      </w:r>
    </w:p>
    <w:p>
      <w:pPr>
        <w:spacing w:line="360" w:lineRule="auto" w:after="120"/>
        <w:ind w:left="432"/>
      </w:pPr>
      <w:r>
        <w:rPr>
          <w:rFonts w:ascii="Times New Roman" w:hAnsi="Times New Roman"/>
          <w:sz w:val="24"/>
        </w:rPr>
        <w:t>• Analyst Workflow Alignment: FraudShield AI provides pre-configured 1-click personas in the Identity Portal, eliminating onboarding friction. Rather than forcing analysts to parse raw JSON logs, the interface presents intuitive visual risk badges, plain-English FCRA reason cards, and interactive network graphs.</w:t>
      </w:r>
    </w:p>
    <w:p>
      <w:pPr>
        <w:spacing w:line="360" w:lineRule="auto" w:after="120"/>
        <w:ind w:left="432"/>
      </w:pPr>
      <w:r>
        <w:rPr>
          <w:rFonts w:ascii="Times New Roman" w:hAnsi="Times New Roman"/>
          <w:sz w:val="24"/>
        </w:rPr>
        <w:t>• Human-in-the-Loop Safeguards: By introducing the NEEDS REVIEW tier ($45\%-75\%$), the platform respects established banking standard operating procedures (SOPs), automating straight-through processing for obvious safe/fraud transactions while empowering human analysts to handle nuanced disputes.</w:t>
      </w:r>
    </w:p>
    <w:p>
      <w:pPr>
        <w:spacing w:line="360" w:lineRule="auto" w:after="120"/>
        <w:ind w:left="432"/>
      </w:pPr>
      <w:r>
        <w:rPr>
          <w:rFonts w:ascii="Times New Roman" w:hAnsi="Times New Roman"/>
          <w:sz w:val="24"/>
        </w:rPr>
        <w:t>• Conclusion: The platform achieves High Operational Feasibility.</w:t>
      </w:r>
    </w:p>
    <w:p>
      <w:pPr>
        <w:keepNext/>
        <w:spacing w:before="240" w:after="120"/>
      </w:pPr>
      <w:r>
        <w:rPr>
          <w:rFonts w:ascii="Times New Roman" w:hAnsi="Times New Roman"/>
          <w:b/>
          <w:sz w:val="28"/>
        </w:rPr>
        <w:t>3.2.3 Economic Feasibility</w:t>
      </w:r>
    </w:p>
    <w:p>
      <w:pPr>
        <w:spacing w:line="360" w:lineRule="auto" w:after="120"/>
        <w:jc w:val="both"/>
      </w:pPr>
      <w:r>
        <w:rPr>
          <w:rFonts w:ascii="Times New Roman" w:hAnsi="Times New Roman"/>
          <w:sz w:val="24"/>
        </w:rPr>
        <w:t>Economic feasibility assesses development and operational expenditures against anticipated financial returns:</w:t>
      </w:r>
    </w:p>
    <w:p>
      <w:pPr>
        <w:spacing w:line="360" w:lineRule="auto" w:after="120"/>
        <w:ind w:left="432"/>
      </w:pPr>
      <w:r>
        <w:rPr>
          <w:rFonts w:ascii="Times New Roman" w:hAnsi="Times New Roman"/>
          <w:sz w:val="24"/>
        </w:rPr>
        <w:t>• Development Costs: The platform is constructed entirely using open-source technologies (Python, FastAPI, React, Vite, Docker, Scikit-learn, XGBoost, NetworkX), incurring zero software licensing fees.</w:t>
      </w:r>
    </w:p>
    <w:p>
      <w:pPr>
        <w:spacing w:line="360" w:lineRule="auto" w:after="120"/>
        <w:ind w:left="432"/>
      </w:pPr>
      <w:r>
        <w:rPr>
          <w:rFonts w:ascii="Times New Roman" w:hAnsi="Times New Roman"/>
          <w:sz w:val="24"/>
        </w:rPr>
        <w:t>• Infrastructure Costs: Microservice architecture allows containerized deployment on modest cloud instances (e.g., 2 vCPUs, 4GB RAM) or free-tier hosting platforms (Render, Vercel, Docker Hub).</w:t>
      </w:r>
    </w:p>
    <w:p>
      <w:pPr>
        <w:spacing w:line="360" w:lineRule="auto" w:after="120"/>
        <w:ind w:left="432"/>
      </w:pPr>
      <w:r>
        <w:rPr>
          <w:rFonts w:ascii="Times New Roman" w:hAnsi="Times New Roman"/>
          <w:sz w:val="24"/>
        </w:rPr>
        <w:t>• Return on Investment (ROI): Commercial financial institutions lose billions annually to fraud and spend millions on manual investigation. A platform that reduces false positive rates by $20\%$ saves tier-1 banks millions annually in operational costs while preserving cardholder revenue.</w:t>
      </w:r>
    </w:p>
    <w:p>
      <w:pPr>
        <w:spacing w:line="360" w:lineRule="auto" w:after="120"/>
        <w:ind w:left="432"/>
      </w:pPr>
      <w:r>
        <w:rPr>
          <w:rFonts w:ascii="Times New Roman" w:hAnsi="Times New Roman"/>
          <w:sz w:val="24"/>
        </w:rPr>
        <w:t>• Conclusion: The project demonstrates Exceptional Economic Feasibility.</w:t>
      </w:r>
    </w:p>
    <w:p>
      <w:pPr>
        <w:keepNext/>
        <w:spacing w:before="240" w:after="120"/>
      </w:pPr>
      <w:r>
        <w:rPr>
          <w:rFonts w:ascii="Times New Roman" w:hAnsi="Times New Roman"/>
          <w:b/>
          <w:sz w:val="28"/>
        </w:rPr>
        <w:t>3.2.4 Schedule Feasibility</w:t>
      </w:r>
    </w:p>
    <w:p>
      <w:pPr>
        <w:spacing w:line="360" w:lineRule="auto" w:after="120"/>
        <w:jc w:val="both"/>
      </w:pPr>
      <w:r>
        <w:rPr>
          <w:rFonts w:ascii="Times New Roman" w:hAnsi="Times New Roman"/>
          <w:sz w:val="24"/>
        </w:rPr>
        <w:t>The project schedule was structured across two academic semesters (Semester VI &amp; Semester VII) using the Agile Scrum framework across six 3-week sprint cycles. All functional milestones—from exploratory data analysis (EDA) to model training, API construction, frontend design, and automated testing—were sequenced logically with generous risk contingency buffers.</w:t>
      </w:r>
    </w:p>
    <w:p>
      <w:pPr>
        <w:spacing w:line="360" w:lineRule="auto" w:after="120"/>
        <w:ind w:left="432"/>
      </w:pPr>
      <w:r>
        <w:rPr>
          <w:rFonts w:ascii="Times New Roman" w:hAnsi="Times New Roman"/>
          <w:sz w:val="24"/>
        </w:rPr>
        <w:t>• Conclusion: The project satisfies Strict Schedule Feasibility.</w:t>
      </w:r>
    </w:p>
    <w:p>
      <w:pPr>
        <w:keepNext/>
        <w:spacing w:before="240" w:after="120"/>
      </w:pPr>
      <w:r>
        <w:rPr>
          <w:rFonts w:ascii="Times New Roman" w:hAnsi="Times New Roman"/>
          <w:b/>
          <w:sz w:val="28"/>
        </w:rPr>
        <w:t>3.2.5 Legal, Ethical &amp; Regulatory Feasibility</w:t>
      </w:r>
    </w:p>
    <w:p>
      <w:pPr>
        <w:spacing w:line="360" w:lineRule="auto" w:after="120"/>
        <w:jc w:val="both"/>
      </w:pPr>
      <w:r>
        <w:rPr>
          <w:rFonts w:ascii="Times New Roman" w:hAnsi="Times New Roman"/>
          <w:sz w:val="24"/>
        </w:rPr>
        <w:t>Compliance with international legal frameworks is a core design criterion of FraudShield AI:</w:t>
      </w:r>
    </w:p>
    <w:p>
      <w:pPr>
        <w:spacing w:line="360" w:lineRule="auto" w:after="120"/>
        <w:ind w:left="432"/>
      </w:pPr>
      <w:r>
        <w:rPr>
          <w:rFonts w:ascii="Times New Roman" w:hAnsi="Times New Roman"/>
          <w:sz w:val="24"/>
        </w:rPr>
        <w:t>• GDPR Article 22 &amp; EU AI Act (2024): The system strictly satisfies the "Right to Explanation" by decomposing every classification into exact TreeSHAP feature attributions.</w:t>
      </w:r>
    </w:p>
    <w:p>
      <w:pPr>
        <w:spacing w:line="360" w:lineRule="auto" w:after="120"/>
        <w:ind w:left="432"/>
      </w:pPr>
      <w:r>
        <w:rPr>
          <w:rFonts w:ascii="Times New Roman" w:hAnsi="Times New Roman"/>
          <w:sz w:val="24"/>
        </w:rPr>
        <w:t>• FCRA Section 615(a) &amp; ECOA: Automated generation of Adverse Action reason codes guarantees that consumers are not denied financial services based on discriminatory, arbitrary, or unrecorded criteria.</w:t>
      </w:r>
    </w:p>
    <w:p>
      <w:pPr>
        <w:spacing w:line="360" w:lineRule="auto" w:after="120"/>
        <w:ind w:left="432"/>
      </w:pPr>
      <w:r>
        <w:rPr>
          <w:rFonts w:ascii="Times New Roman" w:hAnsi="Times New Roman"/>
          <w:sz w:val="24"/>
        </w:rPr>
        <w:t>• Data Privacy &amp; Sovereignty: The Federated Learning simulation module proves that cross-institutional fraud defense can operate without pooling raw transaction records or customer PII.</w:t>
      </w:r>
    </w:p>
    <w:p>
      <w:pPr>
        <w:spacing w:line="360" w:lineRule="auto" w:after="120"/>
        <w:ind w:left="432"/>
      </w:pPr>
      <w:r>
        <w:rPr>
          <w:rFonts w:ascii="Times New Roman" w:hAnsi="Times New Roman"/>
          <w:sz w:val="24"/>
        </w:rPr>
        <w:t>• Conclusion: The project establishes Complete Legal and Regulatory Feasibility.</w:t>
      </w:r>
    </w:p>
    <w:p>
      <w:pPr>
        <w:keepNext/>
        <w:spacing w:before="280" w:after="160"/>
      </w:pPr>
      <w:r>
        <w:rPr>
          <w:rFonts w:ascii="Times New Roman" w:hAnsi="Times New Roman"/>
          <w:b/>
          <w:sz w:val="32"/>
        </w:rPr>
        <w:t>3.3 Methodology</w:t>
      </w:r>
    </w:p>
    <w:p>
      <w:pPr>
        <w:spacing w:line="360" w:lineRule="auto" w:after="120"/>
        <w:jc w:val="both"/>
      </w:pPr>
      <w:r>
        <w:rPr>
          <w:rFonts w:ascii="Times New Roman" w:hAnsi="Times New Roman"/>
          <w:sz w:val="24"/>
        </w:rPr>
        <w:t>FraudShield AI adopts a modified CRISP-DM (Cross-Industry Standard Process for Data Mining) framework tailored specifically for high-frequency, regulated financial machine learning systems. The lifecycle comprises six iterative, interconnected phases:</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w:t>
              <w:br/>
              <w:t>│                            MODIFIED CRISP-DM FINANCIAL AI LIFECYCLE                         │</w:t>
              <w:br/>
              <w:t>│                                                                                             │</w:t>
              <w:br/>
              <w:t>│  ┌────────────────────────┐         ┌────────────────────────┐         ┌─────────────────┐  │</w:t>
              <w:br/>
              <w:t>│  │ 1. Problem &amp; Regulatory│ ──────► │ 2. Multi-Domain Data   │ ──────► │ 3. Preprocessing│  │</w:t>
              <w:br/>
              <w:t>│  │    Intelligence Phase  │         │    Acquisition &amp; EDA   │         │    &amp; OmniSMOTE  │  │</w:t>
              <w:br/>
              <w:t>│  └────────────────────────┘         └────────────────────────┘         └────────┬────────┘  │</w:t>
              <w:br/>
              <w:t>│                                                                                 │           │</w:t>
              <w:br/>
              <w:t>│  ┌────────────────────────┐         ┌────────────────────────┐                  │           │</w:t>
              <w:br/>
              <w:t>│  │ 6. Continuous MLOps &amp;  │ ◄────── │ 5. Explainability &amp;    │ ◄────────────────┘           │</w:t>
              <w:br/>
              <w:t>│  │    Federated Monitoring│         │    Operational Tuning  │   4. Stacking Ensemble       │</w:t>
              <w:br/>
              <w:t>│  └────────────────────────┘         └────────────────────────┘      Training &amp; Validation   │</w:t>
              <w:br/>
              <w:t>└─────────────────────────────────────────────────────────────────────────────────────────────┘</w:t>
            </w:r>
          </w:p>
        </w:tc>
      </w:tr>
    </w:tbl>
    <w:p>
      <w:pPr>
        <w:spacing w:after="120"/>
      </w:pPr>
    </w:p>
    <w:p>
      <w:pPr>
        <w:keepNext/>
        <w:spacing w:before="240" w:after="120"/>
      </w:pPr>
      <w:r>
        <w:rPr>
          <w:rFonts w:ascii="Times New Roman" w:hAnsi="Times New Roman"/>
          <w:b/>
          <w:sz w:val="28"/>
        </w:rPr>
        <w:t>3.3.1 Phase 1: Problem &amp; Regulatory Intelligence</w:t>
      </w:r>
    </w:p>
    <w:p>
      <w:pPr>
        <w:spacing w:line="360" w:lineRule="auto" w:after="120"/>
        <w:ind w:left="432"/>
      </w:pPr>
      <w:r>
        <w:rPr>
          <w:rFonts w:ascii="Times New Roman" w:hAnsi="Times New Roman"/>
          <w:sz w:val="24"/>
        </w:rPr>
        <w:t>• Formalize business objectives: maximize fraud recall ($&gt; 85\%$ on imbalanced data) while suppressing false positive rates ($&lt; 6\%$).</w:t>
      </w:r>
    </w:p>
    <w:p>
      <w:pPr>
        <w:spacing w:line="360" w:lineRule="auto" w:after="120"/>
        <w:ind w:left="432"/>
      </w:pPr>
      <w:r>
        <w:rPr>
          <w:rFonts w:ascii="Times New Roman" w:hAnsi="Times New Roman"/>
          <w:sz w:val="24"/>
        </w:rPr>
        <w:t>• Identify regulatory constraints: map EU AI Act transparency rules and FCRA adverse action mandates directly into algorithmic requirements.</w:t>
      </w:r>
    </w:p>
    <w:p>
      <w:pPr>
        <w:keepNext/>
        <w:spacing w:before="240" w:after="120"/>
      </w:pPr>
      <w:r>
        <w:rPr>
          <w:rFonts w:ascii="Times New Roman" w:hAnsi="Times New Roman"/>
          <w:b/>
          <w:sz w:val="28"/>
        </w:rPr>
        <w:t>3.3.2 Phase 2: Multi-Domain Data Acquisition &amp; Exploratory Analysis</w:t>
      </w:r>
    </w:p>
    <w:p>
      <w:pPr>
        <w:spacing w:line="360" w:lineRule="auto" w:after="120"/>
        <w:ind w:left="432"/>
      </w:pPr>
      <w:r>
        <w:rPr>
          <w:rFonts w:ascii="Times New Roman" w:hAnsi="Times New Roman"/>
          <w:sz w:val="24"/>
        </w:rPr>
        <w:t>• Ingest four benchmark datasets: PaySim Mobile Money (6.3M records), European Credit Card PCA (284k records), Spatial Behavioral Credit Card (1.8M records), and BankSim Retail Banking (594k records).</w:t>
      </w:r>
    </w:p>
    <w:p>
      <w:pPr>
        <w:spacing w:line="360" w:lineRule="auto" w:after="120"/>
        <w:ind w:left="432"/>
      </w:pPr>
      <w:r>
        <w:rPr>
          <w:rFonts w:ascii="Times New Roman" w:hAnsi="Times New Roman"/>
          <w:sz w:val="24"/>
        </w:rPr>
        <w:t>• Analyze class imbalance distributions, covariance structures, outlier distributions, and missing value profiles.</w:t>
      </w:r>
    </w:p>
    <w:p>
      <w:pPr>
        <w:keepNext/>
        <w:spacing w:before="240" w:after="120"/>
      </w:pPr>
      <w:r>
        <w:rPr>
          <w:rFonts w:ascii="Times New Roman" w:hAnsi="Times New Roman"/>
          <w:b/>
          <w:sz w:val="28"/>
        </w:rPr>
        <w:t>3.3.3 Phase 3: Data Preprocessing &amp; Advanced Resampling</w:t>
      </w:r>
    </w:p>
    <w:p>
      <w:pPr>
        <w:spacing w:line="360" w:lineRule="auto" w:after="120"/>
        <w:ind w:left="432"/>
      </w:pPr>
      <w:r>
        <w:rPr>
          <w:rFonts w:ascii="Times New Roman" w:hAnsi="Times New Roman"/>
          <w:sz w:val="24"/>
        </w:rPr>
        <w:t>• Apply RobustScaler across continuous transaction attributes ($V1-V{28}$, Amount, Balance) using interquartile range (IQR) scaling:</w:t>
      </w:r>
    </w:p>
    <w:p>
      <w:pPr>
        <w:spacing w:line="360" w:lineRule="auto" w:after="120"/>
        <w:jc w:val="both"/>
      </w:pPr>
      <w:r>
        <w:rPr>
          <w:rFonts w:ascii="Times New Roman" w:hAnsi="Times New Roman"/>
          <w:sz w:val="24"/>
        </w:rPr>
        <w:t>$$x{\text{scaled}} = \frac{x - \text{median}(x)}{\text{IQR}(x)} = \frac{x - Q2}{Q3 - Q1}$$</w:t>
      </w:r>
    </w:p>
    <w:p>
      <w:pPr>
        <w:spacing w:line="360" w:lineRule="auto" w:after="120"/>
        <w:jc w:val="both"/>
      </w:pPr>
      <w:r>
        <w:rPr>
          <w:rFonts w:ascii="Times New Roman" w:hAnsi="Times New Roman"/>
          <w:sz w:val="24"/>
        </w:rPr>
        <w:t>preventing extreme financial transaction outliers from distorting feature variance.</w:t>
      </w:r>
    </w:p>
    <w:p>
      <w:pPr>
        <w:spacing w:line="360" w:lineRule="auto" w:after="120"/>
        <w:ind w:left="432"/>
      </w:pPr>
      <w:r>
        <w:rPr>
          <w:rFonts w:ascii="Times New Roman" w:hAnsi="Times New Roman"/>
          <w:sz w:val="24"/>
        </w:rPr>
        <w:t>• Execute OmniSMOTE boundary-calibrated oversampling on training splits, raising minority class prevalence to balanced ratios while pruning boundary synthesis that overlaps majority clusters.</w:t>
      </w:r>
    </w:p>
    <w:p>
      <w:pPr>
        <w:keepNext/>
        <w:spacing w:before="240" w:after="120"/>
      </w:pPr>
      <w:r>
        <w:rPr>
          <w:rFonts w:ascii="Times New Roman" w:hAnsi="Times New Roman"/>
          <w:b/>
          <w:sz w:val="28"/>
        </w:rPr>
        <w:t>3.3.4 Phase 4: Stacking Ensemble Training &amp; Out-of-Fold Validation</w:t>
      </w:r>
    </w:p>
    <w:p>
      <w:pPr>
        <w:spacing w:line="360" w:lineRule="auto" w:after="120"/>
        <w:ind w:left="432"/>
      </w:pPr>
      <w:r>
        <w:rPr>
          <w:rFonts w:ascii="Times New Roman" w:hAnsi="Times New Roman"/>
          <w:sz w:val="24"/>
        </w:rPr>
        <w:t>• Partition datasets into stratified $80\%$ training and $20\%$ holdout testing splits.</w:t>
      </w:r>
    </w:p>
    <w:p>
      <w:pPr>
        <w:spacing w:line="360" w:lineRule="auto" w:after="120"/>
        <w:ind w:left="432"/>
      </w:pPr>
      <w:r>
        <w:rPr>
          <w:rFonts w:ascii="Times New Roman" w:hAnsi="Times New Roman"/>
          <w:sz w:val="24"/>
        </w:rPr>
        <w:t>• Train Level-0 base estimators: XGBoost (scaleposweight tuned), LightGBM (maxdepth=6, numleaves=31), and Random Forest (nestimators=100).</w:t>
      </w:r>
    </w:p>
    <w:p>
      <w:pPr>
        <w:spacing w:line="360" w:lineRule="auto" w:after="120"/>
        <w:ind w:left="432"/>
      </w:pPr>
      <w:r>
        <w:rPr>
          <w:rFonts w:ascii="Times New Roman" w:hAnsi="Times New Roman"/>
          <w:sz w:val="24"/>
        </w:rPr>
        <w:t>• Generate out-of-fold probability predictions using 5-fold stratified cross-validation.</w:t>
      </w:r>
    </w:p>
    <w:p>
      <w:pPr>
        <w:spacing w:line="360" w:lineRule="auto" w:after="120"/>
        <w:ind w:left="432"/>
      </w:pPr>
      <w:r>
        <w:rPr>
          <w:rFonts w:ascii="Times New Roman" w:hAnsi="Times New Roman"/>
          <w:sz w:val="24"/>
        </w:rPr>
        <w:t>• Train Level-1 Logistic Regression meta-learner ($C=1.0$) on meta-probability vectors.</w:t>
      </w:r>
    </w:p>
    <w:p>
      <w:pPr>
        <w:keepNext/>
        <w:spacing w:before="240" w:after="120"/>
      </w:pPr>
      <w:r>
        <w:rPr>
          <w:rFonts w:ascii="Times New Roman" w:hAnsi="Times New Roman"/>
          <w:b/>
          <w:sz w:val="28"/>
        </w:rPr>
        <w:t>3.3.5 Phase 5: Real-Time Explainability &amp; Decision Tuning</w:t>
      </w:r>
    </w:p>
    <w:p>
      <w:pPr>
        <w:spacing w:line="360" w:lineRule="auto" w:after="120"/>
        <w:ind w:left="432"/>
      </w:pPr>
      <w:r>
        <w:rPr>
          <w:rFonts w:ascii="Times New Roman" w:hAnsi="Times New Roman"/>
          <w:sz w:val="24"/>
        </w:rPr>
        <w:t>• Pre-compute TreeSHAP explainer trees using background reference transaction matrices.</w:t>
      </w:r>
    </w:p>
    <w:p>
      <w:pPr>
        <w:spacing w:line="360" w:lineRule="auto" w:after="120"/>
        <w:ind w:left="432"/>
      </w:pPr>
      <w:r>
        <w:rPr>
          <w:rFonts w:ascii="Times New Roman" w:hAnsi="Times New Roman"/>
          <w:sz w:val="24"/>
        </w:rPr>
        <w:t>• Formulate continuous risk calibration formulas fusing model probabilities with balance liquidation flags and velocity heuristics.</w:t>
      </w:r>
    </w:p>
    <w:p>
      <w:pPr>
        <w:spacing w:line="360" w:lineRule="auto" w:after="120"/>
        <w:ind w:left="432"/>
      </w:pPr>
      <w:r>
        <w:rPr>
          <w:rFonts w:ascii="Times New Roman" w:hAnsi="Times New Roman"/>
          <w:sz w:val="24"/>
        </w:rPr>
        <w:t>• Establish 3-tier classification thresholds: SAFE ($&lt; 45\%$), NEEDS REVIEW ($45\%-75\%$), FRAUD ($\ge 75\%$).</w:t>
      </w:r>
    </w:p>
    <w:p>
      <w:pPr>
        <w:keepNext/>
        <w:spacing w:before="240" w:after="120"/>
      </w:pPr>
      <w:r>
        <w:rPr>
          <w:rFonts w:ascii="Times New Roman" w:hAnsi="Times New Roman"/>
          <w:b/>
          <w:sz w:val="28"/>
        </w:rPr>
        <w:t>3.3.6 Phase 6: Continuous MLOps, Drift Auditing &amp; Federated Defense</w:t>
      </w:r>
    </w:p>
    <w:p>
      <w:pPr>
        <w:spacing w:line="360" w:lineRule="auto" w:after="120"/>
        <w:ind w:left="432"/>
      </w:pPr>
      <w:r>
        <w:rPr>
          <w:rFonts w:ascii="Times New Roman" w:hAnsi="Times New Roman"/>
          <w:sz w:val="24"/>
        </w:rPr>
        <w:t>• Deploy streaming Kolmogorov-Smirnov and PSI covariate shift detectors.</w:t>
      </w:r>
    </w:p>
    <w:p>
      <w:pPr>
        <w:spacing w:line="360" w:lineRule="auto" w:after="120"/>
        <w:ind w:left="432"/>
      </w:pPr>
      <w:r>
        <w:rPr>
          <w:rFonts w:ascii="Times New Roman" w:hAnsi="Times New Roman"/>
          <w:sz w:val="24"/>
        </w:rPr>
        <w:t>• Integrate in-memory NetworkX graph cycle algorithms for mule ring detection.</w:t>
      </w:r>
    </w:p>
    <w:p>
      <w:pPr>
        <w:spacing w:line="360" w:lineRule="auto" w:after="120"/>
        <w:ind w:left="432"/>
      </w:pPr>
      <w:r>
        <w:rPr>
          <w:rFonts w:ascii="Times New Roman" w:hAnsi="Times New Roman"/>
          <w:sz w:val="24"/>
        </w:rPr>
        <w:t>• Simulate Federated Averaging (FedAvg) rounds across banking nodes to validate privacy-preserving collaborative learning.</w:t>
      </w:r>
    </w:p>
    <w:p>
      <w:pPr>
        <w:keepNext/>
        <w:spacing w:before="280" w:after="160"/>
      </w:pPr>
      <w:r>
        <w:rPr>
          <w:rFonts w:ascii="Times New Roman" w:hAnsi="Times New Roman"/>
          <w:b/>
          <w:sz w:val="32"/>
        </w:rPr>
        <w:t>3.4 Technology Stack</w:t>
      </w:r>
    </w:p>
    <w:p>
      <w:pPr>
        <w:spacing w:line="360" w:lineRule="auto" w:after="120"/>
        <w:jc w:val="both"/>
      </w:pPr>
      <w:r>
        <w:rPr>
          <w:rFonts w:ascii="Times New Roman" w:hAnsi="Times New Roman"/>
          <w:sz w:val="24"/>
        </w:rPr>
        <w:t>The FraudShield AI technological architecture is constructed using modern, industry-standard languages, frameworks, and deployment containers:</w:t>
      </w:r>
    </w:p>
    <w:p>
      <w:pPr>
        <w:keepNext/>
        <w:spacing w:before="200" w:after="80"/>
      </w:pPr>
      <w:r>
        <w:rPr>
          <w:rFonts w:ascii="Times New Roman" w:hAnsi="Times New Roman"/>
          <w:b/>
          <w:sz w:val="24"/>
        </w:rPr>
        <w:t>Table 3.5: Comprehensive Technology Stack Specification</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250"/>
        <w:gridCol w:w="2250"/>
        <w:gridCol w:w="2250"/>
        <w:gridCol w:w="2250"/>
      </w:tblGrid>
      <w:tr>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Subsystem Layer</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Technology / Tool</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Version</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Architectural Role &amp; Justification</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Frontend Framework</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React</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19.0.0</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High-performance single-page application (SPA) library utilizing concurrent rendering and virtual DOM diffing.</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Build &amp; Bundler</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Vite</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6.0.0</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Next-generation frontend tooling providing sub-second Hot Module Replacement (HMR) and optimized Rollup builds.</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CSS &amp; Styling</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Tailwind CSS</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3.4.1</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Utility-first CSS framework enabling dark-mode glassmorphic aesthetics and responsive layouts without stylesheet bloat.</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Micro-Animations</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Framer Motion</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11.0.0</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Production-grade motion library for fluid UI transitions, expandable transaction triage drawers, and modal overlays.</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Network Visualization</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SVG / Canvas</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Native</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Interactive rendering of transaction topologies, circular money laundering rings, and account node clusters.</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Backend API Framework</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FastAPI</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0.115.0+</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Modern, asynchronous ASGI web framework built on Starlette and Pydantic with automatic OpenAPI documentation.</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ASGI Web Server</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Uvicorn</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0.30.0+</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Lightning-fast asynchronous server implementation for Python based on uvloop and httptools.</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Data Validation</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Pydantic</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2.8.0+</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Robust data validation and schema enforcement utilizing Python type hints with zero-overhead runtime parsing.</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Machine Learning Core</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Scikit-Learn</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1.5.0+</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Core machine learning library providing StackingClassifier, RobustScaler, metrics benchmarking, and model persistence.</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Gradient Boosting (1)</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XGBoost</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2.1.0+</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Extreme Gradient Boosting library optimized for fast parallel tree construction and positive class weighting.</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Gradient Boosting (2)</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LightGBM</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4.4.0+</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High-performance gradient boosting framework utilizing histogram binning, GOSS, and leaf-wise tree growth.</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Imbalanced Learning</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Imbalanced-Learn</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0.12.0+</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Advanced resampling suite providing SMOTE, Borderline-SMOTE, and ADASYN implementations.</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Explainable AI (XAI)</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SHAP (TreeSHAP)</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0.46.0+</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Game-theoretic feature attribution library providing exact polynomial-time TreeSHAP calculations.</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Graph Intelligence</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NetworkX</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3.3.0+</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Comprehensive Python graph library for building transaction networks, finding cycles, and computing degree centrality.</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Security &amp; JWT</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PyJWT</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2.8.0+</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Cryptographic JSON Web Token implementation for stateless, secure session authentication and RBAC claims.</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Containerization</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Docker &amp; Compose</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26.0+</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Container virtualization ensuring consistent, reproducible deployment across development, staging, and production.</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Automated Testing</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Pytest</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8.2.0+</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Mature Python testing framework used for unit testing, endpoint integration testing, and regression suites.</w:t>
            </w:r>
          </w:p>
        </w:tc>
      </w:tr>
    </w:tbl>
    <w:p>
      <w:pPr>
        <w:spacing w:after="120"/>
      </w:pPr>
    </w:p>
    <w:p>
      <w:pPr>
        <w:keepNext/>
        <w:spacing w:before="280" w:after="160"/>
      </w:pPr>
      <w:r>
        <w:rPr>
          <w:rFonts w:ascii="Times New Roman" w:hAnsi="Times New Roman"/>
          <w:b/>
          <w:sz w:val="32"/>
        </w:rPr>
        <w:t>3.5 Gantt Chart and Process Model</w:t>
      </w:r>
    </w:p>
    <w:p>
      <w:pPr>
        <w:keepNext/>
        <w:spacing w:before="240" w:after="120"/>
      </w:pPr>
      <w:r>
        <w:rPr>
          <w:rFonts w:ascii="Times New Roman" w:hAnsi="Times New Roman"/>
          <w:b/>
          <w:sz w:val="28"/>
        </w:rPr>
        <w:t>3.5.1 Agile Scrum Process Model</w:t>
      </w:r>
    </w:p>
    <w:p>
      <w:pPr>
        <w:spacing w:line="360" w:lineRule="auto" w:after="120"/>
        <w:jc w:val="both"/>
      </w:pPr>
      <w:r>
        <w:rPr>
          <w:rFonts w:ascii="Times New Roman" w:hAnsi="Times New Roman"/>
          <w:sz w:val="24"/>
        </w:rPr>
        <w:t>FraudShield AI was developed utilizing the Agile Scrum methodology. Development was divided into six two-week sprints grouped into two macro project phases:</w:t>
      </w:r>
    </w:p>
    <w:p>
      <w:pPr>
        <w:keepNext/>
        <w:spacing w:before="200" w:after="80"/>
      </w:pPr>
      <w:r>
        <w:rPr>
          <w:rFonts w:ascii="Times New Roman" w:hAnsi="Times New Roman"/>
          <w:b/>
          <w:sz w:val="24"/>
        </w:rPr>
        <w:t>Table 3.6: Agile Sprint Backlog, Story Points, and Delivery Milestones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800"/>
        <w:gridCol w:w="1800"/>
        <w:gridCol w:w="1800"/>
        <w:gridCol w:w="1800"/>
        <w:gridCol w:w="1800"/>
      </w:tblGrid>
      <w:tr>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Sprint No.</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Sprint Focus &amp; Core Deliverables</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Story Points</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Duration</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Milestones Achieved</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Sprint 1</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Problem Formulation, Regulatory Audit, Dataset Acquisition</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25 pts</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Weeks 1–3</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Project Dossier, Dataset Ingestion Pipeline, Baseline EDA.</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Sprint 2</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Data Preprocessing, RobustScaler, OmniSMOTE Resampling</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35 pts</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Weeks 4–6</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Cleaned multi-domain datasets, balanced training partitions.</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Sprint 3</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Stacking Ensemble Training &amp; Hyperparameter Optimization</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45 pts</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Weeks 7–9</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Level-0 XGB/LGBM/RF models, Level-1 Meta-Learner, 5-fold CV.</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Sprint 4</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TreeSHAP Integration, FCRA Reason Codes, Risk Calibration</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40 pts</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Weeks 10–12</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Sub-50ms TreeSHAP engine, 3-tier calibrated risk scoring.</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Sprint 5</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FastAPI Microservice Gateway, RBAC, Security &amp; Audit Logs</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35 pts</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Weeks 13–15</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Complete REST API endpoints (/analyze, /health, /auth).</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Sprint 6</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React 19 Frontend SPA, Live Stream, Network Graph, Docker</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40 pts</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Weeks 16–18</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Full-stack containerized platform, live stream simulator, Blue Book.</w:t>
            </w:r>
          </w:p>
        </w:tc>
      </w:tr>
    </w:tbl>
    <w:p>
      <w:pPr>
        <w:spacing w:after="120"/>
      </w:pPr>
    </w:p>
    <w:p>
      <w:pPr>
        <w:keepNext/>
        <w:spacing w:before="240" w:after="120"/>
      </w:pPr>
      <w:r>
        <w:rPr>
          <w:rFonts w:ascii="Times New Roman" w:hAnsi="Times New Roman"/>
          <w:b/>
          <w:sz w:val="28"/>
        </w:rPr>
        <w:t>3.5.2 Gantt Chart Schedule</w:t>
      </w:r>
    </w:p>
    <w:p>
      <w:pPr>
        <w:spacing w:line="360" w:lineRule="auto" w:after="120"/>
        <w:jc w:val="both"/>
      </w:pPr>
      <w:r>
        <w:rPr>
          <w:rFonts w:ascii="Times New Roman" w:hAnsi="Times New Roman"/>
          <w:sz w:val="24"/>
        </w:rPr>
        <w:t>The visual timeline illustrating task sequencing, dependency relationships, and milestone completions across the academic cycle is shown below:</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w:t>
              <w:br/>
              <w:t>│                            FRAUDSHIELD AI PROJECT GANTT CHART                               │</w:t>
              <w:br/>
              <w:t>│                                                                                             │</w:t>
              <w:br/>
              <w:t>│ Phase / Task Name            W1  W2  W3  W4  W5  W6  W7  W8  W9  W10 W11 W12 W13 W14 W15 W16│</w:t>
              <w:br/>
              <w:t>│ ─────────────────────────────────────────────────────────────────────────────────────────── │</w:t>
              <w:br/>
              <w:t>│ 1. Problem Def &amp; Literature  [██████]                                                       │</w:t>
              <w:br/>
              <w:t>│ 2. Data Acquisition &amp; EDA        [██████]                                                   │</w:t>
              <w:br/>
              <w:t>│ 3. Preprocessing &amp; Resample          [██████]                                               │</w:t>
              <w:br/>
              <w:t>│ 4. Stacking Model Training               [██████████]                                       │</w:t>
              <w:br/>
              <w:t>│ 5. TreeSHAP &amp; Risk Engine                        [██████████]                               │</w:t>
              <w:br/>
              <w:t>│ 6. FastAPI Backend &amp; RBAC                                [██████████]                       │</w:t>
              <w:br/>
              <w:t>│ 7. React 19 Frontend UI                                      [██████████]                   │</w:t>
              <w:br/>
              <w:t>│ 8. Graph &amp; Drift Modules                                             [██████████]           │</w:t>
              <w:br/>
              <w:t>│ 9. Automated Testing &amp; Docker                                                [██████]       │</w:t>
              <w:br/>
              <w:t>│ 10. Blue Book Documentation                                                      [████████] │</w:t>
              <w:br/>
              <w:t>└─────────────────────────────────────────────────────────────────────────────────────────────┘</w:t>
            </w:r>
          </w:p>
        </w:tc>
      </w:tr>
    </w:tbl>
    <w:p>
      <w:pPr>
        <w:spacing w:after="120"/>
      </w:pPr>
    </w:p>
    <w:p>
      <w:pPr>
        <w:keepNext/>
        <w:spacing w:before="280" w:after="160"/>
      </w:pPr>
      <w:r>
        <w:rPr>
          <w:rFonts w:ascii="Times New Roman" w:hAnsi="Times New Roman"/>
          <w:b/>
          <w:sz w:val="32"/>
        </w:rPr>
        <w:t>3.6 System Analysis (Functional, Structural, and Behavioral Models)</w:t>
      </w:r>
    </w:p>
    <w:p>
      <w:pPr>
        <w:spacing w:line="360" w:lineRule="auto" w:after="120"/>
        <w:jc w:val="both"/>
      </w:pPr>
      <w:r>
        <w:rPr>
          <w:rFonts w:ascii="Times New Roman" w:hAnsi="Times New Roman"/>
          <w:sz w:val="24"/>
        </w:rPr>
        <w:t>System analysis provides formal object-oriented and structural models representing system capabilities, entity relationships, and temporal interaction lifecycles.</w:t>
      </w:r>
    </w:p>
    <w:p>
      <w:pPr>
        <w:keepNext/>
        <w:spacing w:before="240" w:after="120"/>
      </w:pPr>
      <w:r>
        <w:rPr>
          <w:rFonts w:ascii="Times New Roman" w:hAnsi="Times New Roman"/>
          <w:b/>
          <w:sz w:val="28"/>
        </w:rPr>
        <w:t>3.6.1 Functional Model: Use Case Diagram &amp; Specifications</w:t>
      </w:r>
    </w:p>
    <w:p>
      <w:pPr>
        <w:spacing w:line="360" w:lineRule="auto" w:after="120"/>
        <w:jc w:val="both"/>
      </w:pPr>
      <w:r>
        <w:rPr>
          <w:rFonts w:ascii="Times New Roman" w:hAnsi="Times New Roman"/>
          <w:sz w:val="24"/>
        </w:rPr>
        <w:t>The Use Case model defines interactions between external human/machine actors and system capabilities:</w:t>
      </w:r>
    </w:p>
    <w:p>
      <w:pPr>
        <w:spacing w:line="360" w:lineRule="auto" w:after="120"/>
        <w:ind w:left="432"/>
      </w:pPr>
      <w:r>
        <w:rPr>
          <w:rFonts w:ascii="Times New Roman" w:hAnsi="Times New Roman"/>
          <w:sz w:val="24"/>
        </w:rPr>
        <w:t>• Actors:</w:t>
      </w:r>
    </w:p>
    <w:p>
      <w:pPr>
        <w:spacing w:line="360" w:lineRule="auto" w:after="120"/>
        <w:ind w:left="432"/>
      </w:pPr>
      <w:r>
        <w:rPr>
          <w:rFonts w:ascii="Times New Roman" w:hAnsi="Times New Roman"/>
          <w:sz w:val="24"/>
        </w:rPr>
        <w:t>1. External Core Banking / Webhook: Machine actor submitting live transaction payloads via API.</w:t>
      </w:r>
    </w:p>
    <w:p>
      <w:pPr>
        <w:spacing w:line="360" w:lineRule="auto" w:after="120"/>
        <w:ind w:left="432"/>
      </w:pPr>
      <w:r>
        <w:rPr>
          <w:rFonts w:ascii="Times New Roman" w:hAnsi="Times New Roman"/>
          <w:sz w:val="24"/>
        </w:rPr>
        <w:t>2. SOC Fraud Analyst: Human security operator monitoring live transaction feeds, triaging alerts, inspecting single transactions, and investigating mule rings.</w:t>
      </w:r>
    </w:p>
    <w:p>
      <w:pPr>
        <w:spacing w:line="360" w:lineRule="auto" w:after="120"/>
        <w:ind w:left="432"/>
      </w:pPr>
      <w:r>
        <w:rPr>
          <w:rFonts w:ascii="Times New Roman" w:hAnsi="Times New Roman"/>
          <w:sz w:val="24"/>
        </w:rPr>
        <w:t>3. Compliance Officer: Regulatory auditor reviewing TreeSHAP attributions, generating FCRA Adverse Action letters, and inspecting audit logs.</w:t>
      </w:r>
    </w:p>
    <w:p>
      <w:pPr>
        <w:spacing w:line="360" w:lineRule="auto" w:after="120"/>
        <w:ind w:left="432"/>
      </w:pPr>
      <w:r>
        <w:rPr>
          <w:rFonts w:ascii="Times New Roman" w:hAnsi="Times New Roman"/>
          <w:sz w:val="24"/>
        </w:rPr>
        <w:t>4. System Administrator: Technical operator executing synthetic drift spikes, triggering federated learning rounds, managing API keys, and managing user accounts.</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 xml:space="preserve">                               USE CASE DIAGRAM: FRAUDSHIELD AI</w:t>
              <w:br/>
              <w:br/>
              <w:t xml:space="preserve">     ┌─────────────────┐                                                 ┌─────────────────┐</w:t>
              <w:br/>
              <w:t xml:space="preserve">     │  Banking Core / │                                                 │   SOC Analyst   │</w:t>
              <w:br/>
              <w:t xml:space="preserve">     │     Webhook     │                                                 │     Actor       │</w:t>
              <w:br/>
              <w:t xml:space="preserve">     └────────┬────────┘                                                 └────────┬────────┘</w:t>
              <w:br/>
              <w:t xml:space="preserve">              │                                                                   │</w:t>
              <w:br/>
              <w:t xml:space="preserve">              │──► [UC-01: Ingest Transaction Payload]                           │</w:t>
              <w:br/>
              <w:t xml:space="preserve">              │──► [UC-02: Synchronous Fraud Risk Scoring] ◄──────────────────────┤</w:t>
              <w:br/>
              <w:t xml:space="preserve">              │                                                                   │</w:t>
              <w:br/>
              <w:t xml:space="preserve">              │                                      [UC-03: View Live Stream] ◄──┤</w:t>
              <w:br/>
              <w:t xml:space="preserve">              │                                      [UC-04: Single Txn Triage]◄──┤</w:t>
              <w:br/>
              <w:t xml:space="preserve">              │                                      [UC-05: Inspect TreeSHAP] ◄──┤</w:t>
              <w:br/>
              <w:t xml:space="preserve">              │                                      [UC-06: Investigate Mule] ◄──┤</w:t>
              <w:br/>
              <w:t xml:space="preserve">              │                                                                   │</w:t>
              <w:br/>
              <w:t xml:space="preserve">     ┌────────┴────────┐                                                 ┌────────┴────────┐</w:t>
              <w:br/>
              <w:t xml:space="preserve">     │   Compliance    │                                                 │  System Admin   │</w:t>
              <w:br/>
              <w:t xml:space="preserve">     │     Officer     │                                                 │     Actor       │</w:t>
              <w:br/>
              <w:t xml:space="preserve">     └────────┬────────┘                                                 └────────┬────────┘</w:t>
              <w:br/>
              <w:t xml:space="preserve">              │                                                                   │</w:t>
              <w:br/>
              <w:t xml:space="preserve">              │──► [UC-07: Generate FCRA Adverse Action Letter]                  │</w:t>
              <w:br/>
              <w:t xml:space="preserve">              │──► [UC-08: Audit Immutable Security Trail] ◄──────────────────────┤</w:t>
              <w:br/>
              <w:t xml:space="preserve">              │──► [UC-09: Monitor Concept Drift Metrics]  ◄──────────────────────┤</w:t>
              <w:br/>
              <w:t xml:space="preserve">              │                                                                   │</w:t>
              <w:br/>
              <w:t xml:space="preserve">              │                                      [UC-10: Trigger FedAvg]   ◄──┤</w:t>
              <w:br/>
              <w:t xml:space="preserve">              │                                      [UC-11: Inject Drift Spike]◄─┤</w:t>
              <w:br/>
              <w:t xml:space="preserve">              │                                      [UC-12: Manage User RBAC] ◄──┘</w:t>
            </w:r>
          </w:p>
        </w:tc>
      </w:tr>
    </w:tbl>
    <w:p>
      <w:pPr>
        <w:spacing w:after="120"/>
      </w:pPr>
    </w:p>
    <w:p>
      <w:pPr>
        <w:keepNext/>
        <w:spacing w:before="240" w:after="120"/>
      </w:pPr>
      <w:r>
        <w:rPr>
          <w:rFonts w:ascii="Times New Roman" w:hAnsi="Times New Roman"/>
          <w:b/>
          <w:sz w:val="28"/>
        </w:rPr>
        <w:t>3.6.2 Structural Model: Unified Class Diagram</w:t>
      </w:r>
    </w:p>
    <w:p>
      <w:pPr>
        <w:spacing w:line="360" w:lineRule="auto" w:after="120"/>
        <w:jc w:val="both"/>
      </w:pPr>
      <w:r>
        <w:rPr>
          <w:rFonts w:ascii="Times New Roman" w:hAnsi="Times New Roman"/>
          <w:sz w:val="24"/>
        </w:rPr>
        <w:t>The class diagram illustrates the object-oriented structure of the backend analytical engines, data schemas, and API gateway:</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                 ┌─────────────────────────────────┐</w:t>
              <w:br/>
              <w:t>│        TransactionPayload       │                 │         PredictionResult        │</w:t>
              <w:br/>
              <w:t>├─────────────────────────────────┤                 ├─────────────────────────────────┤</w:t>
              <w:br/>
              <w:t>│ + domain: str                   │                 │ + transaction_id: str           │</w:t>
              <w:br/>
              <w:t>│ + raw_features: dict            │                 │ + raw_probability: float        │</w:t>
              <w:br/>
              <w:t>│ + timestamp: datetime           │                 │ + risk_score: float             │</w:t>
              <w:br/>
              <w:t>│ + ip_address: Optional[str]     │                 │ + decision_tier: str            │</w:t>
              <w:br/>
              <w:t>├─────────────────────────────────┤                 │ + is_fraud: bool                │</w:t>
              <w:br/>
              <w:t>│ + validate_schema(): bool       │                 │ + latency_ms: float             │</w:t>
              <w:br/>
              <w:t>│ + to_feature_vector(): ndarray  │                 └─────────────────────────────────┘</w:t>
              <w:br/>
              <w:t>└───────────────┬─────────────────┘                                  ▲</w:t>
              <w:br/>
              <w:t xml:space="preserve">                │                                                    │</w:t>
              <w:br/>
              <w:t xml:space="preserve">                ▼                                                    │ generates</w:t>
              <w:br/>
              <w:t>┌─────────────────────────────────┐                                  │</w:t>
              <w:br/>
              <w:t>│        ModelEngineRegistry      │                                  │</w:t>
              <w:br/>
              <w:t>├─────────────────────────────────┤                                  │</w:t>
              <w:br/>
              <w:t>│ - model_heads: dict             │                                  │</w:t>
              <w:br/>
              <w:t>│ - meta_learners: dict           │                                  │</w:t>
              <w:br/>
              <w:t>│ - scalers: dict                 │                                  │</w:t>
              <w:br/>
              <w:t>├─────────────────────────────────┤                                  │</w:t>
              <w:br/>
              <w:t>│ + detect_domain(data): str      │                                  │</w:t>
              <w:br/>
              <w:t>│ + predict(payload): Result ─────┼──────────────────────────────────┘</w:t>
              <w:br/>
              <w:t>│ + get_model_metrics(): dict     │</w:t>
              <w:br/>
              <w:t>└───────────────┬─────────────────┘</w:t>
              <w:br/>
              <w:t xml:space="preserve">                │ delegates to</w:t>
              <w:br/>
              <w:t xml:space="preserve">                ▼</w:t>
              <w:br/>
              <w:t>┌─────────────────────────────────┐                 ┌─────────────────────────────────┐</w:t>
              <w:br/>
              <w:t>│        StackingEnsemble         │                 │         TreeSHAPExplainer       │</w:t>
              <w:br/>
              <w:t>├─────────────────────────────────┤                 ├─────────────────────────────────┤</w:t>
              <w:br/>
              <w:t>│ - xgb_model: XGBClassifier      │                 │ - explainer: TreeExplainer      │</w:t>
              <w:br/>
              <w:t>│ - lgb_model: LGBMClassifier     │                 │ - background_data: ndarray      │</w:t>
              <w:br/>
              <w:t>│ - rf_model: RandomForestClass   │                 ├─────────────────────────────────┤</w:t>
              <w:br/>
              <w:t>│ - meta_learner: LogisticRegress │                 │ + explain_instance(x): dict     │</w:t>
              <w:br/>
              <w:t>├─────────────────────────────────┤                 │ + get_waterfall_plot(x): dict   │</w:t>
              <w:br/>
              <w:t>│ + fit(X, y): void               │                 │ + map_fcra_reason_codes(): list │</w:t>
              <w:br/>
              <w:t>│ + predict_proba(X): ndarray     │                 └─────────────────────────────────┘</w:t>
              <w:br/>
              <w:t>└─────────────────────────────────┘</w:t>
            </w:r>
          </w:p>
        </w:tc>
      </w:tr>
    </w:tbl>
    <w:p>
      <w:pPr>
        <w:spacing w:after="120"/>
      </w:pPr>
    </w:p>
    <w:p>
      <w:pPr>
        <w:keepNext/>
        <w:spacing w:before="240" w:after="120"/>
      </w:pPr>
      <w:r>
        <w:rPr>
          <w:rFonts w:ascii="Times New Roman" w:hAnsi="Times New Roman"/>
          <w:b/>
          <w:sz w:val="28"/>
        </w:rPr>
        <w:t>3.6.3 Behavioral Model: Sequence Diagram</w:t>
      </w:r>
    </w:p>
    <w:p>
      <w:pPr>
        <w:spacing w:line="360" w:lineRule="auto" w:after="120"/>
        <w:jc w:val="both"/>
      </w:pPr>
      <w:r>
        <w:rPr>
          <w:rFonts w:ascii="Times New Roman" w:hAnsi="Times New Roman"/>
          <w:sz w:val="24"/>
        </w:rPr>
        <w:t>The sequence diagram illustrates the temporal execution flow when a client or analyst submits a transaction for scoring, explainability, and graph lookup:</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 xml:space="preserve"> Client / UI              FastAPI Gateway           ModelEngine           TreeSHAP           NetworkX Graph</w:t>
              <w:br/>
              <w:t xml:space="preserve">      │                          │                       │                    │                     │</w:t>
              <w:br/>
              <w:t xml:space="preserve">      │── POST /analyze (JSON) ─►│                       │                    │                     │</w:t>
              <w:br/>
              <w:t xml:space="preserve">      │                          │── validate JWT/Auth ─►│                    │                     │</w:t>
              <w:br/>
              <w:t xml:space="preserve">      │                          │── detect schema ─────►│                    │                     │</w:t>
              <w:br/>
              <w:t xml:space="preserve">      │                          │                       │                    │                     │</w:t>
              <w:br/>
              <w:t xml:space="preserve">      │                          │── predict_proba() ───►│                    │                     │</w:t>
              <w:br/>
              <w:t xml:space="preserve">      │                          │                       │── L0 Base Predict ─│                     │</w:t>
              <w:br/>
              <w:t xml:space="preserve">      │                          │                       │── L1 Meta Predict ─│                     │</w:t>
              <w:br/>
              <w:t xml:space="preserve">      │                          │                       │◄─ raw prob (p) ────│                     │</w:t>
              <w:br/>
              <w:t xml:space="preserve">      │                          │                       │                    │                     │</w:t>
              <w:br/>
              <w:t xml:space="preserve">      │                          │── compute risk score ─│                    │                     │</w:t>
              <w:br/>
              <w:t xml:space="preserve">      │                          │                       │── explain(x) ─────►│                     │</w:t>
              <w:br/>
              <w:t xml:space="preserve">      │                          │                       │◄─ shap values (phi)│                     │</w:t>
              <w:br/>
              <w:t xml:space="preserve">      │                          │                       │                    │                     │</w:t>
              <w:br/>
              <w:t xml:space="preserve">      │                          │── check cycles/mule ────────────────────────────────────────────►│</w:t>
              <w:br/>
              <w:t xml:space="preserve">      │                          │◄── return mule score &amp; cycle flag ───────────────────────────────│</w:t>
              <w:br/>
              <w:t xml:space="preserve">      │                          │                       │                    │                     │</w:t>
              <w:br/>
              <w:t xml:space="preserve">      │                          │── compile JSON result │                    │                     │</w:t>
              <w:br/>
              <w:t xml:space="preserve">      │◄── HTTP 200 (Risk, XAI) ─│                       │                    │                     │</w:t>
            </w:r>
          </w:p>
        </w:tc>
      </w:tr>
    </w:tbl>
    <w:p>
      <w:pPr>
        <w:spacing w:after="120"/>
      </w:pPr>
    </w:p>
    <w:p>
      <w:pPr>
        <w:spacing w:line="360" w:lineRule="auto" w:after="120"/>
        <w:jc w:val="both"/>
      </w:pPr>
      <w:r>
        <w:rPr>
          <w:rFonts w:ascii="Times New Roman" w:hAnsi="Times New Roman"/>
          <w:sz w:val="24"/>
        </w:rPr>
        <w:t>End of Chapter 3 — Requirement Gathering, Analysis and Planning</w:t>
      </w:r>
    </w:p>
    <w:p>
      <w:r>
        <w:br w:type="page"/>
      </w:r>
    </w:p>
    <w:p>
      <w:pPr>
        <w:keepNext/>
        <w:spacing w:before="360" w:after="200"/>
        <w:jc w:val="center"/>
      </w:pPr>
      <w:r>
        <w:rPr>
          <w:rFonts w:ascii="Times New Roman" w:hAnsi="Times New Roman"/>
          <w:b/>
          <w:sz w:val="36"/>
        </w:rPr>
        <w:t>Chapter 4: System Design and Experimental Set up</w:t>
      </w:r>
    </w:p>
    <w:p>
      <w:pPr>
        <w:keepNext/>
        <w:spacing w:before="280" w:after="160"/>
      </w:pPr>
      <w:r>
        <w:rPr>
          <w:rFonts w:ascii="Times New Roman" w:hAnsi="Times New Roman"/>
          <w:b/>
          <w:sz w:val="32"/>
        </w:rPr>
        <w:t>4.1 System Architecture &amp; Diagrams</w:t>
      </w:r>
    </w:p>
    <w:p>
      <w:pPr>
        <w:spacing w:line="360" w:lineRule="auto" w:after="120"/>
        <w:jc w:val="both"/>
      </w:pPr>
      <w:r>
        <w:rPr>
          <w:rFonts w:ascii="Times New Roman" w:hAnsi="Times New Roman"/>
          <w:sz w:val="24"/>
        </w:rPr>
        <w:t>System design translates the functional, performance, and regulatory requirements formulated in Chapter 3 into a concrete, robust engineering specification. The architecture of FraudShield AI is engineered around principles of loose coupling, high cohesion, asynchronous execution, and mathematical transparency.</w:t>
      </w:r>
    </w:p>
    <w:p>
      <w:pPr>
        <w:keepNext/>
        <w:spacing w:before="240" w:after="120"/>
      </w:pPr>
      <w:r>
        <w:rPr>
          <w:rFonts w:ascii="Times New Roman" w:hAnsi="Times New Roman"/>
          <w:b/>
          <w:sz w:val="28"/>
        </w:rPr>
        <w:t>4.1.1 Data Flow Diagrams (DFD)</w:t>
      </w:r>
    </w:p>
    <w:p>
      <w:pPr>
        <w:spacing w:line="360" w:lineRule="auto" w:after="120"/>
        <w:jc w:val="both"/>
      </w:pPr>
      <w:r>
        <w:rPr>
          <w:rFonts w:ascii="Times New Roman" w:hAnsi="Times New Roman"/>
          <w:sz w:val="24"/>
        </w:rPr>
        <w:t>Data Flow Diagrams model the movement, transformation, and storage of financial transaction data across system boundaries.</w:t>
      </w:r>
    </w:p>
    <w:p>
      <w:pPr>
        <w:keepNext/>
        <w:spacing w:before="200" w:after="80"/>
      </w:pPr>
      <w:r>
        <w:rPr>
          <w:rFonts w:ascii="Times New Roman" w:hAnsi="Times New Roman"/>
          <w:b/>
          <w:sz w:val="24"/>
        </w:rPr>
        <w:t>4.1.1.1 DFD Level 0 (Context Diagram)</w:t>
      </w:r>
    </w:p>
    <w:p>
      <w:pPr>
        <w:spacing w:line="360" w:lineRule="auto" w:after="120"/>
        <w:jc w:val="both"/>
      </w:pPr>
      <w:r>
        <w:rPr>
          <w:rFonts w:ascii="Times New Roman" w:hAnsi="Times New Roman"/>
          <w:sz w:val="24"/>
        </w:rPr>
        <w:t>The Level 0 context diagram represents the overall system boundary, external entities, and high-level data conduits:</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                               ┌────────────────────────────────┐</w:t>
              <w:br/>
              <w:t>│   External Banking Core /      │ ─── Transaction Ingestion ──► │                                │</w:t>
              <w:br/>
              <w:t>│      Merchant Webhook          │ ◄─── Auth Flag &amp; Risk Score ── │                                │</w:t>
              <w:br/>
              <w:t>└────────────────────────────────┘                               │                                │</w:t>
              <w:br/>
              <w:t xml:space="preserve">                                                                 │                                │</w:t>
              <w:br/>
              <w:t>┌────────────────────────────────┐                               │                                │</w:t>
              <w:br/>
              <w:t>│                                │ ─── Analyst Override &amp; Triage►│       FRAUDSHIELD AI           │</w:t>
              <w:br/>
              <w:t>│       SOC Fraud Analyst        │ ◄─── Stream Feed &amp; Network ───│    INTELLIGENT DECISION        │</w:t>
              <w:br/>
              <w:t>│                                │                               │          PLATFORM              │</w:t>
              <w:br/>
              <w:t>└────────────────────────────────┘                               │                                │</w:t>
              <w:br/>
              <w:t xml:space="preserve">                                                                 │                                │</w:t>
              <w:br/>
              <w:t>┌────────────────────────────────┐                               │                                │</w:t>
              <w:br/>
              <w:t>│                                │ ─── Audit &amp; Dispute Inquiries►│                                │</w:t>
              <w:br/>
              <w:t>│       Compliance Officer       │ ◄─── TreeSHAP &amp; FCRA Reason ── │                                │</w:t>
              <w:br/>
              <w:t>└────────────────────────────────┘                               └────────────────────────────────┘</w:t>
            </w:r>
          </w:p>
        </w:tc>
      </w:tr>
    </w:tbl>
    <w:p>
      <w:pPr>
        <w:spacing w:after="120"/>
      </w:pPr>
    </w:p>
    <w:p>
      <w:pPr>
        <w:keepNext/>
        <w:spacing w:before="200" w:after="80"/>
      </w:pPr>
      <w:r>
        <w:rPr>
          <w:rFonts w:ascii="Times New Roman" w:hAnsi="Times New Roman"/>
          <w:b/>
          <w:sz w:val="24"/>
        </w:rPr>
        <w:t>4.1.1.2 DFD Level 1 (Modular Functional Decomposition)</w:t>
      </w:r>
    </w:p>
    <w:p>
      <w:pPr>
        <w:spacing w:line="360" w:lineRule="auto" w:after="120"/>
        <w:jc w:val="both"/>
      </w:pPr>
      <w:r>
        <w:rPr>
          <w:rFonts w:ascii="Times New Roman" w:hAnsi="Times New Roman"/>
          <w:sz w:val="24"/>
        </w:rPr>
        <w:t>The Level 1 DFD decomposes the system into six primary process components and persistent data stores:</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 xml:space="preserve">                      [ Incoming Transaction Payload ]</w:t>
              <w:br/>
              <w:t xml:space="preserve">                                     │</w:t>
              <w:br/>
              <w:t xml:space="preserve">                                     ▼</w:t>
              <w:br/>
              <w:t xml:space="preserve">                      ┌──────────────────────────────┐</w:t>
              <w:br/>
              <w:t xml:space="preserve">                      │    1.0 Ingestion &amp; Security  │</w:t>
              <w:br/>
              <w:t xml:space="preserve">                      │         (FastAPI Auth)       │</w:t>
              <w:br/>
              <w:t xml:space="preserve">                      └──────────────┬───────────────┘</w:t>
              <w:br/>
              <w:t xml:space="preserve">                                     │ Validated Data</w:t>
              <w:br/>
              <w:t xml:space="preserve">                                     ▼</w:t>
              <w:br/>
              <w:t xml:space="preserve">                      ┌──────────────────────────────┐</w:t>
              <w:br/>
              <w:t xml:space="preserve">                      │    2.0 Schema Detection &amp;    │</w:t>
              <w:br/>
              <w:t xml:space="preserve">                      │        Domain Routing        │</w:t>
              <w:br/>
              <w:t xml:space="preserve">                      └──────────────┬───────────────┘</w:t>
              <w:br/>
              <w:t xml:space="preserve">                                     │ Normalized Features</w:t>
              <w:br/>
              <w:t xml:space="preserve">                                     ▼</w:t>
              <w:br/>
              <w:t xml:space="preserve">        ┌────────────────────────────────────────────────────────┐</w:t>
              <w:br/>
              <w:t xml:space="preserve">        │                                                        │</w:t>
              <w:br/>
              <w:t xml:space="preserve">        ▼                                                        ▼</w:t>
              <w:br/>
              <w:t>┌──────────────────────────────┐                         ┌──────────────────────────────┐</w:t>
              <w:br/>
              <w:t>│  3.0 Stacking Ensemble       │                         │  4.0 Explainable AI          │</w:t>
              <w:br/>
              <w:t>│      Predictive Engine       │ ── Raw Probability (p) ─│      (TreeSHAP Engine)       │</w:t>
              <w:br/>
              <w:t>└──────────────┬───────────────┘                         └──────────────┬───────────────┘</w:t>
              <w:br/>
              <w:t xml:space="preserve">               │                                                        │ Shapley Values (phi)</w:t>
              <w:br/>
              <w:t xml:space="preserve">               ▼                                                        ▼</w:t>
              <w:br/>
              <w:t>┌──────────────────────────────┐                         ┌──────────────────────────────┐</w:t>
              <w:br/>
              <w:t>│  5.0 Calibrated Continuous   │                         │  6.0 Graph Intelligence &amp;    │</w:t>
              <w:br/>
              <w:t>│      Risk Engine (3-Tier)    │                         │      Mule Ring Analyzer      │</w:t>
              <w:br/>
              <w:t>└──────────────┬───────────────┘                         └──────────────┬───────────────┘</w:t>
              <w:br/>
              <w:t xml:space="preserve">               │                                                        │</w:t>
              <w:br/>
              <w:t xml:space="preserve">               └────────────────────────┬───────────────────────────────┘</w:t>
              <w:br/>
              <w:t xml:space="preserve">                                        │ Composite Decision &amp; XAI Metadata</w:t>
              <w:br/>
              <w:t xml:space="preserve">                                        ▼</w:t>
              <w:br/>
              <w:t xml:space="preserve">                         ┌──────────────────────────────┐</w:t>
              <w:br/>
              <w:t xml:space="preserve">                         │   Client Response Delivery   │</w:t>
              <w:br/>
              <w:t xml:space="preserve">                         │    &amp; Immutable Audit Log     │</w:t>
              <w:br/>
              <w:t xml:space="preserve">                         └──────────────────────────────┘</w:t>
            </w:r>
          </w:p>
        </w:tc>
      </w:tr>
    </w:tbl>
    <w:p>
      <w:pPr>
        <w:spacing w:after="120"/>
      </w:pPr>
    </w:p>
    <w:p>
      <w:pPr>
        <w:keepNext/>
        <w:spacing w:before="200" w:after="80"/>
      </w:pPr>
      <w:r>
        <w:rPr>
          <w:rFonts w:ascii="Times New Roman" w:hAnsi="Times New Roman"/>
          <w:b/>
          <w:sz w:val="24"/>
        </w:rPr>
        <w:t>4.1.1.3 DFD Level 2 (In-Depth Analytical Scoring &amp; Graph Process)</w:t>
      </w:r>
    </w:p>
    <w:p>
      <w:pPr>
        <w:spacing w:line="360" w:lineRule="auto" w:after="120"/>
        <w:jc w:val="both"/>
      </w:pPr>
      <w:r>
        <w:rPr>
          <w:rFonts w:ascii="Times New Roman" w:hAnsi="Times New Roman"/>
          <w:sz w:val="24"/>
        </w:rPr>
        <w:t>The Level 2 DFD details the internal computational mechanics of Process 3.0, 4.0, and 6.0:</w:t>
      </w:r>
    </w:p>
    <w:p>
      <w:pPr>
        <w:spacing w:line="360" w:lineRule="auto" w:after="120"/>
        <w:ind w:left="432"/>
      </w:pPr>
      <w:r>
        <w:rPr>
          <w:rFonts w:ascii="Times New Roman" w:hAnsi="Times New Roman"/>
          <w:sz w:val="24"/>
        </w:rPr>
        <w:t>1. Process 3.1 (Feature Scaling): Raw continuous attributes pass through domain-specific RobustScaler objects stored in backend/models/.pkl.</w:t>
      </w:r>
    </w:p>
    <w:p>
      <w:pPr>
        <w:spacing w:line="360" w:lineRule="auto" w:after="120"/>
        <w:ind w:left="432"/>
      </w:pPr>
      <w:r>
        <w:rPr>
          <w:rFonts w:ascii="Times New Roman" w:hAnsi="Times New Roman"/>
          <w:sz w:val="24"/>
        </w:rPr>
        <w:t>2. Process 3.2 (Base Learner Inference): Scaled feature vector $\mathbf{x}$ is evaluated simultaneously by XGBoost, LightGBM, and Random Forest base models, generating three probability vectors: $\hat{p}{</w:t>
        <w:tab/>
        <w:t>ext{xgb}}, \hat{p}{</w:t>
        <w:tab/>
        <w:t>ext{lgb}}, \hat{p}{</w:t>
        <w:tab/>
        <w:t>ext{rf}}$.</w:t>
      </w:r>
    </w:p>
    <w:p>
      <w:pPr>
        <w:spacing w:line="360" w:lineRule="auto" w:after="120"/>
        <w:ind w:left="432"/>
      </w:pPr>
      <w:r>
        <w:rPr>
          <w:rFonts w:ascii="Times New Roman" w:hAnsi="Times New Roman"/>
          <w:sz w:val="24"/>
        </w:rPr>
        <w:t>3. Process 3.3 (Meta-Learner Fusion): The meta-feature vector $[\hat{p}{</w:t>
        <w:tab/>
        <w:t>ext{xgb}}, \hat{p}{</w:t>
        <w:tab/>
        <w:t>ext{lgb}}, \hat{p}{</w:t>
        <w:tab/>
        <w:t>ext{rf}}]$ is fed into the Level-1 Logistic Regression classifier to yield the unified posterior probability $p = \sigma(\mathbf{w}^T \mathbf{p}{</w:t>
        <w:tab/>
        <w:t>ext{meta}} + b)$.</w:t>
      </w:r>
    </w:p>
    <w:p>
      <w:pPr>
        <w:spacing w:line="360" w:lineRule="auto" w:after="120"/>
        <w:ind w:left="432"/>
      </w:pPr>
      <w:r>
        <w:rPr>
          <w:rFonts w:ascii="Times New Roman" w:hAnsi="Times New Roman"/>
          <w:sz w:val="24"/>
        </w:rPr>
        <w:t>4. Process 4.1 (TreeSHAP Evaluation): The pre-compiled TreeExplainer evaluates feature splits across trees, calculating exact marginal Shapley contributions $\phii$.</w:t>
      </w:r>
    </w:p>
    <w:p>
      <w:pPr>
        <w:spacing w:line="360" w:lineRule="auto" w:after="120"/>
        <w:ind w:left="432"/>
      </w:pPr>
      <w:r>
        <w:rPr>
          <w:rFonts w:ascii="Times New Roman" w:hAnsi="Times New Roman"/>
          <w:sz w:val="24"/>
        </w:rPr>
        <w:t>5. Process 4.2 (Reason Code Mapping): Features with $\phii &gt; 0$ are sorted in descending order of magnitude. The top three features are cross-referenced with the FCRA Reason Code dictionary to yield human-readable descriptions.</w:t>
      </w:r>
    </w:p>
    <w:p>
      <w:pPr>
        <w:spacing w:line="360" w:lineRule="auto" w:after="120"/>
        <w:ind w:left="432"/>
      </w:pPr>
      <w:r>
        <w:rPr>
          <w:rFonts w:ascii="Times New Roman" w:hAnsi="Times New Roman"/>
          <w:sz w:val="24"/>
        </w:rPr>
        <w:t>6. Process 6.1 (Graph Ingestion &amp; Cycle Traversal): Source account and destination account are added as directed edges to the NetworkX graph. Tarjan’s Strongly Connected Components and depth-first search (DFS) identify if the transaction completes a cycle ($A</w:t>
      </w:r>
    </w:p>
    <w:p>
      <w:pPr>
        <w:spacing w:line="360" w:lineRule="auto" w:after="120"/>
        <w:jc w:val="both"/>
      </w:pPr>
      <w:r>
        <w:rPr>
          <w:rFonts w:ascii="Times New Roman" w:hAnsi="Times New Roman"/>
          <w:sz w:val="24"/>
        </w:rPr>
        <w:t>ightarrow B</w:t>
      </w:r>
    </w:p>
    <w:p>
      <w:pPr>
        <w:spacing w:line="360" w:lineRule="auto" w:after="120"/>
        <w:jc w:val="both"/>
      </w:pPr>
      <w:r>
        <w:rPr>
          <w:rFonts w:ascii="Times New Roman" w:hAnsi="Times New Roman"/>
          <w:sz w:val="24"/>
        </w:rPr>
        <w:t>ightarrow C</w:t>
      </w:r>
    </w:p>
    <w:p>
      <w:pPr>
        <w:spacing w:line="360" w:lineRule="auto" w:after="120"/>
        <w:jc w:val="both"/>
      </w:pPr>
      <w:r>
        <w:rPr>
          <w:rFonts w:ascii="Times New Roman" w:hAnsi="Times New Roman"/>
          <w:sz w:val="24"/>
        </w:rPr>
        <w:t>ightarrow A$).</w:t>
      </w:r>
    </w:p>
    <w:p>
      <w:pPr>
        <w:spacing w:line="360" w:lineRule="auto" w:after="120"/>
        <w:ind w:left="432"/>
      </w:pPr>
      <w:r>
        <w:rPr>
          <w:rFonts w:ascii="Times New Roman" w:hAnsi="Times New Roman"/>
          <w:sz w:val="24"/>
        </w:rPr>
        <w:t>7. Process 6.2 (Mule Risk Scoring): The account’s out-degree to in-degree ratio, transaction velocity in the preceding 60 minutes, and balance liquidation delta are synthesized into an integer Mule Score ($0-100$).</w:t>
      </w:r>
    </w:p>
    <w:p>
      <w:pPr>
        <w:keepNext/>
        <w:spacing w:before="240" w:after="120"/>
      </w:pPr>
      <w:r>
        <w:rPr>
          <w:rFonts w:ascii="Times New Roman" w:hAnsi="Times New Roman"/>
          <w:b/>
          <w:sz w:val="28"/>
        </w:rPr>
        <w:t>4.1.2 Microservices &amp; Network Deployment Topology</w:t>
      </w:r>
    </w:p>
    <w:p>
      <w:pPr>
        <w:spacing w:line="360" w:lineRule="auto" w:after="120"/>
        <w:jc w:val="both"/>
      </w:pPr>
      <w:r>
        <w:rPr>
          <w:rFonts w:ascii="Times New Roman" w:hAnsi="Times New Roman"/>
          <w:sz w:val="24"/>
        </w:rPr>
        <w:t>FraudShield AI is deployed as containerized microservices orchestrated via Docker Compose. The topology isolates the frontend presentation layer, API gateway, and analytical engines:</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w:t>
              <w:br/>
              <w:t>│                                 EDGE NETWORK / CLIENT LAYER                                 │</w:t>
              <w:br/>
              <w:t>│                                                                                             │</w:t>
              <w:br/>
              <w:t>│       Browser Client (Analyst / Auditor)                  External Core Banking API         │</w:t>
              <w:br/>
              <w:t>│                        │                                               │                    │</w:t>
              <w:br/>
              <w:t>│                        ▼                                               ▼                    │</w:t>
              <w:br/>
              <w:t>│                 [ HTTPS : 443 ]                                 [ HTTPS : 443 ]             │</w:t>
              <w:br/>
              <w:t>└────────────────────────┼───────────────────────────────────────────────┼────────────────────┘</w:t>
              <w:br/>
              <w:t xml:space="preserve">                         │                                               │</w:t>
              <w:br/>
              <w:t xml:space="preserve">                         ▼                                               ▼</w:t>
              <w:br/>
              <w:t>┌─────────────────────────────────────────────────────────────────────────────────────────────┐</w:t>
              <w:br/>
              <w:t>│                               DOCKER CONTAINER ORCHESTRATION                                │</w:t>
              <w:br/>
              <w:t>│                                                                                             │</w:t>
              <w:br/>
              <w:t>│  ┌──────────────────────────────────────────────┐                                           │</w:t>
              <w:br/>
              <w:t>│  │  Container 1: Frontend SPA (Nginx / Vite)   │                                           │</w:t>
              <w:br/>
              <w:t>│  │  Port 3000 -&gt; 80                             │                                           │</w:t>
              <w:br/>
              <w:t>│  │  - React 19 UI Modules &amp; Dashboards         │                                           │</w:t>
              <w:br/>
              <w:t>│  │  - Static Asset Gzip Compression             │                                           │</w:t>
              <w:br/>
              <w:t>│  └──────────────────────┬───────────────────────┘                                           │</w:t>
              <w:br/>
              <w:t>│                         │ Internal HTTP Proxy                                               │</w:t>
              <w:br/>
              <w:t>│                         ▼                                                                   │</w:t>
              <w:br/>
              <w:t>│  ┌───────────────────────────────────────────────────────────────────────────────────────┐  │</w:t>
              <w:br/>
              <w:t>│  │  Container 2: Backend API Gateway (FastAPI / Uvicorn)                                 │  │</w:t>
              <w:br/>
              <w:t>│  │  Port 8008 -&gt; 8008                                                                    │  │</w:t>
              <w:br/>
              <w:t>│  │  ┌───────────────────────────────┐     ┌───────────────────────────────────────────┐  │  │</w:t>
              <w:br/>
              <w:t>│  │  │ Security &amp; Auth (JWT / RBAC)  │     │ Sliding-Window Anti-DDoS Rate Limiter     │  │  │</w:t>
              <w:br/>
              <w:t>│  │  └───────────────┬───────────────┘     └───────────────────────────────────────────┘  │  │</w:t>
              <w:br/>
              <w:t>│  │                  │                                                                    │  │</w:t>
              <w:br/>
              <w:t>│  │                  ▼                                                                    │  │</w:t>
              <w:br/>
              <w:t>│  │  ┌─────────────────────────────────────────────────────────────────────────────────┐  │  │</w:t>
              <w:br/>
              <w:t>│  │  │ Analytical Engine Runtime (Python 3.12 Asynchronous Workers)                    │  │  │</w:t>
              <w:br/>
              <w:t>│  │  │ - ModelEngineRegistry (PaySim, CreditCard PCA, Spatial, BankSim)                │  │  │</w:t>
              <w:br/>
              <w:t>│  │  │ - Stacking Ensemble (XGBoost, LightGBM, Random Forest, Logistic Regression)     │  │  │</w:t>
              <w:br/>
              <w:t>│  │  │ - Explainable AI (TreeSHAP Exact Feature Attribution)                           │  │  │</w:t>
              <w:br/>
              <w:t>│  │  │ - Graph Engine (NetworkX In-Memory Mule Ring Topology)                          │  │  │</w:t>
              <w:br/>
              <w:t>│  │  │ - Drift Monitor (Kolmogorov-Smirnov &amp; Population Stability Index)               │  │  │</w:t>
              <w:br/>
              <w:t>│  │  │ - Federated Simulator (FedAvg Multi-Bank Collaborative Training)                │  │  │</w:t>
              <w:br/>
              <w:t>│  │  └─────────────────────────────────────────────────────────────────────────────────┘  │  │</w:t>
              <w:br/>
              <w:t>│  └───────────────────────────────────────────────────────────────────────────────────────┘  │</w:t>
              <w:br/>
              <w:t>└─────────────────────────────────────────────────────────────────────────────────────────────┘</w:t>
            </w:r>
          </w:p>
        </w:tc>
      </w:tr>
    </w:tbl>
    <w:p>
      <w:pPr>
        <w:spacing w:after="120"/>
      </w:pPr>
    </w:p>
    <w:p>
      <w:pPr>
        <w:keepNext/>
        <w:spacing w:before="280" w:after="160"/>
      </w:pPr>
      <w:r>
        <w:rPr>
          <w:rFonts w:ascii="Times New Roman" w:hAnsi="Times New Roman"/>
          <w:b/>
          <w:sz w:val="32"/>
        </w:rPr>
        <w:t>4.2 Algorithm &amp; Process Flow Design</w:t>
      </w:r>
    </w:p>
    <w:p>
      <w:pPr>
        <w:spacing w:line="360" w:lineRule="auto" w:after="120"/>
        <w:jc w:val="both"/>
      </w:pPr>
      <w:r>
        <w:rPr>
          <w:rFonts w:ascii="Times New Roman" w:hAnsi="Times New Roman"/>
          <w:sz w:val="24"/>
        </w:rPr>
        <w:t>This section formalizes the core mathematical algorithms powering FraudShield AI, presenting complete procedural pseudocode and design specifications.</w:t>
      </w:r>
    </w:p>
    <w:p>
      <w:pPr>
        <w:keepNext/>
        <w:spacing w:before="240" w:after="120"/>
      </w:pPr>
      <w:r>
        <w:rPr>
          <w:rFonts w:ascii="Times New Roman" w:hAnsi="Times New Roman"/>
          <w:b/>
          <w:sz w:val="28"/>
        </w:rPr>
        <w:t>4.2.1 Algorithm 1: OmniSMOTE Resampling &amp; RobustScaler Pipeline</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Algorithm 1: OmniSMOTE Resampling &amp; RobustScaler Preprocessing</w:t>
              <w:br/>
              <w:t>Input: Training dataset D_train = {(x_k, y_k)}_{k=1}^N, where x_k in R^m, y_k in {0, 1}</w:t>
              <w:br/>
              <w:t xml:space="preserve">       Target minority sampling ratio r = 0.50, Nearest neighbors k_neighbors = 5</w:t>
              <w:br/>
              <w:t>Output: Scaled and balanced training dataset D_bal, Fitted scaler S</w:t>
              <w:br/>
              <w:br/>
              <w:t>1: Initialize S &lt;- RobustScaler()</w:t>
              <w:br/>
              <w:t>2: For each feature dimension j in {1, ..., m}:</w:t>
              <w:br/>
              <w:t>3:     Compute Median Q_2(j) and Interquartile Range IQR(j) = Q_3(j) - Q_1(j)</w:t>
              <w:br/>
              <w:t>4:     For each sample x_k:</w:t>
              <w:br/>
              <w:t>5:         x_k[j] &lt;- (x_k[j] - Q_2(j)) / (IQR(j) + eps)</w:t>
              <w:br/>
              <w:t>6: End For</w:t>
              <w:br/>
              <w:br/>
              <w:t>7: Partition D_train into Majority Class D_0 and Minority Class D_1</w:t>
              <w:br/>
              <w:t>8: Compute required synthetic samples: N_syn = floor(r * |D_0|) - |D_1|</w:t>
              <w:br/>
              <w:t>9: Initialize Synthetic Set D_syn &lt;- {}</w:t>
              <w:br/>
              <w:br/>
              <w:t>10: Construct k-d Tree index on D_1</w:t>
              <w:br/>
              <w:t>11: For step = 1 to N_syn:</w:t>
              <w:br/>
              <w:t>12:     Randomly select sample x_i in D_1</w:t>
              <w:br/>
              <w:t>13:     Find k-nearest neighbors N_k(x_i) within D_1</w:t>
              <w:br/>
              <w:t>14:     Randomly select neighbor x_nn in N_k(x_i)</w:t>
              <w:br/>
              <w:t>15:     Sample random interpolation weight lambda ~ Uniform(0, 1)</w:t>
              <w:br/>
              <w:t>16:     Compute candidate: x_new = x_i + lambda * (x_nn - x_i)</w:t>
              <w:br/>
              <w:t xml:space="preserve">17:     </w:t>
              <w:br/>
              <w:t>18:     // OmniSMOTE Topological Boundary Filter:</w:t>
              <w:br/>
              <w:t>19:     Find nearest neighbor x_maj in D_0 to x_new</w:t>
              <w:br/>
              <w:t>20:     If Euclidean_Distance(x_new, x_i) &lt; Euclidean_Distance(x_new, x_maj):</w:t>
              <w:br/>
              <w:t>21:         D_syn &lt;- D_syn union {(x_new, 1)}</w:t>
              <w:br/>
              <w:t>22:     Else:</w:t>
              <w:br/>
              <w:t>23:         Reject x_new and continue</w:t>
              <w:br/>
              <w:t>24:     End If</w:t>
              <w:br/>
              <w:t>25: End For</w:t>
              <w:br/>
              <w:br/>
              <w:t>26: D_bal &lt;- D_0 union D_1 union D_syn</w:t>
              <w:br/>
              <w:t>27: Return D_bal, S</w:t>
            </w:r>
          </w:p>
        </w:tc>
      </w:tr>
    </w:tbl>
    <w:p>
      <w:pPr>
        <w:spacing w:after="120"/>
      </w:pPr>
    </w:p>
    <w:p>
      <w:pPr>
        <w:keepNext/>
        <w:spacing w:before="240" w:after="120"/>
      </w:pPr>
      <w:r>
        <w:rPr>
          <w:rFonts w:ascii="Times New Roman" w:hAnsi="Times New Roman"/>
          <w:b/>
          <w:sz w:val="28"/>
        </w:rPr>
        <w:t>4.2.2 Algorithm 2: Hybrid Stacking Ensemble Training &amp; Out-of-Fold Meta-Learning</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Algorithm 2: Hybrid Stacking Ensemble with Cross-Validated Meta-Learner</w:t>
              <w:br/>
              <w:t>Input: Balanced training data D_bal = {(x_i, y_i)}_{i=1}^M, Number of CV folds K = 5</w:t>
              <w:br/>
              <w:t xml:space="preserve">       Base estimators: M_1 (XGBoost), M_2 (LightGBM), M_3 (Random Forest)</w:t>
              <w:br/>
              <w:t xml:space="preserve">       Meta-learner: M_meta (Logistic Regression)</w:t>
              <w:br/>
              <w:t>Output: Fitted Stacking Ensemble Model M_stack</w:t>
              <w:br/>
              <w:br/>
              <w:t>1: Compute positive class scale weight: w_pos = |{y_i = 0}| / |{y_i = 1}|</w:t>
              <w:br/>
              <w:t>2: Configure M_1 with scale_pos_weight = w_pos</w:t>
              <w:br/>
              <w:t>3: Configure M_2 with scale_pos_weight = w_pos</w:t>
              <w:br/>
              <w:br/>
              <w:t>4: Partition D_bal into K stratified folds: F_1, F_2, ..., F_K</w:t>
              <w:br/>
              <w:t>5: Initialize Out-of-Fold meta-feature matrix P_meta in R^{M x 3}</w:t>
              <w:br/>
              <w:br/>
              <w:t>6: For each fold k in {1, ..., K}:</w:t>
              <w:br/>
              <w:t>7:     D_train_k &lt;- D_bal \ F_k</w:t>
              <w:br/>
              <w:t>8:     D_val_k   &lt;- F_k</w:t>
              <w:br/>
              <w:t xml:space="preserve">9:     </w:t>
              <w:br/>
              <w:t>10:    Fit temporary estimators M_1^(k), M_2^(k), M_3^(k) on D_train_k</w:t>
              <w:br/>
              <w:t>11:    For each sample x_j in D_val_k:</w:t>
              <w:br/>
              <w:t>12:        p_1 &lt;- M_1^(k).predict_proba(x_j)[1]</w:t>
              <w:br/>
              <w:t>13:        p_2 &lt;- M_2^(k).predict_proba(x_j)[1]</w:t>
              <w:br/>
              <w:t>14:        p_3 &lt;- M_3^(k).predict_proba(x_j)[1]</w:t>
              <w:br/>
              <w:t>15:        P_meta[j, :] &lt;- [p_1, p_2, p_3]</w:t>
              <w:br/>
              <w:t>16:    End For</w:t>
              <w:br/>
              <w:t>17: End For</w:t>
              <w:br/>
              <w:br/>
              <w:t>18: Train Meta-Learner M_meta on (P_meta, y) minimizing L2-regularized log-loss:</w:t>
              <w:br/>
              <w:t>19:     min_w { - sum [ y_i ln sigma(w^T p_i) + (1-y_i) ln(1 - sigma(w^T p_i)) ] + (1/2C) ||w||_2^2 }</w:t>
              <w:br/>
              <w:br/>
              <w:t>20: Retrain base models M_1, M_2, M_3 on full dataset D_bal</w:t>
              <w:br/>
              <w:t>21: Construct M_stack &lt;- {Base: [M_1, M_2, M_3], Meta: M_meta}</w:t>
              <w:br/>
              <w:t>22: Return M_stack</w:t>
            </w:r>
          </w:p>
        </w:tc>
      </w:tr>
    </w:tbl>
    <w:p>
      <w:pPr>
        <w:spacing w:after="120"/>
      </w:pPr>
    </w:p>
    <w:p>
      <w:pPr>
        <w:keepNext/>
        <w:spacing w:before="240" w:after="120"/>
      </w:pPr>
      <w:r>
        <w:rPr>
          <w:rFonts w:ascii="Times New Roman" w:hAnsi="Times New Roman"/>
          <w:b/>
          <w:sz w:val="28"/>
        </w:rPr>
        <w:t>4.2.3 Algorithm 3: Continuous Calibrated Risk Scoring &amp; 3-Tier Classification</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Algorithm 3: Calibrated Continuous Risk Scoring &amp; Decision Tier Assignment</w:t>
              <w:br/>
              <w:t>Input: Incoming transaction feature vector x, Stacking Ensemble Model M_stack</w:t>
              <w:br/>
              <w:t>Output: RiskScore in [0.0, 100.0], DecisionTier in {SAFE, NEEDS_REVIEW, FRAUD}, Action</w:t>
              <w:br/>
              <w:br/>
              <w:t>1: Extract base Level-0 probabilities:</w:t>
              <w:br/>
              <w:t>2:     p_xgb &lt;- M_stack.M_1.predict_proba(x)[1]</w:t>
              <w:br/>
              <w:t>3:     p_lgb &lt;- M_stack.M_2.predict_proba(x)[1]</w:t>
              <w:br/>
              <w:t>4:     p_rf  &lt;- M_stack.M_3.predict_proba(x)[1]</w:t>
              <w:br/>
              <w:t xml:space="preserve">5: </w:t>
              <w:br/>
              <w:t>6: Compute ensemble meta-probability:</w:t>
              <w:br/>
              <w:t>7:     p &lt;- M_stack.M_meta.predict_proba([p_xgb, p_lgb, p_rf])[1]</w:t>
              <w:br/>
              <w:br/>
              <w:t>8: Extract contextual domain signals:</w:t>
              <w:br/>
              <w:t>9:     amt_factor &lt;- min(1.0, log10(x.amount + 1.0) / 6.0)</w:t>
              <w:br/>
              <w:t>10:    is_drain   &lt;- 1 if (x.oldbalanceOrig &gt; 0 and x.newbalanceOrig == 0) else 0</w:t>
              <w:br/>
              <w:t>11:    has_error  &lt;- 1 if (abs(x.oldbalanceOrig - x.amount - x.newbalanceOrig) &gt; 1.0) else 0</w:t>
              <w:br/>
              <w:br/>
              <w:t>12: If p &gt; 0.50:</w:t>
              <w:br/>
              <w:t>13:     // High-Risk Range Calibration:</w:t>
              <w:br/>
              <w:t>14:     RiskScore &lt;- 0.75 + 0.08 * ((p - 0.50) / 0.50) + 0.08 * amt_factor + 0.08 * is_drain</w:t>
              <w:br/>
              <w:t>15: Else:</w:t>
              <w:br/>
              <w:t>16:     If x.type not in ["TRANSFER", "CASH_OUT"]:</w:t>
              <w:br/>
              <w:t>17:         // Non-liquidating payment channels:</w:t>
              <w:br/>
              <w:t>18:         RiskScore &lt;- 0.15 * amt_factor</w:t>
              <w:br/>
              <w:t>19:     Else:</w:t>
              <w:br/>
              <w:t>20:         // Liquidating channels with low base probability:</w:t>
              <w:br/>
              <w:t>21:         RiskScore &lt;- 0.15 + 0.25 * amt_factor + 0.20 * is_drain + 0.10 * has_error + 0.05 * (p / 0.50)</w:t>
              <w:br/>
              <w:t>22:     End If</w:t>
              <w:br/>
              <w:t>23: End If</w:t>
              <w:br/>
              <w:br/>
              <w:t>24: Clamp RiskScore &lt;- min(1.0, max(0.0, RiskScore)) * 100.0</w:t>
              <w:br/>
              <w:br/>
              <w:t>25: If RiskScore &lt; 45.0:</w:t>
              <w:br/>
              <w:t>26:     DecisionTier &lt;- "SAFE"</w:t>
              <w:br/>
              <w:t>27:     Action       &lt;- "AUTO_APPROVE"</w:t>
              <w:br/>
              <w:t>28: Else If RiskScore &lt; 75.0:</w:t>
              <w:br/>
              <w:t>29:     DecisionTier &lt;- "NEEDS_REVIEW"</w:t>
              <w:br/>
              <w:t>30:     Action       &lt;- "ROUTE_TO_ANALYST_QUEUE_OR_STEP_UP_2FA"</w:t>
              <w:br/>
              <w:t>31: Else:</w:t>
              <w:br/>
              <w:t>32:     DecisionTier &lt;- "FRAUD"</w:t>
              <w:br/>
              <w:t>33:     Action       &lt;- "BLOCK_TRANSACTION_AND_FREEZE_CARD"</w:t>
              <w:br/>
              <w:t>34: End If</w:t>
              <w:br/>
              <w:br/>
              <w:t>35: Return RiskScore, DecisionTier, Action</w:t>
            </w:r>
          </w:p>
        </w:tc>
      </w:tr>
    </w:tbl>
    <w:p>
      <w:pPr>
        <w:spacing w:after="120"/>
      </w:pPr>
    </w:p>
    <w:p>
      <w:pPr>
        <w:keepNext/>
        <w:spacing w:before="240" w:after="120"/>
      </w:pPr>
      <w:r>
        <w:rPr>
          <w:rFonts w:ascii="Times New Roman" w:hAnsi="Times New Roman"/>
          <w:b/>
          <w:sz w:val="28"/>
        </w:rPr>
        <w:t>4.2.4 Algorithm 4: Real-Time TreeSHAP Feature Attribution &amp; FCRA Mapping</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Algorithm 4: Real-Time TreeSHAP Feature Attribution &amp; FCRA Mapping</w:t>
              <w:br/>
              <w:t>Input: Transaction vector x in R^m, Ensemble Tree Model M_tree, Background matrix X_bg</w:t>
              <w:br/>
              <w:t>Output: Attribution vector phi in R^m, List of FCRA Reason Codes R_fcra</w:t>
              <w:br/>
              <w:br/>
              <w:t>1: Initialize TreeExplainer E(M_tree, data = X_bg)</w:t>
              <w:br/>
              <w:t>2: Compute exact Shapley values vector:</w:t>
              <w:br/>
              <w:t>3:     phi &lt;- E.shap_values(x)</w:t>
              <w:br/>
              <w:t>4: Verify Additive Efficiency: abs(sum(phi) - (M_tree(x) - E.expected_value)) &lt; 1e-4</w:t>
              <w:br/>
              <w:br/>
              <w:t>5: Identify positive risk drivers:</w:t>
              <w:br/>
              <w:t>6:     D_pos &lt;- {(j, phi[j]) | phi[j] &gt; 0}</w:t>
              <w:br/>
              <w:t>7: Sort D_pos in descending order by phi[j]</w:t>
              <w:br/>
              <w:br/>
              <w:t>8: Initialize R_fcra &lt;- []</w:t>
              <w:br/>
              <w:t>9: For each (feature_idx, weight) in top 3 elements of D_pos:</w:t>
              <w:br/>
              <w:t>10:    feature_name &lt;- feature_names[feature_idx]</w:t>
              <w:br/>
              <w:t xml:space="preserve">11:    </w:t>
              <w:br/>
              <w:t>12:    Match feature_name:</w:t>
              <w:br/>
              <w:t>13:        Case "errorBalanceOrig":</w:t>
              <w:br/>
              <w:t>14:            R_fcra.append({"Code": "RC-BAL-01", "Name": "Origin Balance Mismatch", "Weight": weight})</w:t>
              <w:br/>
              <w:t>15:        Case "is_drained":</w:t>
              <w:br/>
              <w:t>16:            R_fcra.append({"Code": "RC-BAL-02", "Name": "Full Account Liquidation", "Weight": weight})</w:t>
              <w:br/>
              <w:t>17:        Case "amount":</w:t>
              <w:br/>
              <w:t>18:            R_fcra.append({"Code": "RC-AMT-01", "Name": "Abnormal Transaction Amount", "Weight": weight})</w:t>
              <w:br/>
              <w:t>19:        Case "distance_km":</w:t>
              <w:br/>
              <w:t>20:            R_fcra.append({"Code": "RC-GEO-01", "Name": "Haversine Distance Discrepancy", "Weight": weight})</w:t>
              <w:br/>
              <w:t>21:        Default:</w:t>
              <w:br/>
              <w:t>22:            R_fcra.append({"Code": "RC-PCA-01", "Name": "Latent Anomaly Component " + feature_name, "Weight": weight})</w:t>
              <w:br/>
              <w:t>23:    End Match</w:t>
              <w:br/>
              <w:t>24: End For</w:t>
              <w:br/>
              <w:br/>
              <w:t>25: Return phi, R_fcra</w:t>
            </w:r>
          </w:p>
        </w:tc>
      </w:tr>
    </w:tbl>
    <w:p>
      <w:pPr>
        <w:spacing w:after="120"/>
      </w:pPr>
    </w:p>
    <w:p>
      <w:pPr>
        <w:keepNext/>
        <w:spacing w:before="240" w:after="120"/>
      </w:pPr>
      <w:r>
        <w:rPr>
          <w:rFonts w:ascii="Times New Roman" w:hAnsi="Times New Roman"/>
          <w:b/>
          <w:sz w:val="28"/>
        </w:rPr>
        <w:t>4.2.5 Algorithm 5: In-Memory NetworkX Cyclic Mule Ring Detection</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Algorithm 5: In-Memory NetworkX Cyclic Mule Ring &amp; Centrality Analysis</w:t>
              <w:br/>
              <w:t>Input: Directed Multi-Graph G = (V, E), New Transaction T = (u, v, amount, timestamp)</w:t>
              <w:br/>
              <w:t>Output: IsMuleRing in {True, False}, CyclePath list, MuleScore in [0, 100]</w:t>
              <w:br/>
              <w:br/>
              <w:t>1: Add directed edge: G.add_edge(u, v, weight = amount, time = timestamp)</w:t>
              <w:br/>
              <w:t xml:space="preserve">2: </w:t>
              <w:br/>
              <w:t>3: // Cyclic Path Detection (k-hop DFS from target node v back to source u):</w:t>
              <w:br/>
              <w:t>4: Initialize CyclePath &lt;- []</w:t>
              <w:br/>
              <w:t>5: IsMuleRing &lt;- False</w:t>
              <w:br/>
              <w:t xml:space="preserve">6: </w:t>
              <w:br/>
              <w:t>7: If NetworkX.has_path(G, source = v, target = u):</w:t>
              <w:br/>
              <w:t>8:     All_Simple_Paths &lt;- NetworkX.all_simple_paths(G, source = v, target = u, cutoff = 5)</w:t>
              <w:br/>
              <w:t>9:     For path in All_Simple_Paths:</w:t>
              <w:br/>
              <w:t>10:        If length(path) &gt;= 2:</w:t>
              <w:br/>
              <w:t>11:            CyclePath &lt;- [u] + path</w:t>
              <w:br/>
              <w:t>12:            IsMuleRing &lt;- True</w:t>
              <w:br/>
              <w:t>13:            Break</w:t>
              <w:br/>
              <w:t>14:        End If</w:t>
              <w:br/>
              <w:t>15:    End For</w:t>
              <w:br/>
              <w:t>16: End If</w:t>
              <w:br/>
              <w:br/>
              <w:t>17: // Account Mule Risk Score Calculation for node u:</w:t>
              <w:br/>
              <w:t>18: deg_in  &lt;- G.in_degree(u)</w:t>
              <w:br/>
              <w:t>19: deg_out &lt;- G.out_degree(u)</w:t>
              <w:br/>
              <w:t>20: total_vol &lt;- sum([edge.weight for edge in G.out_edges(u)])</w:t>
              <w:br/>
              <w:t xml:space="preserve">21: </w:t>
              <w:br/>
              <w:t>22: // Mule ratio: rapid pass-through of funds</w:t>
              <w:br/>
              <w:t>23: ratio &lt;- min(deg_in, deg_out) / (max(deg_in, deg_out) + 1.0)</w:t>
              <w:br/>
              <w:t xml:space="preserve">24: </w:t>
              <w:br/>
              <w:t>25: MuleScore &lt;- 0</w:t>
              <w:br/>
              <w:t>26: If IsMuleRing: MuleScore &lt;- MuleScore + 50</w:t>
              <w:br/>
              <w:t>27: If deg_in &gt; 5 and deg_out &gt; 5: MuleScore &lt;- MuleScore + 25</w:t>
              <w:br/>
              <w:t>28: If ratio &gt; 0.60: MuleScore &lt;- MuleScore + 25</w:t>
              <w:br/>
              <w:t xml:space="preserve">29: </w:t>
              <w:br/>
              <w:t>30: Return IsMuleRing, CyclePath, MuleScore</w:t>
            </w:r>
          </w:p>
        </w:tc>
      </w:tr>
    </w:tbl>
    <w:p>
      <w:pPr>
        <w:spacing w:after="120"/>
      </w:pPr>
    </w:p>
    <w:p>
      <w:pPr>
        <w:keepNext/>
        <w:spacing w:before="240" w:after="120"/>
      </w:pPr>
      <w:r>
        <w:rPr>
          <w:rFonts w:ascii="Times New Roman" w:hAnsi="Times New Roman"/>
          <w:b/>
          <w:sz w:val="28"/>
        </w:rPr>
        <w:t>4.2.6 Algorithm 6: Decentralized Federated Learning (FedAvg) Simulation</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Algorithm 6: Federated Averaging (FedAvg) Multi-Bank Consortium Aggregation</w:t>
              <w:br/>
              <w:t>Input: K participating banking institutions, Local datasets {D_k}_{k=1}^K</w:t>
              <w:br/>
              <w:t xml:space="preserve">       Total records N = sum_{k=1}^K |D_k|, Global aggregation rounds T = 5</w:t>
              <w:br/>
              <w:t>Output: Global Defense Model W_global</w:t>
              <w:br/>
              <w:br/>
              <w:t>1: Initialize Global Model Parameter Vector W_0</w:t>
              <w:br/>
              <w:t>2: For round t = 0 to T - 1:</w:t>
              <w:br/>
              <w:t>3:     For each banking node k in {1, ..., K} in parallel:</w:t>
              <w:br/>
              <w:t>4:         Download current global weights: W_k^(t) &lt;- W_t</w:t>
              <w:br/>
              <w:t xml:space="preserve">5:         </w:t>
              <w:br/>
              <w:t>6:         // Local Model Training on Internal Bank Data:</w:t>
              <w:br/>
              <w:t>7:         Execute local optimization (e.g. 5 epochs SGD or local tree boosting) on D_k</w:t>
              <w:br/>
              <w:t>8:         Obtain updated local parameters: W_k^(t+1)</w:t>
              <w:br/>
              <w:t>9:     End For</w:t>
              <w:br/>
              <w:t xml:space="preserve">10:    </w:t>
              <w:br/>
              <w:t>11:    // Central Coordinator Aggregation (Zero PII Sharing):</w:t>
              <w:br/>
              <w:t>12:    W_{t+1} &lt;- sum_{k=1}^K (|D_k| / N) * W_k^(t+1)</w:t>
              <w:br/>
              <w:t xml:space="preserve">13:    </w:t>
              <w:br/>
              <w:t>14:    Compute Consortium Global F1-Score on independent validation partition</w:t>
              <w:br/>
              <w:t>15: End For</w:t>
              <w:br/>
              <w:t>16: Return W_T</w:t>
            </w:r>
          </w:p>
        </w:tc>
      </w:tr>
    </w:tbl>
    <w:p>
      <w:pPr>
        <w:spacing w:after="120"/>
      </w:pPr>
    </w:p>
    <w:p>
      <w:pPr>
        <w:keepNext/>
        <w:spacing w:before="280" w:after="160"/>
      </w:pPr>
      <w:r>
        <w:rPr>
          <w:rFonts w:ascii="Times New Roman" w:hAnsi="Times New Roman"/>
          <w:b/>
          <w:sz w:val="32"/>
        </w:rPr>
        <w:t>4.3 User Interface &amp; Input Data Design</w:t>
      </w:r>
    </w:p>
    <w:p>
      <w:pPr>
        <w:keepNext/>
        <w:spacing w:before="240" w:after="120"/>
      </w:pPr>
      <w:r>
        <w:rPr>
          <w:rFonts w:ascii="Times New Roman" w:hAnsi="Times New Roman"/>
          <w:b/>
          <w:sz w:val="28"/>
        </w:rPr>
        <w:t>4.3.1 User Interface Design Specifications</w:t>
      </w:r>
    </w:p>
    <w:p>
      <w:pPr>
        <w:spacing w:line="360" w:lineRule="auto" w:after="120"/>
        <w:jc w:val="both"/>
      </w:pPr>
      <w:r>
        <w:rPr>
          <w:rFonts w:ascii="Times New Roman" w:hAnsi="Times New Roman"/>
          <w:sz w:val="24"/>
        </w:rPr>
        <w:t>FraudShield AI provides an enterprise-grade visual command center built with React 19 + Vite 6 + Tailwind CSS. The UI adheres to modern human-computer interaction (HCI) standards:</w:t>
      </w:r>
    </w:p>
    <w:p>
      <w:pPr>
        <w:spacing w:line="360" w:lineRule="auto" w:after="120"/>
        <w:ind w:left="432"/>
      </w:pPr>
      <w:r>
        <w:rPr>
          <w:rFonts w:ascii="Times New Roman" w:hAnsi="Times New Roman"/>
          <w:sz w:val="24"/>
        </w:rPr>
        <w:t>1. Curated Color Tokens:</w:t>
      </w:r>
    </w:p>
    <w:p>
      <w:pPr>
        <w:spacing w:line="360" w:lineRule="auto" w:after="120"/>
        <w:ind w:left="432"/>
      </w:pPr>
      <w:r>
        <w:rPr>
          <w:rFonts w:ascii="Times New Roman" w:hAnsi="Times New Roman"/>
          <w:sz w:val="24"/>
        </w:rPr>
        <w:t>• Background: Deep Midnight Slate (#0B0F19)</w:t>
      </w:r>
    </w:p>
    <w:p>
      <w:pPr>
        <w:spacing w:line="360" w:lineRule="auto" w:after="120"/>
        <w:ind w:left="432"/>
      </w:pPr>
      <w:r>
        <w:rPr>
          <w:rFonts w:ascii="Times New Roman" w:hAnsi="Times New Roman"/>
          <w:sz w:val="24"/>
        </w:rPr>
        <w:t>• Card Surface: Glassmorphic Charcoal with $1\text{px}$ subtle border (#111827, border #1F2937)</w:t>
      </w:r>
    </w:p>
    <w:p>
      <w:pPr>
        <w:spacing w:line="360" w:lineRule="auto" w:after="120"/>
        <w:ind w:left="432"/>
      </w:pPr>
      <w:r>
        <w:rPr>
          <w:rFonts w:ascii="Times New Roman" w:hAnsi="Times New Roman"/>
          <w:sz w:val="24"/>
        </w:rPr>
        <w:t>• Risk Accents: 🟢 Emerald (#10B981), 🟡 Amber (#F59E0B), 🔴 Crimson (#EF4444), 🟣 Cyan/Violet (#06B6D4, #8B5CF6)</w:t>
      </w:r>
    </w:p>
    <w:p>
      <w:pPr>
        <w:spacing w:line="360" w:lineRule="auto" w:after="120"/>
        <w:ind w:left="432"/>
      </w:pPr>
      <w:r>
        <w:rPr>
          <w:rFonts w:ascii="Times New Roman" w:hAnsi="Times New Roman"/>
          <w:sz w:val="24"/>
        </w:rPr>
        <w:t>2. Typography: Set in Google Fonts Inter and Outfit with crisp monospace rendering for financial hashes and account numbers.</w:t>
      </w:r>
    </w:p>
    <w:p>
      <w:pPr>
        <w:spacing w:line="360" w:lineRule="auto" w:after="120"/>
        <w:ind w:left="432"/>
      </w:pPr>
      <w:r>
        <w:rPr>
          <w:rFonts w:ascii="Times New Roman" w:hAnsi="Times New Roman"/>
          <w:sz w:val="24"/>
        </w:rPr>
        <w:t>3. Micro-Animations: Powered by Framer Motion, providing instant visual feedback for risk tier transitions, expandable triage drawers, and modal overlays.</w:t>
      </w:r>
    </w:p>
    <w:p>
      <w:pPr>
        <w:keepNext/>
        <w:spacing w:before="240" w:after="120"/>
      </w:pPr>
      <w:r>
        <w:rPr>
          <w:rFonts w:ascii="Times New Roman" w:hAnsi="Times New Roman"/>
          <w:b/>
          <w:sz w:val="28"/>
        </w:rPr>
        <w:t>4.3.2 Screen Walkthroughs and Functional Capabilities</w:t>
      </w:r>
    </w:p>
    <w:p>
      <w:pPr>
        <w:spacing w:line="360" w:lineRule="auto" w:after="120"/>
        <w:ind w:left="432"/>
      </w:pPr>
      <w:r>
        <w:rPr>
          <w:rFonts w:ascii="Times New Roman" w:hAnsi="Times New Roman"/>
          <w:sz w:val="24"/>
        </w:rPr>
        <w:t>• 1. Threat Intelligence Dashboard (DashboardModule.jsx):</w:t>
      </w:r>
    </w:p>
    <w:p>
      <w:pPr>
        <w:spacing w:line="360" w:lineRule="auto" w:after="120"/>
        <w:jc w:val="both"/>
      </w:pPr>
      <w:r>
        <w:rPr>
          <w:rFonts w:ascii="Times New Roman" w:hAnsi="Times New Roman"/>
          <w:sz w:val="24"/>
        </w:rPr>
        <w:t>Provides an executive snapshot featuring four animated KPI counter cards: Total Transactions Analyzed (6.3M+), Active Fraud Detection Rate ($99.66\%$), Total Blocked Losses ($\$18.4\text{M}$), and Average Inference Latency ($42\text{ms}$). Includes an interactive Recharts volume curve and real-time domain breakdown donuts.</w:t>
      </w:r>
    </w:p>
    <w:p>
      <w:pPr>
        <w:spacing w:line="360" w:lineRule="auto" w:after="120"/>
        <w:ind w:left="432"/>
      </w:pPr>
      <w:r>
        <w:rPr>
          <w:rFonts w:ascii="Times New Roman" w:hAnsi="Times New Roman"/>
          <w:sz w:val="24"/>
        </w:rPr>
        <w:t>• 2. Live Stream Transaction Monitor (LiveMonitoringModule.jsx):</w:t>
      </w:r>
    </w:p>
    <w:p>
      <w:pPr>
        <w:spacing w:line="360" w:lineRule="auto" w:after="120"/>
        <w:jc w:val="both"/>
      </w:pPr>
      <w:r>
        <w:rPr>
          <w:rFonts w:ascii="Times New Roman" w:hAnsi="Times New Roman"/>
          <w:sz w:val="24"/>
        </w:rPr>
        <w:t>Simulates live terminal ingestion. New transactions slide smoothly into a virtualized list. Each row displays the timestamp, account origin, destination, amount, dynamic risk badge, and a "Triage" button. Clicking a transaction opens a slide-over drawer showing feature values and one-click block/approve actions.</w:t>
      </w:r>
    </w:p>
    <w:p>
      <w:pPr>
        <w:spacing w:line="360" w:lineRule="auto" w:after="120"/>
        <w:ind w:left="432"/>
      </w:pPr>
      <w:r>
        <w:rPr>
          <w:rFonts w:ascii="Times New Roman" w:hAnsi="Times New Roman"/>
          <w:sz w:val="24"/>
        </w:rPr>
        <w:t>• 3. Single Transaction Inspector (TransactionAnalysisModule.jsx):</w:t>
      </w:r>
    </w:p>
    <w:p>
      <w:pPr>
        <w:spacing w:line="360" w:lineRule="auto" w:after="120"/>
        <w:jc w:val="both"/>
      </w:pPr>
      <w:r>
        <w:rPr>
          <w:rFonts w:ascii="Times New Roman" w:hAnsi="Times New Roman"/>
          <w:sz w:val="24"/>
        </w:rPr>
        <w:t>A diagnostic sandbox allowing fraud investigators to select any of the four domain schemas, pre-populate benchmark test cases (e.g., Safe Merchant Payment vs. Account Drain Attack), modify individual feature values via interactive sliders, and trigger instant synchronous scoring.</w:t>
      </w:r>
    </w:p>
    <w:p>
      <w:pPr>
        <w:spacing w:line="360" w:lineRule="auto" w:after="120"/>
        <w:ind w:left="432"/>
      </w:pPr>
      <w:r>
        <w:rPr>
          <w:rFonts w:ascii="Times New Roman" w:hAnsi="Times New Roman"/>
          <w:sz w:val="24"/>
        </w:rPr>
        <w:t>• 4. Explainable AI &amp; FCRA Studio (ExplainableAIModule.jsx):</w:t>
      </w:r>
    </w:p>
    <w:p>
      <w:pPr>
        <w:spacing w:line="360" w:lineRule="auto" w:after="120"/>
        <w:jc w:val="both"/>
      </w:pPr>
      <w:r>
        <w:rPr>
          <w:rFonts w:ascii="Times New Roman" w:hAnsi="Times New Roman"/>
          <w:sz w:val="24"/>
        </w:rPr>
        <w:t>Renders the interactive TreeSHAP waterfall plot. Displays the base value $\phi0$, individual feature force vectors (red positive risk bars, green mitigating bars), and generates an official, downloadable FCRA Adverse Action Disclosure Statement in PDF/text format for regulatory audit compliance.</w:t>
      </w:r>
    </w:p>
    <w:p>
      <w:pPr>
        <w:spacing w:line="360" w:lineRule="auto" w:after="120"/>
        <w:ind w:left="432"/>
      </w:pPr>
      <w:r>
        <w:rPr>
          <w:rFonts w:ascii="Times New Roman" w:hAnsi="Times New Roman"/>
          <w:sz w:val="24"/>
        </w:rPr>
        <w:t>• 5. Graph Intelligence &amp; Mule Ring Forensics (GraphIntelligenceModule.jsx):</w:t>
      </w:r>
    </w:p>
    <w:p>
      <w:pPr>
        <w:spacing w:line="360" w:lineRule="auto" w:after="120"/>
        <w:jc w:val="both"/>
      </w:pPr>
      <w:r>
        <w:rPr>
          <w:rFonts w:ascii="Times New Roman" w:hAnsi="Times New Roman"/>
          <w:sz w:val="24"/>
        </w:rPr>
        <w:t>Renders an interactive directed network topology. Highlights cyclic edges in glowing crimson ($A \rightarrow B \rightarrow C \rightarrow A$) and computes node degree centrality to identify money laundering hubs.</w:t>
      </w:r>
    </w:p>
    <w:p>
      <w:pPr>
        <w:spacing w:line="360" w:lineRule="auto" w:after="120"/>
        <w:ind w:left="432"/>
      </w:pPr>
      <w:r>
        <w:rPr>
          <w:rFonts w:ascii="Times New Roman" w:hAnsi="Times New Roman"/>
          <w:sz w:val="24"/>
        </w:rPr>
        <w:t>• 6. MLOps Concept Drift Portal (ConceptDriftModule.jsx):</w:t>
      </w:r>
    </w:p>
    <w:p>
      <w:pPr>
        <w:spacing w:line="360" w:lineRule="auto" w:after="120"/>
        <w:jc w:val="both"/>
      </w:pPr>
      <w:r>
        <w:rPr>
          <w:rFonts w:ascii="Times New Roman" w:hAnsi="Times New Roman"/>
          <w:sz w:val="24"/>
        </w:rPr>
        <w:t>Displays real-time two-sample Kolmogorov-Smirnov test statistics and Population Stability Index (PSI) histograms. Features a "Drift Spike Simulator" button allowing administrators to inject synthetic adversarial distributions and witness automated alerting.</w:t>
      </w:r>
    </w:p>
    <w:p>
      <w:pPr>
        <w:spacing w:line="360" w:lineRule="auto" w:after="120"/>
        <w:ind w:left="432"/>
      </w:pPr>
      <w:r>
        <w:rPr>
          <w:rFonts w:ascii="Times New Roman" w:hAnsi="Times New Roman"/>
          <w:sz w:val="24"/>
        </w:rPr>
        <w:t>• 7. Federated Learning Simulator (FederatedLearningModule.jsx):</w:t>
      </w:r>
    </w:p>
    <w:p>
      <w:pPr>
        <w:spacing w:line="360" w:lineRule="auto" w:after="120"/>
        <w:jc w:val="both"/>
      </w:pPr>
      <w:r>
        <w:rPr>
          <w:rFonts w:ascii="Times New Roman" w:hAnsi="Times New Roman"/>
          <w:sz w:val="24"/>
        </w:rPr>
        <w:t>Visualizes decentralized collaborative training across Bank Alpha, Bank Beta, and Bank Gamma. Shows local F1-scores, federated aggregation round progress, and confirms zero transmission of customer PII.</w:t>
      </w:r>
    </w:p>
    <w:p>
      <w:pPr>
        <w:spacing w:line="360" w:lineRule="auto" w:after="120"/>
        <w:ind w:left="432"/>
      </w:pPr>
      <w:r>
        <w:rPr>
          <w:rFonts w:ascii="Times New Roman" w:hAnsi="Times New Roman"/>
          <w:sz w:val="24"/>
        </w:rPr>
        <w:t>• 8. Identity Portal &amp; RBAC Switching (AuthModal.jsx):</w:t>
      </w:r>
    </w:p>
    <w:p>
      <w:pPr>
        <w:spacing w:line="360" w:lineRule="auto" w:after="120"/>
        <w:jc w:val="both"/>
      </w:pPr>
      <w:r>
        <w:rPr>
          <w:rFonts w:ascii="Times New Roman" w:hAnsi="Times New Roman"/>
          <w:sz w:val="24"/>
        </w:rPr>
        <w:t>Allows 1-click persona switching between Sarah Chen (SOC Analyst), Marcus Vance (Compliance Officer), and Dr. Elena Rostova (Admin), dynamically tailoring sidebar navigation and API permissions.</w:t>
      </w:r>
    </w:p>
    <w:p>
      <w:pPr>
        <w:keepNext/>
        <w:spacing w:before="240" w:after="120"/>
      </w:pPr>
      <w:r>
        <w:rPr>
          <w:rFonts w:ascii="Times New Roman" w:hAnsi="Times New Roman"/>
          <w:b/>
          <w:sz w:val="28"/>
        </w:rPr>
        <w:t>4.3.3 Input Data Design &amp; Schema Contracts</w:t>
      </w:r>
    </w:p>
    <w:p>
      <w:pPr>
        <w:spacing w:line="360" w:lineRule="auto" w:after="120"/>
        <w:jc w:val="both"/>
      </w:pPr>
      <w:r>
        <w:rPr>
          <w:rFonts w:ascii="Times New Roman" w:hAnsi="Times New Roman"/>
          <w:sz w:val="24"/>
        </w:rPr>
        <w:t>FraudShield AI enforces strict JSON schema contracts across all four operational domain heads via Pydantic validators:</w:t>
      </w:r>
    </w:p>
    <w:p>
      <w:pPr>
        <w:keepNext/>
        <w:spacing w:before="200" w:after="80"/>
      </w:pPr>
      <w:r>
        <w:rPr>
          <w:rFonts w:ascii="Times New Roman" w:hAnsi="Times New Roman"/>
          <w:b/>
          <w:sz w:val="24"/>
        </w:rPr>
        <w:t>Schema 1: PaySim Mobile Money Ingestion Payload</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w:t>
              <w:br/>
              <w:t xml:space="preserve">  "domain": "paysim",</w:t>
              <w:br/>
              <w:t xml:space="preserve">  "step": 1,</w:t>
              <w:br/>
              <w:t xml:space="preserve">  "type": "TRANSFER",</w:t>
              <w:br/>
              <w:t xml:space="preserve">  "amount": 180000.00,</w:t>
              <w:br/>
              <w:t xml:space="preserve">  "nameOrig": "C1002341",</w:t>
              <w:br/>
              <w:t xml:space="preserve">  "oldbalanceOrg": 180000.00,</w:t>
              <w:br/>
              <w:t xml:space="preserve">  "newbalanceOrig": 0.00,</w:t>
              <w:br/>
              <w:t xml:space="preserve">  "nameDest": "M9081231",</w:t>
              <w:br/>
              <w:t xml:space="preserve">  "oldbalanceDest": 0.00,</w:t>
              <w:br/>
              <w:t xml:space="preserve">  "newbalanceDest": 0.00</w:t>
              <w:br/>
              <w:t>}</w:t>
            </w:r>
          </w:p>
        </w:tc>
      </w:tr>
    </w:tbl>
    <w:p>
      <w:pPr>
        <w:spacing w:after="120"/>
      </w:pPr>
    </w:p>
    <w:p>
      <w:pPr>
        <w:keepNext/>
        <w:spacing w:before="200" w:after="80"/>
      </w:pPr>
      <w:r>
        <w:rPr>
          <w:rFonts w:ascii="Times New Roman" w:hAnsi="Times New Roman"/>
          <w:b/>
          <w:sz w:val="24"/>
        </w:rPr>
        <w:t>Schema 2: European Credit Card PCA Ingestion Payload</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w:t>
              <w:br/>
              <w:t xml:space="preserve">  "domain": "creditcard",</w:t>
              <w:br/>
              <w:t xml:space="preserve">  "Time": 406.0,</w:t>
              <w:br/>
              <w:t xml:space="preserve">  "V1": -2.312226,</w:t>
              <w:br/>
              <w:t xml:space="preserve">  "V2": 1.951992,</w:t>
              <w:br/>
              <w:t xml:space="preserve">  "V3": -1.609851,</w:t>
              <w:br/>
              <w:t xml:space="preserve">  "V4": 3.997906,</w:t>
              <w:br/>
              <w:t xml:space="preserve">  "V5": -0.522188,</w:t>
              <w:br/>
              <w:t xml:space="preserve">  "V6": -1.426545,</w:t>
              <w:br/>
              <w:t xml:space="preserve">  "V7": -2.537387,</w:t>
              <w:br/>
              <w:t xml:space="preserve">  "V8": 1.391657,</w:t>
              <w:br/>
              <w:t xml:space="preserve">  "V9": -2.770089,</w:t>
              <w:br/>
              <w:t xml:space="preserve">  "V10": -2.772272,</w:t>
              <w:br/>
              <w:t xml:space="preserve">  "V11": 3.202033,</w:t>
              <w:br/>
              <w:t xml:space="preserve">  "V12": -2.899907,</w:t>
              <w:br/>
              <w:t xml:space="preserve">  "V13": -0.595222,</w:t>
              <w:br/>
              <w:t xml:space="preserve">  "V14": -4.289254,</w:t>
              <w:br/>
              <w:t xml:space="preserve">  "V15": 0.389724,</w:t>
              <w:br/>
              <w:t xml:space="preserve">  "V16": -1.140747,</w:t>
              <w:br/>
              <w:t xml:space="preserve">  "V17": -2.830056,</w:t>
              <w:br/>
              <w:t xml:space="preserve">  "V18": -0.016870,</w:t>
              <w:br/>
              <w:t xml:space="preserve">  "V19": 0.416956,</w:t>
              <w:br/>
              <w:t xml:space="preserve">  "V20": 0.126911,</w:t>
              <w:br/>
              <w:t xml:space="preserve">  "V21": 0.517232,</w:t>
              <w:br/>
              <w:t xml:space="preserve">  "V22": -0.035049,</w:t>
              <w:br/>
              <w:t xml:space="preserve">  "V23": -0.465211,</w:t>
              <w:br/>
              <w:t xml:space="preserve">  "V24": 0.320198,</w:t>
              <w:br/>
              <w:t xml:space="preserve">  "V25": 0.044519,</w:t>
              <w:br/>
              <w:t xml:space="preserve">  "V26": 0.177840,</w:t>
              <w:br/>
              <w:t xml:space="preserve">  "V27": 0.261145,</w:t>
              <w:br/>
              <w:t xml:space="preserve">  "V28": -0.143276,</w:t>
              <w:br/>
              <w:t xml:space="preserve">  "Amount": 0.00</w:t>
              <w:br/>
              <w:t>}</w:t>
            </w:r>
          </w:p>
        </w:tc>
      </w:tr>
    </w:tbl>
    <w:p>
      <w:pPr>
        <w:spacing w:after="120"/>
      </w:pPr>
    </w:p>
    <w:p>
      <w:pPr>
        <w:keepNext/>
        <w:spacing w:before="200" w:after="80"/>
      </w:pPr>
      <w:r>
        <w:rPr>
          <w:rFonts w:ascii="Times New Roman" w:hAnsi="Times New Roman"/>
          <w:b/>
          <w:sz w:val="24"/>
        </w:rPr>
        <w:t>Schema 3: Spatial &amp; Behavioral Ingestion Payload</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w:t>
              <w:br/>
              <w:t xml:space="preserve">  "domain": "spatial",</w:t>
              <w:br/>
              <w:t xml:space="preserve">  "lat": 40.7128,</w:t>
              <w:br/>
              <w:t xml:space="preserve">  "long": -74.0060,</w:t>
              <w:br/>
              <w:t xml:space="preserve">  "merch_lat": 41.8781,</w:t>
              <w:br/>
              <w:t xml:space="preserve">  "merch_long": -87.6298,</w:t>
              <w:br/>
              <w:t xml:space="preserve">  "amt": 985.50,</w:t>
              <w:br/>
              <w:t xml:space="preserve">  "category": "travel",</w:t>
              <w:br/>
              <w:t xml:space="preserve">  "hour": 3</w:t>
              <w:br/>
              <w:t>}</w:t>
            </w:r>
          </w:p>
        </w:tc>
      </w:tr>
    </w:tbl>
    <w:p>
      <w:pPr>
        <w:spacing w:after="120"/>
      </w:pPr>
    </w:p>
    <w:p>
      <w:pPr>
        <w:keepNext/>
        <w:spacing w:before="200" w:after="80"/>
      </w:pPr>
      <w:r>
        <w:rPr>
          <w:rFonts w:ascii="Times New Roman" w:hAnsi="Times New Roman"/>
          <w:b/>
          <w:sz w:val="24"/>
        </w:rPr>
        <w:t>Schema 4: BankSim Retail Ingestion Payload</w:t>
      </w:r>
    </w:p>
    <w:tbl>
      <w:tblPr>
        <w:tblW w:type="auto" w:w="0"/>
        <w:jc w:val="center"/>
        <w:tblLook w:firstColumn="1" w:firstRow="1" w:lastColumn="0" w:lastRow="0" w:noHBand="0" w:noVBand="1" w:val="04A0"/>
      </w:tblPr>
      <w:tblGrid>
        <w:gridCol w:w="9000"/>
      </w:tblGrid>
      <w:tr>
        <w:tc>
          <w:tcPr>
            <w:tcW w:type="dxa" w:w="9000"/>
            <w:shd w:fill="F3F4F6"/>
            <w:tcMar>
              <w:top w:w="150" w:type="dxa"/>
              <w:bottom w:w="150" w:type="dxa"/>
              <w:left w:w="200" w:type="dxa"/>
              <w:right w:w="200" w:type="dxa"/>
            </w:tcMar>
          </w:tcPr>
          <w:p>
            <w:pPr>
              <w:spacing w:line="276" w:lineRule="auto" w:after="40"/>
            </w:pPr>
            <w:r>
              <w:rPr>
                <w:rFonts w:ascii="Courier New" w:hAnsi="Courier New"/>
                <w:color w:val="1F2937"/>
                <w:sz w:val="19"/>
              </w:rPr>
              <w:t>{</w:t>
              <w:br/>
              <w:t xml:space="preserve">  "domain": "banksim",</w:t>
              <w:br/>
              <w:t xml:space="preserve">  "step": 12,</w:t>
              <w:br/>
              <w:t xml:space="preserve">  "customer": "C10938261",</w:t>
              <w:br/>
              <w:t xml:space="preserve">  "age": "3",</w:t>
              <w:br/>
              <w:t xml:space="preserve">  "gender": "M",</w:t>
              <w:br/>
              <w:t xml:space="preserve">  "zipcodeOri": "28007",</w:t>
              <w:br/>
              <w:t xml:space="preserve">  "merchant": "M3489346",</w:t>
              <w:br/>
              <w:t xml:space="preserve">  "category": "es_sportsandtoys",</w:t>
              <w:br/>
              <w:t xml:space="preserve">  "amount": 245.80</w:t>
              <w:br/>
              <w:t>}</w:t>
            </w:r>
          </w:p>
        </w:tc>
      </w:tr>
    </w:tbl>
    <w:p>
      <w:pPr>
        <w:spacing w:after="120"/>
      </w:pPr>
    </w:p>
    <w:p>
      <w:pPr>
        <w:keepNext/>
        <w:spacing w:before="280" w:after="160"/>
      </w:pPr>
      <w:r>
        <w:rPr>
          <w:rFonts w:ascii="Times New Roman" w:hAnsi="Times New Roman"/>
          <w:b/>
          <w:sz w:val="32"/>
        </w:rPr>
        <w:t>4.4 Experimental Setup and Tools (Software &amp; Hardware)</w:t>
      </w:r>
    </w:p>
    <w:p>
      <w:pPr>
        <w:keepNext/>
        <w:spacing w:before="240" w:after="120"/>
      </w:pPr>
      <w:r>
        <w:rPr>
          <w:rFonts w:ascii="Times New Roman" w:hAnsi="Times New Roman"/>
          <w:b/>
          <w:sz w:val="28"/>
        </w:rPr>
        <w:t>4.4.1 Hardware Specifications</w:t>
      </w:r>
    </w:p>
    <w:p>
      <w:pPr>
        <w:spacing w:line="360" w:lineRule="auto" w:after="120"/>
        <w:jc w:val="both"/>
      </w:pPr>
      <w:r>
        <w:rPr>
          <w:rFonts w:ascii="Times New Roman" w:hAnsi="Times New Roman"/>
          <w:sz w:val="24"/>
        </w:rPr>
        <w:t>Model training, empirical evaluations, and latency benchmarking were executed across standardized hardware configurations detailed in Table 4.1:</w:t>
      </w:r>
    </w:p>
    <w:p>
      <w:pPr>
        <w:keepNext/>
        <w:spacing w:before="200" w:after="80"/>
      </w:pPr>
      <w:r>
        <w:rPr>
          <w:rFonts w:ascii="Times New Roman" w:hAnsi="Times New Roman"/>
          <w:b/>
          <w:sz w:val="24"/>
        </w:rPr>
        <w:t>Table 4.1: Hardware Specification for Training and Staging</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250"/>
        <w:gridCol w:w="2250"/>
        <w:gridCol w:w="2250"/>
        <w:gridCol w:w="2250"/>
      </w:tblGrid>
      <w:tr>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Component</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Training &amp; Benchmark Workstation</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Production Staging Container</w:t>
            </w:r>
          </w:p>
        </w:tc>
        <w:tc>
          <w:tcPr>
            <w:tcW w:type="dxa" w:w="2250"/>
            <w:shd w:fill="E5E7EB"/>
            <w:tcMar>
              <w:top w:w="120" w:type="dxa"/>
              <w:bottom w:w="120" w:type="dxa"/>
              <w:left w:w="140" w:type="dxa"/>
              <w:right w:w="140" w:type="dxa"/>
            </w:tcMar>
          </w:tcPr>
          <w:p>
            <w:pPr>
              <w:spacing w:line="276" w:lineRule="auto" w:after="40"/>
            </w:pPr>
            <w:r>
              <w:rPr>
                <w:rFonts w:ascii="Times New Roman" w:hAnsi="Times New Roman"/>
                <w:b/>
                <w:sz w:val="21"/>
              </w:rPr>
              <w:t>Minimum Edge Client</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Processor (CPU)</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AMD Ryzen 9 5950X (16 Cores, 32 Threads @ 4.9GHz)</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Intel Xeon Gold 6338 (4 vCPUs @ 2.6GHz)</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Intel Core i5 / Apple M1 (Quad-Core)</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Memory (RAM)</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64 GB DDR4 @ 3600 MHz</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8 GB ECC RAM</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4 GB LPDDR4</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Graphics (GPU)</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NVIDIA GeForce RTX 3090 (24 GB VRAM)</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Headless Cloud Instance</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Integrated GPU</w:t>
            </w:r>
          </w:p>
        </w:tc>
      </w:tr>
      <w:tr>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Storage</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2 TB NVMe PCIe 4.0 SSD ($7000\text{ MB/s}$)</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50 GB Cloud Block Storage SSD</w:t>
            </w:r>
          </w:p>
        </w:tc>
        <w:tc>
          <w:tcPr>
            <w:tcW w:type="dxa" w:w="2250"/>
            <w:shd w:fill="F9FAFB"/>
            <w:tcMar>
              <w:top w:w="100" w:type="dxa"/>
              <w:bottom w:w="100" w:type="dxa"/>
              <w:left w:w="120" w:type="dxa"/>
              <w:right w:w="120" w:type="dxa"/>
            </w:tcMar>
          </w:tcPr>
          <w:p>
            <w:pPr>
              <w:spacing w:line="276" w:lineRule="auto" w:after="40"/>
            </w:pPr>
            <w:r>
              <w:rPr>
                <w:rFonts w:ascii="Times New Roman" w:hAnsi="Times New Roman"/>
                <w:sz w:val="20"/>
              </w:rPr>
              <w:t>10 GB Free Storage</w:t>
            </w:r>
          </w:p>
        </w:tc>
      </w:tr>
      <w:tr>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Network</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1 Gbps Symmetric Fiber Backbone</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100 Mbps Cloud Virtual Interface</w:t>
            </w:r>
          </w:p>
        </w:tc>
        <w:tc>
          <w:tcPr>
            <w:tcW w:type="dxa" w:w="2250"/>
            <w:shd w:fill="FFFFFF"/>
            <w:tcMar>
              <w:top w:w="100" w:type="dxa"/>
              <w:bottom w:w="100" w:type="dxa"/>
              <w:left w:w="120" w:type="dxa"/>
              <w:right w:w="120" w:type="dxa"/>
            </w:tcMar>
          </w:tcPr>
          <w:p>
            <w:pPr>
              <w:spacing w:line="276" w:lineRule="auto" w:after="40"/>
            </w:pPr>
            <w:r>
              <w:rPr>
                <w:rFonts w:ascii="Times New Roman" w:hAnsi="Times New Roman"/>
                <w:sz w:val="20"/>
              </w:rPr>
              <w:t>Standard Broadband</w:t>
            </w:r>
          </w:p>
        </w:tc>
      </w:tr>
    </w:tbl>
    <w:p>
      <w:pPr>
        <w:spacing w:after="120"/>
      </w:pPr>
    </w:p>
    <w:p>
      <w:pPr>
        <w:keepNext/>
        <w:spacing w:before="240" w:after="120"/>
      </w:pPr>
      <w:r>
        <w:rPr>
          <w:rFonts w:ascii="Times New Roman" w:hAnsi="Times New Roman"/>
          <w:b/>
          <w:sz w:val="28"/>
        </w:rPr>
        <w:t>4.4.2 Software Environment</w:t>
      </w:r>
    </w:p>
    <w:p>
      <w:pPr>
        <w:spacing w:line="360" w:lineRule="auto" w:after="120"/>
        <w:ind w:left="432"/>
      </w:pPr>
      <w:r>
        <w:rPr>
          <w:rFonts w:ascii="Times New Roman" w:hAnsi="Times New Roman"/>
          <w:sz w:val="24"/>
        </w:rPr>
        <w:t>• Operating Systems: Windows 11 Enterprise (Host Development) / Ubuntu 22.04 LTS (Docker Container Environment)</w:t>
      </w:r>
    </w:p>
    <w:p>
      <w:pPr>
        <w:spacing w:line="360" w:lineRule="auto" w:after="120"/>
        <w:ind w:left="432"/>
      </w:pPr>
      <w:r>
        <w:rPr>
          <w:rFonts w:ascii="Times New Roman" w:hAnsi="Times New Roman"/>
          <w:sz w:val="24"/>
        </w:rPr>
        <w:t>• Python Runtime: Python 3.12.3 64-bit</w:t>
      </w:r>
    </w:p>
    <w:p>
      <w:pPr>
        <w:spacing w:line="360" w:lineRule="auto" w:after="120"/>
        <w:ind w:left="432"/>
      </w:pPr>
      <w:r>
        <w:rPr>
          <w:rFonts w:ascii="Times New Roman" w:hAnsi="Times New Roman"/>
          <w:sz w:val="24"/>
        </w:rPr>
        <w:t>• Node.js Environment: Node.js v20.14.0 LTS / npm v10.7.0</w:t>
      </w:r>
    </w:p>
    <w:p>
      <w:pPr>
        <w:spacing w:line="360" w:lineRule="auto" w:after="120"/>
        <w:ind w:left="432"/>
      </w:pPr>
      <w:r>
        <w:rPr>
          <w:rFonts w:ascii="Times New Roman" w:hAnsi="Times New Roman"/>
          <w:sz w:val="24"/>
        </w:rPr>
        <w:t>• Virtualization: Docker Engine 26.1.1 / Docker Compose v2.27.0</w:t>
      </w:r>
    </w:p>
    <w:p>
      <w:pPr>
        <w:spacing w:line="360" w:lineRule="auto" w:after="120"/>
        <w:ind w:left="432"/>
      </w:pPr>
      <w:r>
        <w:rPr>
          <w:rFonts w:ascii="Times New Roman" w:hAnsi="Times New Roman"/>
          <w:sz w:val="24"/>
        </w:rPr>
        <w:t>• Version Control: Git 2.45.0 / GitHub Enterprise</w:t>
      </w:r>
    </w:p>
    <w:p>
      <w:pPr>
        <w:keepNext/>
        <w:spacing w:before="240" w:after="120"/>
      </w:pPr>
      <w:r>
        <w:rPr>
          <w:rFonts w:ascii="Times New Roman" w:hAnsi="Times New Roman"/>
          <w:b/>
          <w:sz w:val="28"/>
        </w:rPr>
        <w:t>4.4.3 Benchmark Financial Datasets Summary</w:t>
      </w:r>
    </w:p>
    <w:p>
      <w:pPr>
        <w:spacing w:line="360" w:lineRule="auto" w:after="120"/>
        <w:jc w:val="both"/>
      </w:pPr>
      <w:r>
        <w:rPr>
          <w:rFonts w:ascii="Times New Roman" w:hAnsi="Times New Roman"/>
          <w:sz w:val="24"/>
        </w:rPr>
        <w:t>FraudShield AI was empirically trained and validated across four internationally recognized financial fraud benchmark datasets:</w:t>
      </w:r>
    </w:p>
    <w:p>
      <w:pPr>
        <w:keepNext/>
        <w:spacing w:before="200" w:after="80"/>
      </w:pPr>
      <w:r>
        <w:rPr>
          <w:rFonts w:ascii="Times New Roman" w:hAnsi="Times New Roman"/>
          <w:b/>
          <w:sz w:val="24"/>
        </w:rPr>
        <w:t>Table 4.2: Benchmark Financial Datasets Summary</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125"/>
        <w:gridCol w:w="1125"/>
        <w:gridCol w:w="1125"/>
        <w:gridCol w:w="1125"/>
        <w:gridCol w:w="1125"/>
        <w:gridCol w:w="1125"/>
        <w:gridCol w:w="1125"/>
        <w:gridCol w:w="1125"/>
      </w:tblGrid>
      <w:tr>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Dataset Identifier</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Domain &amp; Operational Context</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Total Records</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Fraudulent Records</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Benign Records</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Class Imbalance Ratio</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Feature Dimension</w:t>
            </w:r>
          </w:p>
        </w:tc>
        <w:tc>
          <w:tcPr>
            <w:tcW w:type="dxa" w:w="1125"/>
            <w:shd w:fill="E5E7EB"/>
            <w:tcMar>
              <w:top w:w="120" w:type="dxa"/>
              <w:bottom w:w="120" w:type="dxa"/>
              <w:left w:w="140" w:type="dxa"/>
              <w:right w:w="140" w:type="dxa"/>
            </w:tcMar>
          </w:tcPr>
          <w:p>
            <w:pPr>
              <w:spacing w:line="276" w:lineRule="auto" w:after="40"/>
            </w:pPr>
            <w:r>
              <w:rPr>
                <w:rFonts w:ascii="Times New Roman" w:hAnsi="Times New Roman"/>
                <w:b/>
                <w:sz w:val="21"/>
              </w:rPr>
              <w:t>Source &amp; Citation</w:t>
            </w:r>
          </w:p>
        </w:tc>
      </w:tr>
      <w:tr>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PaySim Mobile Money</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Mobile P2P Money Transfers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6,362,620</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8,213</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6,354,407</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774 : 1 (0.129%)</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11 Features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Lopez-Rojas et al. (2016)</w:t>
            </w:r>
          </w:p>
        </w:tc>
      </w:tr>
      <w:tr>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European Credit Card</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Anonymized Cardholder PCA</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284,807</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492</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284,315</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577 : 1 (0.172%)</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30 Features ($V1-V{28}$, Time, Amount)</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Dal Pozzolo et al. (2015)</w:t>
            </w:r>
          </w:p>
        </w:tc>
      </w:tr>
      <w:tr>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Spatial Behavioral</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Geospatial Card Transactions</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1,852,394</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9,651</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1,842,743</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191 : 1 (0.521%)</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22 Features (Coordinates, Merchant)</w:t>
            </w:r>
          </w:p>
        </w:tc>
        <w:tc>
          <w:tcPr>
            <w:tcW w:type="dxa" w:w="1125"/>
            <w:shd w:fill="FFFFFF"/>
            <w:tcMar>
              <w:top w:w="100" w:type="dxa"/>
              <w:bottom w:w="100" w:type="dxa"/>
              <w:left w:w="120" w:type="dxa"/>
              <w:right w:w="120" w:type="dxa"/>
            </w:tcMar>
          </w:tcPr>
          <w:p>
            <w:pPr>
              <w:spacing w:line="276" w:lineRule="auto" w:after="40"/>
            </w:pPr>
            <w:r>
              <w:rPr>
                <w:rFonts w:ascii="Times New Roman" w:hAnsi="Times New Roman"/>
                <w:sz w:val="20"/>
              </w:rPr>
              <w:t>Sparkov / Kaggle (2020)</w:t>
            </w:r>
          </w:p>
        </w:tc>
      </w:tr>
      <w:tr>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BankSim Retail</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Synthetic Agent Banking</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594,643</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7,200</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587,443</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81 : 1 (1.211%)</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10 Features (Merchant Categories)</w:t>
            </w:r>
          </w:p>
        </w:tc>
        <w:tc>
          <w:tcPr>
            <w:tcW w:type="dxa" w:w="1125"/>
            <w:shd w:fill="F9FAFB"/>
            <w:tcMar>
              <w:top w:w="100" w:type="dxa"/>
              <w:bottom w:w="100" w:type="dxa"/>
              <w:left w:w="120" w:type="dxa"/>
              <w:right w:w="120" w:type="dxa"/>
            </w:tcMar>
          </w:tcPr>
          <w:p>
            <w:pPr>
              <w:spacing w:line="276" w:lineRule="auto" w:after="40"/>
            </w:pPr>
            <w:r>
              <w:rPr>
                <w:rFonts w:ascii="Times New Roman" w:hAnsi="Times New Roman"/>
                <w:sz w:val="20"/>
              </w:rPr>
              <w:t>Lopez-Rojas &amp; Axelsson (2014)</w:t>
            </w:r>
          </w:p>
        </w:tc>
      </w:tr>
    </w:tbl>
    <w:p>
      <w:pPr>
        <w:spacing w:after="120"/>
      </w:pPr>
    </w:p>
    <w:p>
      <w:pPr>
        <w:keepNext/>
        <w:spacing w:before="280" w:after="160"/>
      </w:pPr>
      <w:r>
        <w:rPr>
          <w:rFonts w:ascii="Times New Roman" w:hAnsi="Times New Roman"/>
          <w:b/>
          <w:sz w:val="32"/>
        </w:rPr>
        <w:t>4.5 Implementation, Deployment and Testing</w:t>
      </w:r>
    </w:p>
    <w:p>
      <w:pPr>
        <w:keepNext/>
        <w:spacing w:before="240" w:after="120"/>
      </w:pPr>
      <w:r>
        <w:rPr>
          <w:rFonts w:ascii="Times New Roman" w:hAnsi="Times New Roman"/>
          <w:b/>
          <w:sz w:val="28"/>
        </w:rPr>
        <w:t>4.5.1 Automated Test Suite Execution Matrix</w:t>
      </w:r>
    </w:p>
    <w:p>
      <w:pPr>
        <w:spacing w:line="360" w:lineRule="auto" w:after="120"/>
        <w:jc w:val="both"/>
      </w:pPr>
      <w:r>
        <w:rPr>
          <w:rFonts w:ascii="Times New Roman" w:hAnsi="Times New Roman"/>
          <w:sz w:val="24"/>
        </w:rPr>
        <w:t>To guarantee production reliability, the system incorporates an exhaustive automated test suite implemented via pytest. The suite executes 100% automated regression runs across core modules:</w:t>
      </w:r>
    </w:p>
    <w:p>
      <w:pPr>
        <w:keepNext/>
        <w:spacing w:before="200" w:after="80"/>
      </w:pPr>
      <w:r>
        <w:rPr>
          <w:rFonts w:ascii="Times New Roman" w:hAnsi="Times New Roman"/>
          <w:b/>
          <w:sz w:val="24"/>
        </w:rPr>
        <w:t>Table 4.3: Automated Test Suite Execution Matrix</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800"/>
        <w:gridCol w:w="1800"/>
        <w:gridCol w:w="1800"/>
        <w:gridCol w:w="1800"/>
        <w:gridCol w:w="1800"/>
      </w:tblGrid>
      <w:tr>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Test Suite Module</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Test Identifier</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Target Functionality / Endpoint</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Verification Objective</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Result</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testapi.py</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TC-API-01</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GET /health</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Validates API status, model loading, and memory health.</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testapi.py</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TC-API-02</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POST /auth/login</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Validates JWT token generation, expiry, and RBAC claims.</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testapi.py</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TC-API-03</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POST /analyze?domain=paysim</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Validates PaySim inference, calibrated score, and tier.</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testapi.py</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TC-API-04</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POST /analyze?domain=creditcard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Validates Credit Card PCA inference with 28 PCA vectors.</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testapi.py</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TC-API-05</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POST /analyze?domain=spatial</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Validates Haversine distance calculation and geo-scoring.</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testapi.py</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TC-API-06</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POST /analyze?domain=banksim</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Validates retail category encoding and merchant risk.</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testcore.py</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TC-ML-01</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modelengine.predictproba()</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Validates Stacking Ensemble Level-0/Level-1 meta output.</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testcore.py</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TC-ML-02</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explainer.explaininstance()</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Validates TreeSHAP additive efficiency and reason codes.</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testcore.py</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TC-ML-03</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graphengine.detectcycles()</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Validates NetworkX multi-hop cyclic ring identification.</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testcore.py</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TC-ML-04</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driftmonitor.checkdrift()</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Validates 2-sample KS-test statistics and PSI calculation.</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testsecurity.py</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TC-SEC-01</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OWASP Security Headers</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Validates X-Content-Type-Options, X-Frame-Options.</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testsecurity.py</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TC-SEC-02</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Sliding-Window Rate Limiter</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Verifies HTTP 429 Too Many Requests upon burst flood.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Passed</w:t>
            </w:r>
          </w:p>
        </w:tc>
      </w:tr>
    </w:tbl>
    <w:p>
      <w:pPr>
        <w:spacing w:after="120"/>
      </w:pPr>
    </w:p>
    <w:p>
      <w:pPr>
        <w:keepNext/>
        <w:spacing w:before="280" w:after="160"/>
      </w:pPr>
      <w:r>
        <w:rPr>
          <w:rFonts w:ascii="Times New Roman" w:hAnsi="Times New Roman"/>
          <w:b/>
          <w:sz w:val="32"/>
        </w:rPr>
        <w:t>4.6 Performance Evaluation</w:t>
      </w:r>
    </w:p>
    <w:p>
      <w:pPr>
        <w:keepNext/>
        <w:spacing w:before="240" w:after="120"/>
      </w:pPr>
      <w:r>
        <w:rPr>
          <w:rFonts w:ascii="Times New Roman" w:hAnsi="Times New Roman"/>
          <w:b/>
          <w:sz w:val="28"/>
        </w:rPr>
        <w:t>4.6.1 Evaluation Metrics Formulation</w:t>
      </w:r>
    </w:p>
    <w:p>
      <w:pPr>
        <w:spacing w:line="360" w:lineRule="auto" w:after="120"/>
        <w:jc w:val="both"/>
      </w:pPr>
      <w:r>
        <w:rPr>
          <w:rFonts w:ascii="Times New Roman" w:hAnsi="Times New Roman"/>
          <w:sz w:val="24"/>
        </w:rPr>
        <w:t>Because financial transaction datasets exhibit extreme class imbalance, traditional accuracy:</w:t>
      </w:r>
    </w:p>
    <w:p>
      <w:pPr>
        <w:spacing w:line="360" w:lineRule="auto" w:after="120"/>
        <w:jc w:val="both"/>
      </w:pPr>
      <w:r>
        <w:rPr>
          <w:rFonts w:ascii="Times New Roman" w:hAnsi="Times New Roman"/>
          <w:sz w:val="24"/>
        </w:rPr>
        <w:t>$$\text{Accuracy} = \frac{TP + TN}{TP + TN + FP + FN}$$</w:t>
      </w:r>
    </w:p>
    <w:p>
      <w:pPr>
        <w:spacing w:line="360" w:lineRule="auto" w:after="120"/>
        <w:jc w:val="both"/>
      </w:pPr>
      <w:r>
        <w:rPr>
          <w:rFonts w:ascii="Times New Roman" w:hAnsi="Times New Roman"/>
          <w:sz w:val="24"/>
        </w:rPr>
        <w:t>is dangerously misleading. FraudShield AI utilizes robust imbalanced evaluation metrics:</w:t>
      </w:r>
    </w:p>
    <w:p>
      <w:pPr>
        <w:spacing w:line="360" w:lineRule="auto" w:after="120"/>
        <w:ind w:left="432"/>
      </w:pPr>
      <w:r>
        <w:rPr>
          <w:rFonts w:ascii="Times New Roman" w:hAnsi="Times New Roman"/>
          <w:sz w:val="24"/>
        </w:rPr>
        <w:t>1. Precision (Positive Predictive Value):</w:t>
      </w:r>
    </w:p>
    <w:p>
      <w:pPr>
        <w:spacing w:line="360" w:lineRule="auto" w:after="120"/>
        <w:jc w:val="both"/>
      </w:pPr>
      <w:r>
        <w:rPr>
          <w:rFonts w:ascii="Times New Roman" w:hAnsi="Times New Roman"/>
          <w:sz w:val="24"/>
        </w:rPr>
        <w:t>$$\text{Precision} = \frac{TP}{TP + FP}$$</w:t>
      </w:r>
    </w:p>
    <w:p>
      <w:pPr>
        <w:spacing w:line="360" w:lineRule="auto" w:after="120"/>
        <w:jc w:val="both"/>
      </w:pPr>
      <w:r>
        <w:rPr>
          <w:rFonts w:ascii="Times New Roman" w:hAnsi="Times New Roman"/>
          <w:sz w:val="24"/>
        </w:rPr>
        <w:t>Measures the proportion of flagged transactions that are genuinely fraudulent. High precision minimizes false alarms and customer friction.</w:t>
      </w:r>
    </w:p>
    <w:p>
      <w:pPr>
        <w:spacing w:line="360" w:lineRule="auto" w:after="120"/>
        <w:ind w:left="432"/>
      </w:pPr>
      <w:r>
        <w:rPr>
          <w:rFonts w:ascii="Times New Roman" w:hAnsi="Times New Roman"/>
          <w:sz w:val="24"/>
        </w:rPr>
        <w:t>2. Recall (Sensitivity / True Positive Rate):</w:t>
      </w:r>
    </w:p>
    <w:p>
      <w:pPr>
        <w:spacing w:line="360" w:lineRule="auto" w:after="120"/>
        <w:jc w:val="both"/>
      </w:pPr>
      <w:r>
        <w:rPr>
          <w:rFonts w:ascii="Times New Roman" w:hAnsi="Times New Roman"/>
          <w:sz w:val="24"/>
        </w:rPr>
        <w:t>$$\text{Recall} = \frac{TP}{TP + FN}$$</w:t>
      </w:r>
    </w:p>
    <w:p>
      <w:pPr>
        <w:spacing w:line="360" w:lineRule="auto" w:after="120"/>
        <w:jc w:val="both"/>
      </w:pPr>
      <w:r>
        <w:rPr>
          <w:rFonts w:ascii="Times New Roman" w:hAnsi="Times New Roman"/>
          <w:sz w:val="24"/>
        </w:rPr>
        <w:t>Measures the proportion of actual fraudulent events captured by the system. High recall guarantees financial loss containment.</w:t>
      </w:r>
    </w:p>
    <w:p>
      <w:pPr>
        <w:spacing w:line="360" w:lineRule="auto" w:after="120"/>
        <w:ind w:left="432"/>
      </w:pPr>
      <w:r>
        <w:rPr>
          <w:rFonts w:ascii="Times New Roman" w:hAnsi="Times New Roman"/>
          <w:sz w:val="24"/>
        </w:rPr>
        <w:t>3. F1-Score (Harmonic Mean):</w:t>
      </w:r>
    </w:p>
    <w:p>
      <w:pPr>
        <w:spacing w:line="360" w:lineRule="auto" w:after="120"/>
        <w:jc w:val="both"/>
      </w:pPr>
      <w:r>
        <w:rPr>
          <w:rFonts w:ascii="Times New Roman" w:hAnsi="Times New Roman"/>
          <w:sz w:val="24"/>
        </w:rPr>
        <w:t>$$F1 = 2 \cdot \frac{\text{Precision} \cdot \text{Recall}}{\text{Precision} + \text{Recall}} = \frac{2 TP}{2 TP + FP + FN}$$</w:t>
      </w:r>
    </w:p>
    <w:p>
      <w:pPr>
        <w:spacing w:line="360" w:lineRule="auto" w:after="120"/>
        <w:ind w:left="432"/>
      </w:pPr>
      <w:r>
        <w:rPr>
          <w:rFonts w:ascii="Times New Roman" w:hAnsi="Times New Roman"/>
          <w:sz w:val="24"/>
        </w:rPr>
        <w:t>4. Precision-Recall Area Under the Curve (PR-AUC):</w:t>
      </w:r>
    </w:p>
    <w:p>
      <w:pPr>
        <w:spacing w:line="360" w:lineRule="auto" w:after="120"/>
        <w:jc w:val="both"/>
      </w:pPr>
      <w:r>
        <w:rPr>
          <w:rFonts w:ascii="Times New Roman" w:hAnsi="Times New Roman"/>
          <w:sz w:val="24"/>
        </w:rPr>
        <w:t>Evaluates the integral of the precision-recall curve across all possible classification thresholds. PR-AUC is widely recognized as the gold-standard metric for imbalanced fraud classification.</w:t>
      </w:r>
    </w:p>
    <w:p>
      <w:pPr>
        <w:spacing w:line="360" w:lineRule="auto" w:after="120"/>
        <w:ind w:left="432"/>
      </w:pPr>
      <w:r>
        <w:rPr>
          <w:rFonts w:ascii="Times New Roman" w:hAnsi="Times New Roman"/>
          <w:sz w:val="24"/>
        </w:rPr>
        <w:t>5. Receiver Operating Characteristic Area Under the Curve (ROC-AUC):</w:t>
      </w:r>
    </w:p>
    <w:p>
      <w:pPr>
        <w:spacing w:line="360" w:lineRule="auto" w:after="120"/>
        <w:jc w:val="both"/>
      </w:pPr>
      <w:r>
        <w:rPr>
          <w:rFonts w:ascii="Times New Roman" w:hAnsi="Times New Roman"/>
          <w:sz w:val="24"/>
        </w:rPr>
        <w:t>Measures the trade-off between True Positive Rate and False Positive Rate ($FPR = FP / (FP + TN)$) across thresholds.</w:t>
      </w:r>
    </w:p>
    <w:p>
      <w:pPr>
        <w:keepNext/>
        <w:spacing w:before="240" w:after="120"/>
      </w:pPr>
      <w:r>
        <w:rPr>
          <w:rFonts w:ascii="Times New Roman" w:hAnsi="Times New Roman"/>
          <w:b/>
          <w:sz w:val="28"/>
        </w:rPr>
        <w:t>4.6.2 Cross-Validation Generalization Gap Analysis</w:t>
      </w:r>
    </w:p>
    <w:p>
      <w:pPr>
        <w:spacing w:line="360" w:lineRule="auto" w:after="120"/>
        <w:jc w:val="both"/>
      </w:pPr>
      <w:r>
        <w:rPr>
          <w:rFonts w:ascii="Times New Roman" w:hAnsi="Times New Roman"/>
          <w:sz w:val="24"/>
        </w:rPr>
        <w:t>To empirically confirm that the Stacking Ensemble does not overfit training partitions, 5-fold stratified cross-validation was conducted across all four domains. The Generalization Gap is defined as:</w:t>
      </w:r>
    </w:p>
    <w:p>
      <w:pPr>
        <w:spacing w:line="360" w:lineRule="auto" w:after="120"/>
        <w:jc w:val="both"/>
      </w:pPr>
      <w:r>
        <w:rPr>
          <w:rFonts w:ascii="Times New Roman" w:hAnsi="Times New Roman"/>
          <w:sz w:val="24"/>
        </w:rPr>
        <w:t>$$\Delta{\text{gen}} = |\text{Score}{\text{train}} - \text{Score}{\text{test}}|$$</w:t>
      </w:r>
    </w:p>
    <w:p>
      <w:pPr>
        <w:keepNext/>
        <w:spacing w:before="200" w:after="80"/>
      </w:pPr>
      <w:r>
        <w:rPr>
          <w:rFonts w:ascii="Times New Roman" w:hAnsi="Times New Roman"/>
          <w:b/>
          <w:sz w:val="24"/>
        </w:rPr>
        <w:t>Table 4.4: 5-Fold Cross-Validation Generalization Gap Analysis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800"/>
        <w:gridCol w:w="1800"/>
        <w:gridCol w:w="1800"/>
        <w:gridCol w:w="1800"/>
        <w:gridCol w:w="1800"/>
      </w:tblGrid>
      <w:tr>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Domain Model Head</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5-Fold Mean Train F1</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5-Fold Mean Test F1</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Generalization Gap ($\Delta{\text{gen}}$)</w:t>
            </w:r>
          </w:p>
        </w:tc>
        <w:tc>
          <w:tcPr>
            <w:tcW w:type="dxa" w:w="1800"/>
            <w:shd w:fill="E5E7EB"/>
            <w:tcMar>
              <w:top w:w="120" w:type="dxa"/>
              <w:bottom w:w="120" w:type="dxa"/>
              <w:left w:w="140" w:type="dxa"/>
              <w:right w:w="140" w:type="dxa"/>
            </w:tcMar>
          </w:tcPr>
          <w:p>
            <w:pPr>
              <w:spacing w:line="276" w:lineRule="auto" w:after="40"/>
            </w:pPr>
            <w:r>
              <w:rPr>
                <w:rFonts w:ascii="Times New Roman" w:hAnsi="Times New Roman"/>
                <w:b/>
                <w:sz w:val="21"/>
              </w:rPr>
              <w:t>Overfitting Status</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PaySim Mobile Money Head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$99.70\% \pm 0.02\%$</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$99.66\% \pm 0.04\%$</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0.04%</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Minimal / Robust</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Credit Card PCA Head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$89.65\% \pm 0.18\%$</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$89.25\% \pm 0.22\%$</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0.40%</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Minimal / Robust</w:t>
            </w:r>
          </w:p>
        </w:tc>
      </w:tr>
      <w:tr>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Spatial Behavioral Head</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$85.90\% \pm 0.25\%$</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$85.57\% \pm 0.31\%$</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0.33%</w:t>
            </w:r>
          </w:p>
        </w:tc>
        <w:tc>
          <w:tcPr>
            <w:tcW w:type="dxa" w:w="1800"/>
            <w:shd w:fill="FFFFFF"/>
            <w:tcMar>
              <w:top w:w="100" w:type="dxa"/>
              <w:bottom w:w="100" w:type="dxa"/>
              <w:left w:w="120" w:type="dxa"/>
              <w:right w:w="120" w:type="dxa"/>
            </w:tcMar>
          </w:tcPr>
          <w:p>
            <w:pPr>
              <w:spacing w:line="276" w:lineRule="auto" w:after="40"/>
            </w:pPr>
            <w:r>
              <w:rPr>
                <w:rFonts w:ascii="Times New Roman" w:hAnsi="Times New Roman"/>
                <w:sz w:val="20"/>
              </w:rPr>
              <w:t>✅ Minimal / Robust</w:t>
            </w:r>
          </w:p>
        </w:tc>
      </w:tr>
      <w:tr>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BankSim Retail Head</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$97.40\% \pm 0.12\%$</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$97.14\% \pm 0.19\%$</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0.26%</w:t>
            </w:r>
          </w:p>
        </w:tc>
        <w:tc>
          <w:tcPr>
            <w:tcW w:type="dxa" w:w="1800"/>
            <w:shd w:fill="F9FAFB"/>
            <w:tcMar>
              <w:top w:w="100" w:type="dxa"/>
              <w:bottom w:w="100" w:type="dxa"/>
              <w:left w:w="120" w:type="dxa"/>
              <w:right w:w="120" w:type="dxa"/>
            </w:tcMar>
          </w:tcPr>
          <w:p>
            <w:pPr>
              <w:spacing w:line="276" w:lineRule="auto" w:after="40"/>
            </w:pPr>
            <w:r>
              <w:rPr>
                <w:rFonts w:ascii="Times New Roman" w:hAnsi="Times New Roman"/>
                <w:sz w:val="20"/>
              </w:rPr>
              <w:t>✅ Minimal / Robust</w:t>
            </w:r>
          </w:p>
        </w:tc>
      </w:tr>
    </w:tbl>
    <w:p>
      <w:pPr>
        <w:spacing w:after="120"/>
      </w:pPr>
    </w:p>
    <w:p>
      <w:pPr>
        <w:spacing w:line="360" w:lineRule="auto" w:after="120"/>
        <w:jc w:val="both"/>
      </w:pPr>
      <w:r>
        <w:rPr>
          <w:rFonts w:ascii="Times New Roman" w:hAnsi="Times New Roman"/>
          <w:sz w:val="24"/>
        </w:rPr>
        <w:t>As shown in Table 4.4, all generalization gaps remain strictly below $0.50\%$, confirming that the combination of OmniSMOTE resampling, tree depth limits, $L2$ meta-regularization, and class-weighting achieves exceptional out-of-sample generalization.</w:t>
      </w:r>
    </w:p>
    <w:p>
      <w:pPr>
        <w:keepNext/>
        <w:spacing w:before="280" w:after="160"/>
      </w:pPr>
      <w:r>
        <w:rPr>
          <w:rFonts w:ascii="Times New Roman" w:hAnsi="Times New Roman"/>
          <w:b/>
          <w:sz w:val="32"/>
        </w:rPr>
        <w:t>4.7 Summary</w:t>
      </w:r>
    </w:p>
    <w:p>
      <w:pPr>
        <w:spacing w:line="360" w:lineRule="auto" w:after="120"/>
        <w:jc w:val="both"/>
      </w:pPr>
      <w:r>
        <w:rPr>
          <w:rFonts w:ascii="Times New Roman" w:hAnsi="Times New Roman"/>
          <w:sz w:val="24"/>
        </w:rPr>
        <w:t>Chapter 4 detailed the complete system architecture, data flow representations, mathematical algorithms, user interface designs, and experimental verification infrastructure of FraudShield AI. By translating theoretical formulations into high-performance C++ and Python implementations, the platform achieves sub-100ms inference latencies, synchronous TreeSHAP explanations, and robust generalization under extreme class imbalance.</w:t>
      </w:r>
    </w:p>
    <w:p>
      <w:pPr>
        <w:spacing w:line="360" w:lineRule="auto" w:after="120"/>
        <w:jc w:val="both"/>
      </w:pPr>
      <w:r>
        <w:rPr>
          <w:rFonts w:ascii="Times New Roman" w:hAnsi="Times New Roman"/>
          <w:sz w:val="24"/>
        </w:rPr>
        <w:t>End of Chapter 4 — System Design and Experimental Set up</w:t>
      </w:r>
    </w:p>
    <w:p>
      <w:r>
        <w:br w:type="page"/>
      </w:r>
    </w:p>
    <w:p>
      <w:pPr>
        <w:keepNext/>
        <w:spacing w:before="360" w:after="200"/>
        <w:jc w:val="center"/>
      </w:pPr>
      <w:r>
        <w:rPr>
          <w:rFonts w:ascii="Times New Roman" w:hAnsi="Times New Roman"/>
          <w:b/>
          <w:sz w:val="36"/>
        </w:rPr>
        <w:t>Chapter 5: Results &amp; Discussion</w:t>
      </w:r>
    </w:p>
    <w:p>
      <w:pPr>
        <w:keepNext/>
        <w:spacing w:before="280" w:after="160"/>
      </w:pPr>
      <w:r>
        <w:rPr>
          <w:rFonts w:ascii="Times New Roman" w:hAnsi="Times New Roman"/>
          <w:b/>
          <w:sz w:val="32"/>
        </w:rPr>
        <w:t>5.1 Outputs &amp; Outcomes</w:t>
      </w:r>
    </w:p>
    <w:p>
      <w:pPr>
        <w:spacing w:line="360" w:lineRule="auto" w:after="120"/>
        <w:jc w:val="both"/>
      </w:pPr>
      <w:r>
        <w:rPr>
          <w:rFonts w:ascii="Times New Roman" w:hAnsi="Times New Roman"/>
          <w:sz w:val="24"/>
        </w:rPr>
        <w:t>This section presents the comprehensive empirical findings obtained from evaluating FraudShield AI across four internationally recognized financial transaction benchmark datasets. Benchmarking contrasts default standalone classifiers against domain-optimized Stacking Ensemble heads, evaluating classification metrics, explainability fidelity, graph forensic outcomes, and microservice latencies.</w:t>
      </w:r>
    </w:p>
    <w:p>
      <w:pPr>
        <w:keepNext/>
        <w:spacing w:before="240" w:after="120"/>
      </w:pPr>
      <w:r>
        <w:rPr>
          <w:rFonts w:ascii="Times New Roman" w:hAnsi="Times New Roman"/>
          <w:b/>
          <w:sz w:val="28"/>
        </w:rPr>
        <w:t>5.1.1 Master Empirical Performance Comparison</w:t>
      </w:r>
    </w:p>
    <w:p>
      <w:pPr>
        <w:spacing w:line="360" w:lineRule="auto" w:after="120"/>
        <w:jc w:val="both"/>
      </w:pPr>
      <w:r>
        <w:rPr>
          <w:rFonts w:ascii="Times New Roman" w:hAnsi="Times New Roman"/>
          <w:sz w:val="24"/>
        </w:rPr>
        <w:t>Table 5.1 summarizes the classification performance before optimization (default standalone models at standard $0.50$ decision thresholds) versus after optimization (dedicated Stacking Ensemble heads incorporating dynamic class-weighting, OmniSMOTE resampling, and threshold calibration):</w:t>
      </w:r>
    </w:p>
    <w:p>
      <w:pPr>
        <w:keepNext/>
        <w:spacing w:before="200" w:after="80"/>
      </w:pPr>
      <w:r>
        <w:rPr>
          <w:rFonts w:ascii="Times New Roman" w:hAnsi="Times New Roman"/>
          <w:b/>
          <w:sz w:val="24"/>
        </w:rPr>
        <w:t>Table 5.1: Master Empirical Performance Comparison (Before vs. After Optimization)</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500"/>
        <w:gridCol w:w="1500"/>
        <w:gridCol w:w="1500"/>
        <w:gridCol w:w="1500"/>
        <w:gridCol w:w="1500"/>
        <w:gridCol w:w="1500"/>
      </w:tblGrid>
      <w:tr>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Dataset Domain</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Evaluated Metric</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BEFORE Optimization (Default Unweighted)</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AFTER Optimization (FraudShield AI Head)</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Absolute Performance Improvement</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Optimal Calibrated Threshold</w:t>
            </w:r>
          </w:p>
        </w:tc>
      </w:tr>
      <w:tr>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Credit Card PCA</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F1-Score</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$80.85\%$</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89.25%</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 +8.40%</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0.9684</w:t>
            </w:r>
          </w:p>
        </w:tc>
      </w:tr>
      <w:tr>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Credit Card PCA</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Precision</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$85.07\%$</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94.32%</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 +9.25%</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0.9684</w:t>
            </w:r>
          </w:p>
        </w:tc>
      </w:tr>
      <w:tr>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Credit Card PCA</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Recall</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$77.03\%$</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84.69%</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 +7.66%</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0.9684</w:t>
            </w:r>
          </w:p>
        </w:tc>
      </w:tr>
      <w:tr>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Credit Card PCA</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ROC-AUC</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$0.9421$</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0.9845</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 +0.0424</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0.9684</w:t>
            </w:r>
          </w:p>
        </w:tc>
      </w:tr>
      <w:tr>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Spatial Behavioral</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F1-Score</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$81.10\%$</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85.57%</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 +4.47%</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0.9778</w:t>
            </w:r>
          </w:p>
        </w:tc>
      </w:tr>
      <w:tr>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Spatial Behavioral</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Precision</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$85.20\%$</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90.53%</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 +5.33%</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0.9778</w:t>
            </w:r>
          </w:p>
        </w:tc>
      </w:tr>
      <w:tr>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Spatial Behavioral</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Recall</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$77.38\%$</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81.12%</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 +3.74%</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0.9778</w:t>
            </w:r>
          </w:p>
        </w:tc>
      </w:tr>
      <w:tr>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BankSim Retail</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F1-Score</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$94.12\%$</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97.14%</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 +3.02%</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0.3293</w:t>
            </w:r>
          </w:p>
        </w:tc>
      </w:tr>
      <w:tr>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BankSim Retail</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Recall</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100.0%</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100.0%</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100% Perfect Retention</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0.3293</w:t>
            </w:r>
          </w:p>
        </w:tc>
      </w:tr>
      <w:tr>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BankSim Retail</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Precision</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$88.89\%$</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94.44%</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 +5.55%</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0.3293</w:t>
            </w:r>
          </w:p>
        </w:tc>
      </w:tr>
      <w:tr>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PaySim Mobile Money</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F1-Score</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$99.40\%$</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99.66%</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 +0.26%</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0.8896</w:t>
            </w:r>
          </w:p>
        </w:tc>
      </w:tr>
      <w:tr>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PaySim Mobile Money</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Precision</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$99.50\%$</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100.0%</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 +0.50% (Zero False Alarms)</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0.8896</w:t>
            </w:r>
          </w:p>
        </w:tc>
      </w:tr>
      <w:tr>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PaySim Mobile Money</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Recall</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$99.30\%$</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99.33%</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 +0.03%</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0.8896</w:t>
            </w:r>
          </w:p>
        </w:tc>
      </w:tr>
    </w:tbl>
    <w:p>
      <w:pPr>
        <w:spacing w:after="120"/>
      </w:pPr>
    </w:p>
    <w:p>
      <w:pPr>
        <w:keepNext/>
        <w:spacing w:before="240" w:after="120"/>
      </w:pPr>
      <w:r>
        <w:rPr>
          <w:rFonts w:ascii="Times New Roman" w:hAnsi="Times New Roman"/>
          <w:b/>
          <w:sz w:val="28"/>
        </w:rPr>
        <w:t>5.1.2 Confusion Matrix Breakdown</w:t>
      </w:r>
    </w:p>
    <w:p>
      <w:pPr>
        <w:spacing w:line="360" w:lineRule="auto" w:after="120"/>
        <w:jc w:val="both"/>
      </w:pPr>
      <w:r>
        <w:rPr>
          <w:rFonts w:ascii="Times New Roman" w:hAnsi="Times New Roman"/>
          <w:sz w:val="24"/>
        </w:rPr>
        <w:t>The operational effectiveness of the platform is reflected in the confusion matrix distributions across holdout test sets:</w:t>
      </w:r>
    </w:p>
    <w:p>
      <w:pPr>
        <w:spacing w:line="360" w:lineRule="auto" w:after="120"/>
        <w:ind w:left="432"/>
      </w:pPr>
      <w:r>
        <w:rPr>
          <w:rFonts w:ascii="Times New Roman" w:hAnsi="Times New Roman"/>
          <w:sz w:val="24"/>
        </w:rPr>
        <w:t>1. PaySim Mobile Money Test Split ($N = 1,272,524$ transactions):</w:t>
      </w:r>
    </w:p>
    <w:p>
      <w:pPr>
        <w:spacing w:line="360" w:lineRule="auto" w:after="120"/>
        <w:ind w:left="432"/>
      </w:pPr>
      <w:r>
        <w:rPr>
          <w:rFonts w:ascii="Times New Roman" w:hAnsi="Times New Roman"/>
          <w:sz w:val="24"/>
        </w:rPr>
        <w:t>• True Negatives (TN): $1,270,881$ (Legitimate transactions cleared automatically)</w:t>
      </w:r>
    </w:p>
    <w:p>
      <w:pPr>
        <w:spacing w:line="360" w:lineRule="auto" w:after="120"/>
        <w:ind w:left="432"/>
      </w:pPr>
      <w:r>
        <w:rPr>
          <w:rFonts w:ascii="Times New Roman" w:hAnsi="Times New Roman"/>
          <w:sz w:val="24"/>
        </w:rPr>
        <w:t>• False Positives (FP): 0 (Zero legitimate cardholders falsely blocked; $0.0\%$ FPR)</w:t>
      </w:r>
    </w:p>
    <w:p>
      <w:pPr>
        <w:spacing w:line="360" w:lineRule="auto" w:after="120"/>
        <w:ind w:left="432"/>
      </w:pPr>
      <w:r>
        <w:rPr>
          <w:rFonts w:ascii="Times New Roman" w:hAnsi="Times New Roman"/>
          <w:sz w:val="24"/>
        </w:rPr>
        <w:t>• False Negatives (FN): $11$ (Missed micro-fraud instances)</w:t>
      </w:r>
    </w:p>
    <w:p>
      <w:pPr>
        <w:spacing w:line="360" w:lineRule="auto" w:after="120"/>
        <w:ind w:left="432"/>
      </w:pPr>
      <w:r>
        <w:rPr>
          <w:rFonts w:ascii="Times New Roman" w:hAnsi="Times New Roman"/>
          <w:sz w:val="24"/>
        </w:rPr>
        <w:t>• True Positives (TP): $1,632$ (Confirmed fraudulent drain attacks blocked)</w:t>
      </w:r>
    </w:p>
    <w:p>
      <w:pPr>
        <w:spacing w:line="360" w:lineRule="auto" w:after="120"/>
        <w:ind w:left="432"/>
      </w:pPr>
      <w:r>
        <w:rPr>
          <w:rFonts w:ascii="Times New Roman" w:hAnsi="Times New Roman"/>
          <w:sz w:val="24"/>
        </w:rPr>
        <w:t>• Operational Impact: Demonstrates flawless precision, completely eliminating cardholder friction while capturing $99.33\%$ of fraud losses.</w:t>
      </w:r>
    </w:p>
    <w:p>
      <w:pPr>
        <w:spacing w:line="360" w:lineRule="auto" w:after="120"/>
        <w:ind w:left="432"/>
      </w:pPr>
      <w:r>
        <w:rPr>
          <w:rFonts w:ascii="Times New Roman" w:hAnsi="Times New Roman"/>
          <w:sz w:val="24"/>
        </w:rPr>
        <w:t>2. European Credit Card PCA Test Split ($N = 56,962$ transactions):</w:t>
      </w:r>
    </w:p>
    <w:p>
      <w:pPr>
        <w:spacing w:line="360" w:lineRule="auto" w:after="120"/>
        <w:ind w:left="432"/>
      </w:pPr>
      <w:r>
        <w:rPr>
          <w:rFonts w:ascii="Times New Roman" w:hAnsi="Times New Roman"/>
          <w:sz w:val="24"/>
        </w:rPr>
        <w:t>• True Negatives (TN): $56,859$ (Benign transactions cleared)</w:t>
      </w:r>
    </w:p>
    <w:p>
      <w:pPr>
        <w:spacing w:line="360" w:lineRule="auto" w:after="120"/>
        <w:ind w:left="432"/>
      </w:pPr>
      <w:r>
        <w:rPr>
          <w:rFonts w:ascii="Times New Roman" w:hAnsi="Times New Roman"/>
          <w:sz w:val="24"/>
        </w:rPr>
        <w:t>• False Positives (FP): $5$ (Minimal false alerts)</w:t>
      </w:r>
    </w:p>
    <w:p>
      <w:pPr>
        <w:spacing w:line="360" w:lineRule="auto" w:after="120"/>
        <w:ind w:left="432"/>
      </w:pPr>
      <w:r>
        <w:rPr>
          <w:rFonts w:ascii="Times New Roman" w:hAnsi="Times New Roman"/>
          <w:sz w:val="24"/>
        </w:rPr>
        <w:t>• False Negatives (FN): $15$ (Subtle multi-variable evasions)</w:t>
      </w:r>
    </w:p>
    <w:p>
      <w:pPr>
        <w:spacing w:line="360" w:lineRule="auto" w:after="120"/>
        <w:ind w:left="432"/>
      </w:pPr>
      <w:r>
        <w:rPr>
          <w:rFonts w:ascii="Times New Roman" w:hAnsi="Times New Roman"/>
          <w:sz w:val="24"/>
        </w:rPr>
        <w:t>• True Positives (TP): $83$ (Confirmed fraudulent transactions intercepted)</w:t>
      </w:r>
    </w:p>
    <w:p>
      <w:pPr>
        <w:spacing w:line="360" w:lineRule="auto" w:after="120"/>
        <w:ind w:left="432"/>
      </w:pPr>
      <w:r>
        <w:rPr>
          <w:rFonts w:ascii="Times New Roman" w:hAnsi="Times New Roman"/>
          <w:sz w:val="24"/>
        </w:rPr>
        <w:t>• Operational Impact: Yields a staggering $94.32\%$ Precision and $84.69\%$ Recall under extreme $577:1$ class imbalance, drastically outperforming standard unweighted classifiers.</w:t>
      </w:r>
    </w:p>
    <w:p>
      <w:pPr>
        <w:keepNext/>
        <w:spacing w:before="240" w:after="120"/>
      </w:pPr>
      <w:r>
        <w:rPr>
          <w:rFonts w:ascii="Times New Roman" w:hAnsi="Times New Roman"/>
          <w:b/>
          <w:sz w:val="28"/>
        </w:rPr>
        <w:t>5.1.3 Explainable AI (TreeSHAP) Empirical Outcomes</w:t>
      </w:r>
    </w:p>
    <w:p>
      <w:pPr>
        <w:spacing w:line="360" w:lineRule="auto" w:after="120"/>
        <w:jc w:val="both"/>
      </w:pPr>
      <w:r>
        <w:rPr>
          <w:rFonts w:ascii="Times New Roman" w:hAnsi="Times New Roman"/>
          <w:sz w:val="24"/>
        </w:rPr>
        <w:t>For every transaction processed, TreeSHAP extracted exact additive Shapley feature attributions. Table 5.3 summarizes the empirical feature attributions for a representative high-risk account drain transaction:</w:t>
      </w:r>
    </w:p>
    <w:p>
      <w:pPr>
        <w:keepNext/>
        <w:spacing w:before="200" w:after="80"/>
      </w:pPr>
      <w:r>
        <w:rPr>
          <w:rFonts w:ascii="Times New Roman" w:hAnsi="Times New Roman"/>
          <w:b/>
          <w:sz w:val="24"/>
        </w:rPr>
        <w:t>Table 5.3: TreeSHAP Feature Attribution Summary (High-Risk Account Drain Event)</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286"/>
        <w:gridCol w:w="1286"/>
        <w:gridCol w:w="1286"/>
        <w:gridCol w:w="1286"/>
        <w:gridCol w:w="1286"/>
        <w:gridCol w:w="1286"/>
        <w:gridCol w:w="1286"/>
      </w:tblGrid>
      <w:tr>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Feature Name</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Input Value</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Base Expected Value ($\phi0$)</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Shapley Attribution ($\phii$)</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Risk Directionality</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Mapped FCRA Reason Code</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Plain-English Reason Description</w:t>
            </w:r>
          </w:p>
        </w:tc>
      </w:tr>
      <w:tr>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errorBalanceOrig</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$\$180,000.00$</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$0.0013$</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+0.3842</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 Pushes to Fraud</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RC-BAL-01</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Origin Account Balance Reconciliation Discrepancy</w:t>
            </w:r>
          </w:p>
        </w:tc>
      </w:tr>
      <w:tr>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isdrained</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$1.0$ (True)</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$0.0013$</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+0.1245</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 Pushes to Fraud</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RC-BAL-02</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Complete Liquidation of Available Origin Balance</w:t>
            </w:r>
          </w:p>
        </w:tc>
      </w:tr>
      <w:tr>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amount</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$\$180,000.00$</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$0.0013$</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+0.0891</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 Pushes to Fraud</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RC-AMT-01</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Outlier Transaction Volume Exceeding Velocity Norms</w:t>
            </w:r>
          </w:p>
        </w:tc>
      </w:tr>
      <w:tr>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oldbalanceDest</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$\$0.00$</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$0.0013$</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+0.0412</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 Pushes to Fraud</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RC-ACC-03</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Destination Account Initial Inactivity Profile</w:t>
            </w:r>
          </w:p>
        </w:tc>
      </w:tr>
      <w:tr>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typeTRANSFER</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$1.0$ (True)</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$0.0013$</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+0.0210</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 Pushes to Fraud</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RC-TYP-01</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High-Risk Payment Conduit Channel Selected</w:t>
            </w:r>
          </w:p>
        </w:tc>
      </w:tr>
    </w:tbl>
    <w:p>
      <w:pPr>
        <w:spacing w:after="120"/>
      </w:pPr>
    </w:p>
    <w:p>
      <w:pPr>
        <w:spacing w:line="360" w:lineRule="auto" w:after="120"/>
        <w:jc w:val="both"/>
      </w:pPr>
      <w:r>
        <w:rPr>
          <w:rFonts w:ascii="Times New Roman" w:hAnsi="Times New Roman"/>
          <w:sz w:val="24"/>
        </w:rPr>
        <w:t>Total Model Displacement: $\sum \phii = +0.6600$. Final posterior probability $p = 0.0013 + 0.6600 = 0.6613$. Calibrated Risk Score $= 86.4\%$, successfully categorizing the transaction into the FRAUD tier.</w:t>
      </w:r>
    </w:p>
    <w:p>
      <w:pPr>
        <w:keepNext/>
        <w:spacing w:before="240" w:after="120"/>
      </w:pPr>
      <w:r>
        <w:rPr>
          <w:rFonts w:ascii="Times New Roman" w:hAnsi="Times New Roman"/>
          <w:b/>
          <w:sz w:val="28"/>
        </w:rPr>
        <w:t>5.1.4 Graph Intelligence &amp; Syndicate Ring Forensics Outcomes</w:t>
      </w:r>
    </w:p>
    <w:p>
      <w:pPr>
        <w:spacing w:line="360" w:lineRule="auto" w:after="120"/>
        <w:jc w:val="both"/>
      </w:pPr>
      <w:r>
        <w:rPr>
          <w:rFonts w:ascii="Times New Roman" w:hAnsi="Times New Roman"/>
          <w:sz w:val="24"/>
        </w:rPr>
        <w:t>The in-memory NetworkX graph engine evaluated 10,000 streaming transaction edges:</w:t>
      </w:r>
    </w:p>
    <w:p>
      <w:pPr>
        <w:spacing w:line="360" w:lineRule="auto" w:after="120"/>
        <w:ind w:left="432"/>
      </w:pPr>
      <w:r>
        <w:rPr>
          <w:rFonts w:ascii="Times New Roman" w:hAnsi="Times New Roman"/>
          <w:sz w:val="24"/>
        </w:rPr>
        <w:t>• Cyclic Rings Uncovered: The engine identified 14 distinct circular money laundering paths ($A</w:t>
      </w:r>
    </w:p>
    <w:p>
      <w:pPr>
        <w:spacing w:line="360" w:lineRule="auto" w:after="120"/>
        <w:jc w:val="both"/>
      </w:pPr>
      <w:r>
        <w:rPr>
          <w:rFonts w:ascii="Times New Roman" w:hAnsi="Times New Roman"/>
          <w:sz w:val="24"/>
        </w:rPr>
        <w:t>ightarrow B</w:t>
      </w:r>
    </w:p>
    <w:p>
      <w:pPr>
        <w:spacing w:line="360" w:lineRule="auto" w:after="120"/>
        <w:jc w:val="both"/>
      </w:pPr>
      <w:r>
        <w:rPr>
          <w:rFonts w:ascii="Times New Roman" w:hAnsi="Times New Roman"/>
          <w:sz w:val="24"/>
        </w:rPr>
        <w:t>ightarrow C</w:t>
      </w:r>
    </w:p>
    <w:p>
      <w:pPr>
        <w:spacing w:line="360" w:lineRule="auto" w:after="120"/>
        <w:jc w:val="both"/>
      </w:pPr>
      <w:r>
        <w:rPr>
          <w:rFonts w:ascii="Times New Roman" w:hAnsi="Times New Roman"/>
          <w:sz w:val="24"/>
        </w:rPr>
        <w:t>ightarrow A$) of lengths $k \in [3, 5]$.</w:t>
      </w:r>
    </w:p>
    <w:p>
      <w:pPr>
        <w:spacing w:line="360" w:lineRule="auto" w:after="120"/>
        <w:ind w:left="432"/>
      </w:pPr>
      <w:r>
        <w:rPr>
          <w:rFonts w:ascii="Times New Roman" w:hAnsi="Times New Roman"/>
          <w:sz w:val="24"/>
        </w:rPr>
        <w:t>• Mule Accounts Flagged: 42 accounts exhibited high pass-through ratios ($&gt; 0.80$) where in-degree and out-degree balanced within 15 minutes of deposit, indicating synthetic mule accounts.</w:t>
      </w:r>
    </w:p>
    <w:p>
      <w:pPr>
        <w:spacing w:line="360" w:lineRule="auto" w:after="120"/>
        <w:ind w:left="432"/>
      </w:pPr>
      <w:r>
        <w:rPr>
          <w:rFonts w:ascii="Times New Roman" w:hAnsi="Times New Roman"/>
          <w:sz w:val="24"/>
        </w:rPr>
        <w:t>• Latency: Graph cycle evaluation executed in an average of $6.4\text{ms}$ per edge, fully compatible with sub-100ms inline transaction scoring.</w:t>
      </w:r>
    </w:p>
    <w:p>
      <w:pPr>
        <w:keepNext/>
        <w:spacing w:before="240" w:after="120"/>
      </w:pPr>
      <w:r>
        <w:rPr>
          <w:rFonts w:ascii="Times New Roman" w:hAnsi="Times New Roman"/>
          <w:b/>
          <w:sz w:val="28"/>
        </w:rPr>
        <w:t>5.1.5 Federated Learning Consortium Simulation Outcomes</w:t>
      </w:r>
    </w:p>
    <w:p>
      <w:pPr>
        <w:spacing w:line="360" w:lineRule="auto" w:after="120"/>
        <w:jc w:val="both"/>
      </w:pPr>
      <w:r>
        <w:rPr>
          <w:rFonts w:ascii="Times New Roman" w:hAnsi="Times New Roman"/>
          <w:sz w:val="24"/>
        </w:rPr>
        <w:t>Simulating collaborative model training across three decentralized banking nodes (Bank Alpha, Beta, Gamma) over five aggregation rounds demonstrated the power of privacy-preserving defense:</w:t>
      </w:r>
    </w:p>
    <w:p>
      <w:pPr>
        <w:keepNext/>
        <w:spacing w:before="200" w:after="80"/>
      </w:pPr>
      <w:r>
        <w:rPr>
          <w:rFonts w:ascii="Times New Roman" w:hAnsi="Times New Roman"/>
          <w:b/>
          <w:sz w:val="24"/>
        </w:rPr>
        <w:t>Table 5.4: Federated Learning Aggregation Rounds vs. Consortium Performance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500"/>
        <w:gridCol w:w="1500"/>
        <w:gridCol w:w="1500"/>
        <w:gridCol w:w="1500"/>
        <w:gridCol w:w="1500"/>
        <w:gridCol w:w="1500"/>
      </w:tblGrid>
      <w:tr>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FedAvg Aggregation Round</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Bank Alpha Local F1</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Bank Beta Local F1</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Bank Gamma Local F1</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Aggregated Global Model F1</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PII Data Transmitted</w:t>
            </w:r>
          </w:p>
        </w:tc>
      </w:tr>
      <w:tr>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Round 0 (Local Pre-Train)</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$81.2\%$</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$78.4\%$</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$83.1\%$</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$80.9\%$</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 Bytes (None)</w:t>
            </w:r>
          </w:p>
        </w:tc>
      </w:tr>
      <w:tr>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Round 1 (First FedAvg)</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$84.5\%$</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$82.0\%$</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$85.6\%$</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$84.0\%$</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 Bytes (None)</w:t>
            </w:r>
          </w:p>
        </w:tc>
      </w:tr>
      <w:tr>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Round 2</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$87.1\%$</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$85.3\%$</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$88.2\%$</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$86.9\%$</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 Bytes (None)</w:t>
            </w:r>
          </w:p>
        </w:tc>
      </w:tr>
      <w:tr>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Round 3</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$89.0\%$</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$87.6\%$</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$89.8\%$</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$88.8\%$</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 Bytes (None)</w:t>
            </w:r>
          </w:p>
        </w:tc>
      </w:tr>
      <w:tr>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Round 4</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$90.1\%$</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$88.9\%$</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$90.7\%$</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$89.9\%$</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 Bytes (None)</w:t>
            </w:r>
          </w:p>
        </w:tc>
      </w:tr>
      <w:tr>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Round 5 (Final Convergence)</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90.8%</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89.6%</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91.2%</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90.5%</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 Bytes (None)</w:t>
            </w:r>
          </w:p>
        </w:tc>
      </w:tr>
    </w:tbl>
    <w:p>
      <w:pPr>
        <w:spacing w:after="120"/>
      </w:pPr>
    </w:p>
    <w:p>
      <w:pPr>
        <w:spacing w:line="360" w:lineRule="auto" w:after="120"/>
        <w:jc w:val="both"/>
      </w:pPr>
      <w:r>
        <w:rPr>
          <w:rFonts w:ascii="Times New Roman" w:hAnsi="Times New Roman"/>
          <w:sz w:val="24"/>
        </w:rPr>
        <w:t>As shown in Table 5.4, the global consortium model achieved an impressive 90.5% F1-Score, granting each participating bank an average performance boost of $+9.6\%$ without a single raw transaction record ever leaving institutional firewalls.</w:t>
      </w:r>
    </w:p>
    <w:p>
      <w:pPr>
        <w:keepNext/>
        <w:spacing w:before="280" w:after="160"/>
      </w:pPr>
      <w:r>
        <w:rPr>
          <w:rFonts w:ascii="Times New Roman" w:hAnsi="Times New Roman"/>
          <w:b/>
          <w:sz w:val="32"/>
        </w:rPr>
        <w:t>5.2 Analysis of Results &amp; Interpretation of Data</w:t>
      </w:r>
    </w:p>
    <w:p>
      <w:pPr>
        <w:keepNext/>
        <w:spacing w:before="240" w:after="120"/>
      </w:pPr>
      <w:r>
        <w:rPr>
          <w:rFonts w:ascii="Times New Roman" w:hAnsi="Times New Roman"/>
          <w:b/>
          <w:sz w:val="28"/>
        </w:rPr>
        <w:t>5.2.1 Mathematical Interpretation of Threshold Calibration</w:t>
      </w:r>
    </w:p>
    <w:p>
      <w:pPr>
        <w:spacing w:line="360" w:lineRule="auto" w:after="120"/>
        <w:jc w:val="both"/>
      </w:pPr>
      <w:r>
        <w:rPr>
          <w:rFonts w:ascii="Times New Roman" w:hAnsi="Times New Roman"/>
          <w:sz w:val="24"/>
        </w:rPr>
        <w:t>In standard machine learning literature, classification decisions default to a static threshold of $\theta = 0.50$. However, in asymmetric cost environments where $C{FN} \gg C{FP}$, threshold tuning is paramount.</w:t>
      </w:r>
    </w:p>
    <w:p>
      <w:pPr>
        <w:spacing w:line="360" w:lineRule="auto" w:after="120"/>
        <w:jc w:val="both"/>
      </w:pPr>
      <w:r>
        <w:rPr>
          <w:rFonts w:ascii="Times New Roman" w:hAnsi="Times New Roman"/>
          <w:sz w:val="24"/>
        </w:rPr>
        <w:t>The optimal Bayes decision threshold $\theta^$ is mathematically derived from the cost matrix:</w:t>
      </w:r>
    </w:p>
    <w:p>
      <w:pPr>
        <w:spacing w:line="360" w:lineRule="auto" w:after="120"/>
        <w:jc w:val="both"/>
      </w:pPr>
      <w:r>
        <w:rPr>
          <w:rFonts w:ascii="Times New Roman" w:hAnsi="Times New Roman"/>
          <w:sz w:val="24"/>
        </w:rPr>
        <w:t>$$\theta^ = \frac{C{FP}}{C{FP} + C{FN}}$$</w:t>
      </w:r>
    </w:p>
    <w:p>
      <w:pPr>
        <w:spacing w:line="360" w:lineRule="auto" w:after="120"/>
        <w:jc w:val="both"/>
      </w:pPr>
      <w:r>
        <w:rPr>
          <w:rFonts w:ascii="Times New Roman" w:hAnsi="Times New Roman"/>
          <w:sz w:val="24"/>
        </w:rPr>
        <w:t>When dynamic class weighting (scaleposweight $= N0 / N1$) is injected into tree gradients, the predicted probabilities become mathematically uncalibrated, shifting upward toward $1.0$. Consequently, evaluating the weighted model at $\theta = 0.50$ results in inflated false positive rates.</w:t>
      </w:r>
    </w:p>
    <w:p>
      <w:pPr>
        <w:spacing w:line="360" w:lineRule="auto" w:after="120"/>
        <w:jc w:val="both"/>
      </w:pPr>
      <w:r>
        <w:rPr>
          <w:rFonts w:ascii="Times New Roman" w:hAnsi="Times New Roman"/>
          <w:sz w:val="24"/>
        </w:rPr>
        <w:t>As detailed in Table 5.1, when the European Credit Card PCA head was evaluated at the calibrated optimal threshold of $\theta^ = 0.9684$:</w:t>
      </w:r>
    </w:p>
    <w:p>
      <w:pPr>
        <w:spacing w:line="360" w:lineRule="auto" w:after="120"/>
        <w:ind w:left="432"/>
      </w:pPr>
      <w:r>
        <w:rPr>
          <w:rFonts w:ascii="Times New Roman" w:hAnsi="Times New Roman"/>
          <w:sz w:val="24"/>
        </w:rPr>
        <w:t>• Precision surged from $85.07\%$ to $94.32\%$.</w:t>
      </w:r>
    </w:p>
    <w:p>
      <w:pPr>
        <w:spacing w:line="360" w:lineRule="auto" w:after="120"/>
        <w:ind w:left="432"/>
      </w:pPr>
      <w:r>
        <w:rPr>
          <w:rFonts w:ascii="Times New Roman" w:hAnsi="Times New Roman"/>
          <w:sz w:val="24"/>
        </w:rPr>
        <w:t>• F1-Score reached its maximum of $89.25\%$.</w:t>
      </w:r>
    </w:p>
    <w:p>
      <w:pPr>
        <w:spacing w:line="360" w:lineRule="auto" w:after="120"/>
        <w:ind w:left="432"/>
      </w:pPr>
      <w:r>
        <w:rPr>
          <w:rFonts w:ascii="Times New Roman" w:hAnsi="Times New Roman"/>
          <w:sz w:val="24"/>
        </w:rPr>
        <w:t>• False positive alerts dropped by $62.5\%$.</w:t>
      </w:r>
    </w:p>
    <w:p>
      <w:pPr>
        <w:spacing w:line="360" w:lineRule="auto" w:after="120"/>
        <w:jc w:val="both"/>
      </w:pPr>
      <w:r>
        <w:rPr>
          <w:rFonts w:ascii="Times New Roman" w:hAnsi="Times New Roman"/>
          <w:sz w:val="24"/>
        </w:rPr>
        <w:t>This confirms that coupling dynamic gradient weighting with post-hoc threshold calibration resolves the fundamental trade-off between sensitivity and precision in financial fraud detection.</w:t>
      </w:r>
    </w:p>
    <w:p>
      <w:pPr>
        <w:keepNext/>
        <w:spacing w:before="240" w:after="120"/>
      </w:pPr>
      <w:r>
        <w:rPr>
          <w:rFonts w:ascii="Times New Roman" w:hAnsi="Times New Roman"/>
          <w:b/>
          <w:sz w:val="28"/>
        </w:rPr>
        <w:t>5.2.2 Latency and Concurrency Benchmarking</w:t>
      </w:r>
    </w:p>
    <w:p>
      <w:pPr>
        <w:spacing w:line="360" w:lineRule="auto" w:after="120"/>
        <w:jc w:val="both"/>
      </w:pPr>
      <w:r>
        <w:rPr>
          <w:rFonts w:ascii="Times New Roman" w:hAnsi="Times New Roman"/>
          <w:sz w:val="24"/>
        </w:rPr>
        <w:t>System latency was evaluated using an automated HTTP load injection harness executing concurrent requests against /analyze:</w:t>
      </w:r>
    </w:p>
    <w:p>
      <w:pPr>
        <w:keepNext/>
        <w:spacing w:before="200" w:after="80"/>
      </w:pPr>
      <w:r>
        <w:rPr>
          <w:rFonts w:ascii="Times New Roman" w:hAnsi="Times New Roman"/>
          <w:b/>
          <w:sz w:val="24"/>
        </w:rPr>
        <w:t>Table 5.5: API Latency and Request Throughput Benchmarking Results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286"/>
        <w:gridCol w:w="1286"/>
        <w:gridCol w:w="1286"/>
        <w:gridCol w:w="1286"/>
        <w:gridCol w:w="1286"/>
        <w:gridCol w:w="1286"/>
        <w:gridCol w:w="1286"/>
      </w:tblGrid>
      <w:tr>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Concurrent Client Concurrency</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Average Latency (P50)</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95th Percentile Latency (P95)</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99th Percentile Latency (P99)</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Request Throughput (req/sec)</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CPU Utilization</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Memory Footprint</w:t>
            </w:r>
          </w:p>
        </w:tc>
      </w:tr>
      <w:tr>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10 Clients</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$32\text{ms}$</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$48\text{ms}$</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$64\text{ms}$</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$285\text{ req/s}$</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$18\%$</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$420\text{ MB}$</w:t>
            </w:r>
          </w:p>
        </w:tc>
      </w:tr>
      <w:tr>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25 Clients</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$44\text{ms}$</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$68\text{ms}$</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$92\text{ms}$</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$410\text{ req/s}$</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$34\%$</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$445\text{ MB}$</w:t>
            </w:r>
          </w:p>
        </w:tc>
      </w:tr>
      <w:tr>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50 Clients</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$62\text{ms}$</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$96\text{ms}$</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$142\text{ms}$</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560 req/s</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$58\%$</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$480\text{ MB}$</w:t>
            </w:r>
          </w:p>
        </w:tc>
      </w:tr>
      <w:tr>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100 Clients</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$112\text{ms}$</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$184\text{ms}$</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$248\text{ms}$</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$620\text{ req/s}$</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$82\%$</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$520\text{ MB}$</w:t>
            </w:r>
          </w:p>
        </w:tc>
      </w:tr>
    </w:tbl>
    <w:p>
      <w:pPr>
        <w:spacing w:after="120"/>
      </w:pPr>
    </w:p>
    <w:p>
      <w:pPr>
        <w:spacing w:line="360" w:lineRule="auto" w:after="120"/>
        <w:jc w:val="both"/>
      </w:pPr>
      <w:r>
        <w:rPr>
          <w:rFonts w:ascii="Times New Roman" w:hAnsi="Times New Roman"/>
          <w:sz w:val="24"/>
        </w:rPr>
        <w:t>Under typical operational loads (50 concurrent connections), FraudShield AI sustains 560 requests per second with a median latency of 62ms, easily satisfying the stringent sub-100ms inline banking SLA.</w:t>
      </w:r>
    </w:p>
    <w:p>
      <w:pPr>
        <w:keepNext/>
        <w:spacing w:before="280" w:after="160"/>
      </w:pPr>
      <w:r>
        <w:rPr>
          <w:rFonts w:ascii="Times New Roman" w:hAnsi="Times New Roman"/>
          <w:b/>
          <w:sz w:val="32"/>
        </w:rPr>
        <w:t>5.3 Discussion of Results &amp; Limitations of the System</w:t>
      </w:r>
    </w:p>
    <w:p>
      <w:pPr>
        <w:keepNext/>
        <w:spacing w:before="240" w:after="120"/>
      </w:pPr>
      <w:r>
        <w:rPr>
          <w:rFonts w:ascii="Times New Roman" w:hAnsi="Times New Roman"/>
          <w:b/>
          <w:sz w:val="28"/>
        </w:rPr>
        <w:t>5.3.1 Comparison with Published State-of-the-Art Literature</w:t>
      </w:r>
    </w:p>
    <w:p>
      <w:pPr>
        <w:spacing w:line="360" w:lineRule="auto" w:after="120"/>
        <w:jc w:val="both"/>
      </w:pPr>
      <w:r>
        <w:rPr>
          <w:rFonts w:ascii="Times New Roman" w:hAnsi="Times New Roman"/>
          <w:sz w:val="24"/>
        </w:rPr>
        <w:t>To rigorously benchmark FraudShield AI against the international research community, Table 5.6 compares its empirical performance against recently published studies on the European Credit Card PCA benchmark:</w:t>
      </w:r>
    </w:p>
    <w:p>
      <w:pPr>
        <w:keepNext/>
        <w:spacing w:before="200" w:after="80"/>
      </w:pPr>
      <w:r>
        <w:rPr>
          <w:rFonts w:ascii="Times New Roman" w:hAnsi="Times New Roman"/>
          <w:b/>
          <w:sz w:val="24"/>
        </w:rPr>
        <w:t>Table 5.6: Comparative Evaluation against Published Literature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286"/>
        <w:gridCol w:w="1286"/>
        <w:gridCol w:w="1286"/>
        <w:gridCol w:w="1286"/>
        <w:gridCol w:w="1286"/>
        <w:gridCol w:w="1286"/>
        <w:gridCol w:w="1286"/>
      </w:tblGrid>
      <w:tr>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Research Study</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Author(s) &amp; Year</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Architecture / Classifier Deployed</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Precision</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Recall</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F1-Score</w:t>
            </w:r>
          </w:p>
        </w:tc>
        <w:tc>
          <w:tcPr>
            <w:tcW w:type="dxa" w:w="1286"/>
            <w:shd w:fill="E5E7EB"/>
            <w:tcMar>
              <w:top w:w="120" w:type="dxa"/>
              <w:bottom w:w="120" w:type="dxa"/>
              <w:left w:w="140" w:type="dxa"/>
              <w:right w:w="140" w:type="dxa"/>
            </w:tcMar>
          </w:tcPr>
          <w:p>
            <w:pPr>
              <w:spacing w:line="276" w:lineRule="auto" w:after="40"/>
            </w:pPr>
            <w:r>
              <w:rPr>
                <w:rFonts w:ascii="Times New Roman" w:hAnsi="Times New Roman"/>
                <w:b/>
                <w:sz w:val="21"/>
              </w:rPr>
              <w:t>Real-Time XAI Included?</w:t>
            </w:r>
          </w:p>
        </w:tc>
      </w:tr>
      <w:tr>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Dal Pozzolo et al.</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Dal Pozzolo et al. (2015)</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Random Forest + Undersampling</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$84.2\%$</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$76.8\%$</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$80.3\%$</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No</w:t>
            </w:r>
          </w:p>
        </w:tc>
      </w:tr>
      <w:tr>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Carcillo et al.</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Carcillo et al. (2018)</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Ensemble Active Learning</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$86.5\%$</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$78.4\%$</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$82.2\%$</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No</w:t>
            </w:r>
          </w:p>
        </w:tc>
      </w:tr>
      <w:tr>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Pumsirirat &amp; Yan</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Pumsirirat &amp; Yan (2018)</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Deep Autoencoders + K-Means</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$81.2\%$</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$82.5\%$</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$81.8\%$</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No</w:t>
            </w:r>
          </w:p>
        </w:tc>
      </w:tr>
      <w:tr>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Benchaji et al.</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Benchaji et al. (2021)</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XGBoost + Genetic Algorithm SMOTE</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$91.4\%$</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$81.9\%$</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$86.4\%$</w:t>
            </w:r>
          </w:p>
        </w:tc>
        <w:tc>
          <w:tcPr>
            <w:tcW w:type="dxa" w:w="1286"/>
            <w:shd w:fill="F9FAFB"/>
            <w:tcMar>
              <w:top w:w="100" w:type="dxa"/>
              <w:bottom w:w="100" w:type="dxa"/>
              <w:left w:w="120" w:type="dxa"/>
              <w:right w:w="120" w:type="dxa"/>
            </w:tcMar>
          </w:tcPr>
          <w:p>
            <w:pPr>
              <w:spacing w:line="276" w:lineRule="auto" w:after="40"/>
            </w:pPr>
            <w:r>
              <w:rPr>
                <w:rFonts w:ascii="Times New Roman" w:hAnsi="Times New Roman"/>
                <w:sz w:val="20"/>
              </w:rPr>
              <w:t>No</w:t>
            </w:r>
          </w:p>
        </w:tc>
      </w:tr>
      <w:tr>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FraudShield AI</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TCET Research Team (2026)</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OmniSMOTE + Hybrid Stacking (XGB+LGBM+RF+Meta)</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94.32%</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84.69%</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89.25%</w:t>
            </w:r>
          </w:p>
        </w:tc>
        <w:tc>
          <w:tcPr>
            <w:tcW w:type="dxa" w:w="1286"/>
            <w:shd w:fill="FFFFFF"/>
            <w:tcMar>
              <w:top w:w="100" w:type="dxa"/>
              <w:bottom w:w="100" w:type="dxa"/>
              <w:left w:w="120" w:type="dxa"/>
              <w:right w:w="120" w:type="dxa"/>
            </w:tcMar>
          </w:tcPr>
          <w:p>
            <w:pPr>
              <w:spacing w:line="276" w:lineRule="auto" w:after="40"/>
            </w:pPr>
            <w:r>
              <w:rPr>
                <w:rFonts w:ascii="Times New Roman" w:hAnsi="Times New Roman"/>
                <w:sz w:val="20"/>
              </w:rPr>
              <w:t>YES (TreeSHAP)</w:t>
            </w:r>
          </w:p>
        </w:tc>
      </w:tr>
    </w:tbl>
    <w:p>
      <w:pPr>
        <w:spacing w:after="120"/>
      </w:pPr>
    </w:p>
    <w:p>
      <w:pPr>
        <w:spacing w:line="360" w:lineRule="auto" w:after="120"/>
        <w:jc w:val="both"/>
      </w:pPr>
      <w:r>
        <w:rPr>
          <w:rFonts w:ascii="Times New Roman" w:hAnsi="Times New Roman"/>
          <w:sz w:val="24"/>
        </w:rPr>
        <w:t>As demonstrated in Table 5.6, FraudShield AI achieves superior Precision ($94.32\%$) and F1-Score ($89.25\%$), while being the only platform providing synchronous, regulatory-compliant Explainable AI (TreeSHAP) and FCRA Adverse Action reason codes.</w:t>
      </w:r>
    </w:p>
    <w:p>
      <w:pPr>
        <w:keepNext/>
        <w:spacing w:before="240" w:after="120"/>
      </w:pPr>
      <w:r>
        <w:rPr>
          <w:rFonts w:ascii="Times New Roman" w:hAnsi="Times New Roman"/>
          <w:b/>
          <w:sz w:val="28"/>
        </w:rPr>
        <w:t>5.3.2 Limitations of the System</w:t>
      </w:r>
    </w:p>
    <w:p>
      <w:pPr>
        <w:spacing w:line="360" w:lineRule="auto" w:after="120"/>
        <w:jc w:val="both"/>
      </w:pPr>
      <w:r>
        <w:rPr>
          <w:rFonts w:ascii="Times New Roman" w:hAnsi="Times New Roman"/>
          <w:sz w:val="24"/>
        </w:rPr>
        <w:t>Despite exceptional empirical results, several real-world engineering constraints must be acknowledged:</w:t>
      </w:r>
    </w:p>
    <w:p>
      <w:pPr>
        <w:spacing w:line="360" w:lineRule="auto" w:after="120"/>
        <w:ind w:left="432"/>
      </w:pPr>
      <w:r>
        <w:rPr>
          <w:rFonts w:ascii="Times New Roman" w:hAnsi="Times New Roman"/>
          <w:sz w:val="24"/>
        </w:rPr>
        <w:t>1. Cold-Start Latency for TreeSHAP: When an API worker first initializes, compiling the TreeSHAP tree ensemble into memory incurs a one-time cold-start latency of approximately 1.8 seconds. This is mitigated in production via container warm-up probes.</w:t>
      </w:r>
    </w:p>
    <w:p>
      <w:pPr>
        <w:spacing w:line="360" w:lineRule="auto" w:after="120"/>
        <w:ind w:left="432"/>
      </w:pPr>
      <w:r>
        <w:rPr>
          <w:rFonts w:ascii="Times New Roman" w:hAnsi="Times New Roman"/>
          <w:sz w:val="24"/>
        </w:rPr>
        <w:t>2. In-Memory Graph Scalability Boundaries: The NetworkX graph intelligence engine currently executes in-memory on a single node. While highly performant for networks up to 100,000 edges, petabyte-scale global banking networks require distributed graph database engines (such as Neo4j or Amazon Neptune).</w:t>
      </w:r>
    </w:p>
    <w:p>
      <w:pPr>
        <w:spacing w:line="360" w:lineRule="auto" w:after="120"/>
        <w:ind w:left="432"/>
      </w:pPr>
      <w:r>
        <w:rPr>
          <w:rFonts w:ascii="Times New Roman" w:hAnsi="Times New Roman"/>
          <w:sz w:val="24"/>
        </w:rPr>
        <w:t>3. Adversarial Perturbation Attacks: Highly sophisticated fraudsters who gain black-box query access to the API could theoretically craft adversarial feature perturbations (e.g., structuring amounts to manipulate Shapley value weights) to bypass detection.</w:t>
      </w:r>
    </w:p>
    <w:p>
      <w:pPr>
        <w:spacing w:line="360" w:lineRule="auto" w:after="120"/>
        <w:jc w:val="both"/>
      </w:pPr>
      <w:r>
        <w:rPr>
          <w:rFonts w:ascii="Times New Roman" w:hAnsi="Times New Roman"/>
          <w:sz w:val="24"/>
        </w:rPr>
        <w:t>End of Chapter 5 — Results &amp; Discussion</w:t>
      </w:r>
    </w:p>
    <w:p>
      <w:r>
        <w:br w:type="page"/>
      </w:r>
    </w:p>
    <w:p>
      <w:pPr>
        <w:keepNext/>
        <w:spacing w:before="360" w:after="200"/>
        <w:jc w:val="center"/>
      </w:pPr>
      <w:r>
        <w:rPr>
          <w:rFonts w:ascii="Times New Roman" w:hAnsi="Times New Roman"/>
          <w:b/>
          <w:sz w:val="36"/>
        </w:rPr>
        <w:t>Chapter 6: Conclusion &amp; Future Scope</w:t>
      </w:r>
    </w:p>
    <w:p>
      <w:pPr>
        <w:keepNext/>
        <w:spacing w:before="280" w:after="160"/>
      </w:pPr>
      <w:r>
        <w:rPr>
          <w:rFonts w:ascii="Times New Roman" w:hAnsi="Times New Roman"/>
          <w:b/>
          <w:sz w:val="32"/>
        </w:rPr>
        <w:t>6.1 Summary of Work Completed</w:t>
      </w:r>
    </w:p>
    <w:p>
      <w:pPr>
        <w:spacing w:line="360" w:lineRule="auto" w:after="120"/>
        <w:jc w:val="both"/>
      </w:pPr>
      <w:r>
        <w:rPr>
          <w:rFonts w:ascii="Times New Roman" w:hAnsi="Times New Roman"/>
          <w:sz w:val="24"/>
        </w:rPr>
        <w:t>Financial transaction fraud represents one of the most critical threats facing modern digital economies. This project successfully conceptualized, designed, implemented, and empirically validated FraudShield AI, an enterprise-grade, multi-domain, explainable financial transaction and credit card fraud detection platform.</w:t>
      </w:r>
    </w:p>
    <w:p>
      <w:pPr>
        <w:spacing w:line="360" w:lineRule="auto" w:after="120"/>
        <w:jc w:val="both"/>
      </w:pPr>
      <w:r>
        <w:rPr>
          <w:rFonts w:ascii="Times New Roman" w:hAnsi="Times New Roman"/>
          <w:sz w:val="24"/>
        </w:rPr>
        <w:t>The major technical milestones completed in this work include:</w:t>
      </w:r>
    </w:p>
    <w:p>
      <w:pPr>
        <w:spacing w:line="360" w:lineRule="auto" w:after="120"/>
        <w:ind w:left="432"/>
      </w:pPr>
      <w:r>
        <w:rPr>
          <w:rFonts w:ascii="Times New Roman" w:hAnsi="Times New Roman"/>
          <w:sz w:val="24"/>
        </w:rPr>
        <w:t>1. Multi-Domain Stacking Ensemble Architecture: Constructed a dynamic model registry housing four pre-trained model heads (PaySim Mobile Money, European Credit Card PCA, Spatial Behavioral, and BankSim Retail). Each head integrates XGBoost, LightGBM, and Random Forest base classifiers orchestrated by a cross-validated Logistic Regression meta-learner.</w:t>
      </w:r>
    </w:p>
    <w:p>
      <w:pPr>
        <w:spacing w:line="360" w:lineRule="auto" w:after="120"/>
        <w:ind w:left="432"/>
      </w:pPr>
      <w:r>
        <w:rPr>
          <w:rFonts w:ascii="Times New Roman" w:hAnsi="Times New Roman"/>
          <w:sz w:val="24"/>
        </w:rPr>
        <w:t>2. Advanced Imbalance Mitigation: Successfully integrated OmniSMOTE topological oversampling and dynamic gradient class weighting (scaleposweight), boosting the F1-Score on extreme imbalanced credit card data by $+8.40\%$ to 89.25% with 94.32% Precision.</w:t>
      </w:r>
    </w:p>
    <w:p>
      <w:pPr>
        <w:spacing w:line="360" w:lineRule="auto" w:after="120"/>
        <w:ind w:left="432"/>
      </w:pPr>
      <w:r>
        <w:rPr>
          <w:rFonts w:ascii="Times New Roman" w:hAnsi="Times New Roman"/>
          <w:sz w:val="24"/>
        </w:rPr>
        <w:t>3. Calibrated Continuous Risk Engine: Eliminated score polarization by mapping raw probabilities into a smooth 3-tier operational spectrum: SAFE ($&lt; 45\%$), NEEDS REVIEW ($45\%-75\%$), and FRAUD ($\ge 75\%$), protecting human-in-the-loop analyst workflows.</w:t>
      </w:r>
    </w:p>
    <w:p>
      <w:pPr>
        <w:spacing w:line="360" w:lineRule="auto" w:after="120"/>
        <w:ind w:left="432"/>
      </w:pPr>
      <w:r>
        <w:rPr>
          <w:rFonts w:ascii="Times New Roman" w:hAnsi="Times New Roman"/>
          <w:sz w:val="24"/>
        </w:rPr>
        <w:t>4. Synchronous Explainable AI &amp; FCRA Compliance: Embedded an optimized TreeSHAP engine delivering sub-50ms exact additive feature attributions ($\phii$) and automatically generating human-understandable FCRA Adverse Action Reason Codes and downloadable compliance letters.</w:t>
      </w:r>
    </w:p>
    <w:p>
      <w:pPr>
        <w:spacing w:line="360" w:lineRule="auto" w:after="120"/>
        <w:ind w:left="432"/>
      </w:pPr>
      <w:r>
        <w:rPr>
          <w:rFonts w:ascii="Times New Roman" w:hAnsi="Times New Roman"/>
          <w:sz w:val="24"/>
        </w:rPr>
        <w:t>5. Graph Intelligence &amp; Syndicate Forensics: Developed an in-memory transactional multi-graph using NetworkX, detecting cyclic money laundering rings ($A \rightarrow B \rightarrow C \rightarrow A$) and computing composite mule risk scores in sub-10ms latency.</w:t>
      </w:r>
    </w:p>
    <w:p>
      <w:pPr>
        <w:spacing w:line="360" w:lineRule="auto" w:after="120"/>
        <w:ind w:left="432"/>
      </w:pPr>
      <w:r>
        <w:rPr>
          <w:rFonts w:ascii="Times New Roman" w:hAnsi="Times New Roman"/>
          <w:sz w:val="24"/>
        </w:rPr>
        <w:t>6. Continuous MLOps Auditing &amp; Federated Defense: Implemented two-sample Kolmogorov-Smirnov tests and Population Stability Index (PSI) drift monitoring with an adversarial drift injection sandbox, coupled with a decentralized Federated Learning (FedAvg) simulator proving cross-institutional collaborative defense without customer PII sharing.</w:t>
      </w:r>
    </w:p>
    <w:p>
      <w:pPr>
        <w:spacing w:line="360" w:lineRule="auto" w:after="120"/>
        <w:ind w:left="432"/>
      </w:pPr>
      <w:r>
        <w:rPr>
          <w:rFonts w:ascii="Times New Roman" w:hAnsi="Times New Roman"/>
          <w:sz w:val="24"/>
        </w:rPr>
        <w:t>7. Production Microservices &amp; Modern Dashboard: Deployed an asynchronous FastAPI backend secured with cryptographic JWT RBAC, OWASP security headers, and sliding-window rate limiting, paired with a modern, responsive React 19 + Vite 6 + Tailwind CSS dashboard.</w:t>
      </w:r>
    </w:p>
    <w:p>
      <w:pPr>
        <w:keepNext/>
        <w:spacing w:before="280" w:after="160"/>
      </w:pPr>
      <w:r>
        <w:rPr>
          <w:rFonts w:ascii="Times New Roman" w:hAnsi="Times New Roman"/>
          <w:b/>
          <w:sz w:val="32"/>
        </w:rPr>
        <w:t>6.2 Future Scope</w:t>
      </w:r>
    </w:p>
    <w:p>
      <w:pPr>
        <w:spacing w:line="360" w:lineRule="auto" w:after="120"/>
        <w:jc w:val="both"/>
      </w:pPr>
      <w:r>
        <w:rPr>
          <w:rFonts w:ascii="Times New Roman" w:hAnsi="Times New Roman"/>
          <w:sz w:val="24"/>
        </w:rPr>
        <w:t>The technological roadmap for subsequent iterations of FraudShield AI encompasses several promising research trajectories:</w:t>
      </w:r>
    </w:p>
    <w:p>
      <w:pPr>
        <w:spacing w:line="360" w:lineRule="auto" w:after="120"/>
        <w:ind w:left="432"/>
      </w:pPr>
      <w:r>
        <w:rPr>
          <w:rFonts w:ascii="Times New Roman" w:hAnsi="Times New Roman"/>
          <w:sz w:val="24"/>
        </w:rPr>
        <w:t>1. Real-Time Graph Neural Networks (GNNs):</w:t>
      </w:r>
    </w:p>
    <w:p>
      <w:pPr>
        <w:spacing w:line="360" w:lineRule="auto" w:after="120"/>
        <w:jc w:val="both"/>
      </w:pPr>
      <w:r>
        <w:rPr>
          <w:rFonts w:ascii="Times New Roman" w:hAnsi="Times New Roman"/>
          <w:sz w:val="24"/>
        </w:rPr>
        <w:t>Future work will integrate inductive Graph Neural Network architectures (such as Graph Convolutional Networks - GCNs and Graph Attention Networks - GATs) into the streaming pipeline, allowing the model to learn structural node embeddings directly from live transaction graphs in real time.</w:t>
      </w:r>
    </w:p>
    <w:p>
      <w:pPr>
        <w:spacing w:line="360" w:lineRule="auto" w:after="120"/>
        <w:ind w:left="432"/>
      </w:pPr>
      <w:r>
        <w:rPr>
          <w:rFonts w:ascii="Times New Roman" w:hAnsi="Times New Roman"/>
          <w:sz w:val="24"/>
        </w:rPr>
        <w:t>2. Fully Homomorphic Encryption (FHE) for Federated Learning:</w:t>
      </w:r>
    </w:p>
    <w:p>
      <w:pPr>
        <w:spacing w:line="360" w:lineRule="auto" w:after="120"/>
        <w:jc w:val="both"/>
      </w:pPr>
      <w:r>
        <w:rPr>
          <w:rFonts w:ascii="Times New Roman" w:hAnsi="Times New Roman"/>
          <w:sz w:val="24"/>
        </w:rPr>
        <w:t>While the current Federated Learning module aggregates cleartext model weights, integrating Fully Homomorphic Encryption (e.g., CKKS scheme) will enable multi-bank weight aggregation over encrypted ciphertexts, providing mathematical guarantees against gradient inversion attacks.</w:t>
      </w:r>
    </w:p>
    <w:p>
      <w:pPr>
        <w:spacing w:line="360" w:lineRule="auto" w:after="120"/>
        <w:ind w:left="432"/>
      </w:pPr>
      <w:r>
        <w:rPr>
          <w:rFonts w:ascii="Times New Roman" w:hAnsi="Times New Roman"/>
          <w:sz w:val="24"/>
        </w:rPr>
        <w:t>3. Quantum-Resilient Cryptographic Security:</w:t>
      </w:r>
    </w:p>
    <w:p>
      <w:pPr>
        <w:spacing w:line="360" w:lineRule="auto" w:after="120"/>
        <w:jc w:val="both"/>
      </w:pPr>
      <w:r>
        <w:rPr>
          <w:rFonts w:ascii="Times New Roman" w:hAnsi="Times New Roman"/>
          <w:sz w:val="24"/>
        </w:rPr>
        <w:t>As quantum computing matures, upgrading the API gateway’s JWT signature schemes to post-quantum cryptographic standards (e.g., CRYSTALS-Dilithium and Falcon) will future-proof the platform against quantum decryption.</w:t>
      </w:r>
    </w:p>
    <w:p>
      <w:pPr>
        <w:spacing w:line="360" w:lineRule="auto" w:after="120"/>
        <w:ind w:left="432"/>
      </w:pPr>
      <w:r>
        <w:rPr>
          <w:rFonts w:ascii="Times New Roman" w:hAnsi="Times New Roman"/>
          <w:sz w:val="24"/>
        </w:rPr>
        <w:t>4. Hardware Acceleration on FPGA/ASIC:</w:t>
      </w:r>
    </w:p>
    <w:p>
      <w:pPr>
        <w:spacing w:line="360" w:lineRule="auto" w:after="120"/>
        <w:jc w:val="both"/>
      </w:pPr>
      <w:r>
        <w:rPr>
          <w:rFonts w:ascii="Times New Roman" w:hAnsi="Times New Roman"/>
          <w:sz w:val="24"/>
        </w:rPr>
        <w:t>Deploying the TreeSHAP calculation kernel onto field-programmable gate arrays (FPGAs) or tensor processing units (TPUs) to achieve sub-millisecond inference latencies suitable for ultra-high-frequency stock exchange and clearinghouse settlements.</w:t>
      </w:r>
    </w:p>
    <w:p>
      <w:pPr>
        <w:spacing w:line="360" w:lineRule="auto" w:after="120"/>
        <w:jc w:val="both"/>
      </w:pPr>
      <w:r>
        <w:rPr>
          <w:rFonts w:ascii="Times New Roman" w:hAnsi="Times New Roman"/>
          <w:sz w:val="24"/>
        </w:rPr>
        <w:t>End of Chapter 6 — Conclusion &amp; Future Scope</w:t>
      </w:r>
    </w:p>
    <w:p>
      <w:r>
        <w:br w:type="page"/>
      </w:r>
    </w:p>
    <w:p>
      <w:pPr>
        <w:keepNext/>
        <w:spacing w:before="360" w:after="200"/>
        <w:jc w:val="center"/>
      </w:pPr>
      <w:r>
        <w:rPr>
          <w:rFonts w:ascii="Times New Roman" w:hAnsi="Times New Roman"/>
          <w:b/>
          <w:sz w:val="36"/>
        </w:rPr>
        <w:t>REFERENCES</w:t>
      </w:r>
    </w:p>
    <w:p>
      <w:pPr>
        <w:spacing w:line="360" w:lineRule="auto" w:after="120"/>
        <w:ind w:left="432"/>
      </w:pPr>
      <w:r>
        <w:rPr>
          <w:rFonts w:ascii="Times New Roman" w:hAnsi="Times New Roman"/>
          <w:sz w:val="24"/>
        </w:rPr>
        <w:t>1. A. Dal Pozzolo, O. Caelen, R. A. Johnson, and G. Bontempi, "Calibrating probability with undersampling for fraud detection in credit cards," IEEE Computational Intelligence Magazine, vol. 10, no. 4, pp. 56–64, Nov. 2015.</w:t>
      </w:r>
    </w:p>
    <w:p>
      <w:pPr>
        <w:spacing w:line="360" w:lineRule="auto" w:after="120"/>
        <w:ind w:left="432"/>
      </w:pPr>
      <w:r>
        <w:rPr>
          <w:rFonts w:ascii="Times New Roman" w:hAnsi="Times New Roman"/>
          <w:sz w:val="24"/>
        </w:rPr>
        <w:t>2. F. Carcillo, A. Dal Pozzolo, Y. A. Le Borgne, O. Caelen, Y. Mazzerbo, and G. Bontempi, "Scarff: a framework for addressing drift and latency in credit card fraud detection," Information Sciences, vol. 468, pp. 126–144, Oct. 2018.</w:t>
      </w:r>
    </w:p>
    <w:p>
      <w:pPr>
        <w:spacing w:line="360" w:lineRule="auto" w:after="120"/>
        <w:ind w:left="432"/>
      </w:pPr>
      <w:r>
        <w:rPr>
          <w:rFonts w:ascii="Times New Roman" w:hAnsi="Times New Roman"/>
          <w:sz w:val="24"/>
        </w:rPr>
        <w:t>3. N. V. Chawla, K. W. Bowyer, L. O. Hall, and W. P. Kegelmeyer, "SMOTE: synthetic minority over-sampling technique," Journal of Artificial Intelligence Research, vol. 16, pp. 321–357, June 2002.</w:t>
      </w:r>
    </w:p>
    <w:p>
      <w:pPr>
        <w:spacing w:line="360" w:lineRule="auto" w:after="120"/>
        <w:ind w:left="432"/>
      </w:pPr>
      <w:r>
        <w:rPr>
          <w:rFonts w:ascii="Times New Roman" w:hAnsi="Times New Roman"/>
          <w:sz w:val="24"/>
        </w:rPr>
        <w:t>4. H. He, Y. Bai, E. A. Garcia, and S. Li, "ADASYN: Adaptive synthetic sampling approach for imbalanced learning," in IEEE International Joint Conference on Neural Networks (IEEE World Congress on Computational Intelligence), Hong Kong, 2008, pp. 1322–1328.</w:t>
      </w:r>
    </w:p>
    <w:p>
      <w:pPr>
        <w:spacing w:line="360" w:lineRule="auto" w:after="120"/>
        <w:ind w:left="432"/>
      </w:pPr>
      <w:r>
        <w:rPr>
          <w:rFonts w:ascii="Times New Roman" w:hAnsi="Times New Roman"/>
          <w:sz w:val="24"/>
        </w:rPr>
        <w:t>5. H. Han, W. Y. Wang, and B. H. Mao, "Borderline-SMOTE: a new over-sampling method in imbalanced data sets learning," in International Conference on Intelligent Computing, Berlin, Heidelberg, 2005, pp. 878–887.</w:t>
      </w:r>
    </w:p>
    <w:p>
      <w:pPr>
        <w:spacing w:line="360" w:lineRule="auto" w:after="120"/>
        <w:ind w:left="432"/>
      </w:pPr>
      <w:r>
        <w:rPr>
          <w:rFonts w:ascii="Times New Roman" w:hAnsi="Times New Roman"/>
          <w:sz w:val="24"/>
        </w:rPr>
        <w:t>6. T. Chen and C. Guestrin, "XGBoost: A scalable tree boosting system," in Proceedings of the 22nd ACM SIGKDD International Conference on Knowledge Discovery and Data Mining, San Francisco, CA, USA, 2016, pp. 785–794.</w:t>
      </w:r>
    </w:p>
    <w:p>
      <w:pPr>
        <w:spacing w:line="360" w:lineRule="auto" w:after="120"/>
        <w:ind w:left="432"/>
      </w:pPr>
      <w:r>
        <w:rPr>
          <w:rFonts w:ascii="Times New Roman" w:hAnsi="Times New Roman"/>
          <w:sz w:val="24"/>
        </w:rPr>
        <w:t>7. G. Ke, Q. Meng, T. Finley, T. Wang, W. Chen, W. Ma, Q. Ye, and T. Y. Liu, "LightGBM: A highly efficient gradient boosting decision tree," Advances in Neural Information Processing Systems (NeurIPS 30), vol. 30, pp. 3146–3154, 2017.</w:t>
      </w:r>
    </w:p>
    <w:p>
      <w:pPr>
        <w:spacing w:line="360" w:lineRule="auto" w:after="120"/>
        <w:ind w:left="432"/>
      </w:pPr>
      <w:r>
        <w:rPr>
          <w:rFonts w:ascii="Times New Roman" w:hAnsi="Times New Roman"/>
          <w:sz w:val="24"/>
        </w:rPr>
        <w:t>8. L. Breiman, "Bagging predictors," Machine Learning, vol. 24, no. 2, pp. 123–140, Aug. 1996.</w:t>
      </w:r>
    </w:p>
    <w:p>
      <w:pPr>
        <w:spacing w:line="360" w:lineRule="auto" w:after="120"/>
        <w:ind w:left="432"/>
      </w:pPr>
      <w:r>
        <w:rPr>
          <w:rFonts w:ascii="Times New Roman" w:hAnsi="Times New Roman"/>
          <w:sz w:val="24"/>
        </w:rPr>
        <w:t>9. L. Breiman, "Random forests," Machine Learning, vol. 45, no. 1, pp. 5–32, Oct. 2001.</w:t>
      </w:r>
    </w:p>
    <w:p>
      <w:pPr>
        <w:spacing w:line="360" w:lineRule="auto" w:after="120"/>
        <w:ind w:left="432"/>
      </w:pPr>
      <w:r>
        <w:rPr>
          <w:rFonts w:ascii="Times New Roman" w:hAnsi="Times New Roman"/>
          <w:sz w:val="24"/>
        </w:rPr>
        <w:t>10. D. H. Wolpert, "Stacked generalization," Neural Networks, vol. 5, no. 2, pp. 241–259, 1992.</w:t>
      </w:r>
    </w:p>
    <w:p>
      <w:pPr>
        <w:spacing w:line="360" w:lineRule="auto" w:after="120"/>
        <w:ind w:left="432"/>
      </w:pPr>
      <w:r>
        <w:rPr>
          <w:rFonts w:ascii="Times New Roman" w:hAnsi="Times New Roman"/>
          <w:sz w:val="24"/>
        </w:rPr>
        <w:t>11. J. H. Friedman, "Greedy function approximation: a gradient boosting machine," Annals of Statistics, vol. 29, no. 5, pp. 1189–1232, Oct. 2001.</w:t>
      </w:r>
    </w:p>
    <w:p>
      <w:pPr>
        <w:spacing w:line="360" w:lineRule="auto" w:after="120"/>
        <w:ind w:left="432"/>
      </w:pPr>
      <w:r>
        <w:rPr>
          <w:rFonts w:ascii="Times New Roman" w:hAnsi="Times New Roman"/>
          <w:sz w:val="24"/>
        </w:rPr>
        <w:t>12. S. M. Lundberg and S. I. Lee, "A unified approach to interpreting model predictions," Advances in Neural Information Processing Systems (NeurIPS 30), vol. 30, pp. 4765–4774, 2017.</w:t>
      </w:r>
    </w:p>
    <w:p>
      <w:pPr>
        <w:spacing w:line="360" w:lineRule="auto" w:after="120"/>
        <w:ind w:left="432"/>
      </w:pPr>
      <w:r>
        <w:rPr>
          <w:rFonts w:ascii="Times New Roman" w:hAnsi="Times New Roman"/>
          <w:sz w:val="24"/>
        </w:rPr>
        <w:t>13. S. M. Lundberg, G. Erion, H. Chen, A. DeGrave, J. M. Prutkin, B. Nair, R. Katz, M. Himmelfarb, N. Bansal, and S. I. Lee, "From local explanations to global understanding with explainable AI for trees," Nature Machine Intelligence, vol. 2, no. 1, pp. 56–67, Jan. 2020.</w:t>
      </w:r>
    </w:p>
    <w:p>
      <w:pPr>
        <w:spacing w:line="360" w:lineRule="auto" w:after="120"/>
        <w:ind w:left="432"/>
      </w:pPr>
      <w:r>
        <w:rPr>
          <w:rFonts w:ascii="Times New Roman" w:hAnsi="Times New Roman"/>
          <w:sz w:val="24"/>
        </w:rPr>
        <w:t>14. M. T. Ribeiro, S. Singh, and C. Guestrin, ""Why should I trust you?": Explaining the predictions of any classifier," in Proceedings of the 22nd ACM SIGKDD International Conference on Knowledge Discovery and Data Mining, San Francisco, CA, USA, 2016, pp. 1135–1144.</w:t>
      </w:r>
    </w:p>
    <w:p>
      <w:pPr>
        <w:spacing w:line="360" w:lineRule="auto" w:after="120"/>
        <w:ind w:left="432"/>
      </w:pPr>
      <w:r>
        <w:rPr>
          <w:rFonts w:ascii="Times New Roman" w:hAnsi="Times New Roman"/>
          <w:sz w:val="24"/>
        </w:rPr>
        <w:t>15. E. A. Lopez-Rojas, A. Elmir, and S. Axelsson, "PaySim: A financial mobile money simulator for fraud detection," in 28th European Modeling and Simulation Symposium (EMSS), Larnaca, Cyprus, 2016, pp. 249–255.</w:t>
      </w:r>
    </w:p>
    <w:p>
      <w:pPr>
        <w:spacing w:line="360" w:lineRule="auto" w:after="120"/>
        <w:ind w:left="432"/>
      </w:pPr>
      <w:r>
        <w:rPr>
          <w:rFonts w:ascii="Times New Roman" w:hAnsi="Times New Roman"/>
          <w:sz w:val="24"/>
        </w:rPr>
        <w:t>16. E. A. Lopez-Rojas and S. Axelsson, "BankSim: A bank payment simulation for fraud detection research," in 26th European Modeling and Simulation Symposium (EMSS), Bordeaux, France, 2014, pp. 341–347.</w:t>
      </w:r>
    </w:p>
    <w:p>
      <w:pPr>
        <w:spacing w:line="360" w:lineRule="auto" w:after="120"/>
        <w:ind w:left="432"/>
      </w:pPr>
      <w:r>
        <w:rPr>
          <w:rFonts w:ascii="Times New Roman" w:hAnsi="Times New Roman"/>
          <w:sz w:val="24"/>
        </w:rPr>
        <w:t>17. L. Akoglu, R. Chandy, and C. Faloutsos, "Graph based anomaly detection and description: a survey," Data Mining and Knowledge Discovery, vol. 29, no. 3, pp. 626–688, May 2015.</w:t>
      </w:r>
    </w:p>
    <w:p>
      <w:pPr>
        <w:spacing w:line="360" w:lineRule="auto" w:after="120"/>
        <w:ind w:left="432"/>
      </w:pPr>
      <w:r>
        <w:rPr>
          <w:rFonts w:ascii="Times New Roman" w:hAnsi="Times New Roman"/>
          <w:sz w:val="24"/>
        </w:rPr>
        <w:t>18. B. McMahan, E. Moore, D. Ramage, S. Hampson, and B. A. y Arcas, "Communication-efficient learning of deep networks from decentralized data," in Artificial Intelligence and Statistics (AISTATS), Fort Lauderdale, FL, USA, 2017, pp. 1273–1282.</w:t>
      </w:r>
    </w:p>
    <w:p>
      <w:pPr>
        <w:spacing w:line="360" w:lineRule="auto" w:after="120"/>
        <w:ind w:left="432"/>
      </w:pPr>
      <w:r>
        <w:rPr>
          <w:rFonts w:ascii="Times New Roman" w:hAnsi="Times New Roman"/>
          <w:sz w:val="24"/>
        </w:rPr>
        <w:t>19. Q. Yang, Y. Liu, T. Chen, and Y. Tong, "Federated machine learning: Concept and applications," ACM Transactions on Intelligent Systems and Technology (TIST), vol. 10, no. 2, pp. 1–19, Feb. 2019.</w:t>
      </w:r>
    </w:p>
    <w:p>
      <w:pPr>
        <w:spacing w:line="360" w:lineRule="auto" w:after="120"/>
        <w:ind w:left="432"/>
      </w:pPr>
      <w:r>
        <w:rPr>
          <w:rFonts w:ascii="Times New Roman" w:hAnsi="Times New Roman"/>
          <w:sz w:val="24"/>
        </w:rPr>
        <w:t>20. C. Elkan, "The foundations of cost-sensitive learning," in International Joint Conference on Artificial Intelligence (IJCAI), Seattle, WA, USA, 2001, vol. 17, pp. 973–978.</w:t>
      </w:r>
    </w:p>
    <w:p>
      <w:pPr>
        <w:spacing w:line="360" w:lineRule="auto" w:after="120"/>
        <w:ind w:left="432"/>
      </w:pPr>
      <w:r>
        <w:rPr>
          <w:rFonts w:ascii="Times New Roman" w:hAnsi="Times New Roman"/>
          <w:sz w:val="24"/>
        </w:rPr>
        <w:t>21. European Parliament and Council, "Artificial Intelligence Act (Regulation EU 2024/1689)," Official Journal of the European Union, July 2024.</w:t>
      </w:r>
    </w:p>
    <w:p>
      <w:pPr>
        <w:spacing w:line="360" w:lineRule="auto" w:after="120"/>
        <w:ind w:left="432"/>
      </w:pPr>
      <w:r>
        <w:rPr>
          <w:rFonts w:ascii="Times New Roman" w:hAnsi="Times New Roman"/>
          <w:sz w:val="24"/>
        </w:rPr>
        <w:t>22. European Parliament and Council, "General Data Protection Regulation (Regulation EU 2016/679)," Official Journal of the European Union, Apr. 2016.</w:t>
      </w:r>
    </w:p>
    <w:p>
      <w:pPr>
        <w:spacing w:line="360" w:lineRule="auto" w:after="120"/>
        <w:ind w:left="432"/>
      </w:pPr>
      <w:r>
        <w:rPr>
          <w:rFonts w:ascii="Times New Roman" w:hAnsi="Times New Roman"/>
          <w:sz w:val="24"/>
        </w:rPr>
        <w:t>23. Federal Trade Commission, "Fair Credit Reporting Act (15 U.S.C. Section 1681 et seq.)," FTC Regulatory Compendium, 2023.</w:t>
      </w:r>
    </w:p>
    <w:p>
      <w:pPr>
        <w:spacing w:line="360" w:lineRule="auto" w:after="120"/>
        <w:ind w:left="432"/>
      </w:pPr>
      <w:r>
        <w:rPr>
          <w:rFonts w:ascii="Times New Roman" w:hAnsi="Times New Roman"/>
          <w:sz w:val="24"/>
        </w:rPr>
        <w:t>24. R. J. Bolton and D. J. Hand, "Statistical fraud detection: A review," Statistical Science, vol. 17, no. 3, pp. 235–255, Aug. 2002.</w:t>
      </w:r>
    </w:p>
    <w:p>
      <w:pPr>
        <w:spacing w:line="360" w:lineRule="auto" w:after="120"/>
        <w:ind w:left="432"/>
      </w:pPr>
      <w:r>
        <w:rPr>
          <w:rFonts w:ascii="Times New Roman" w:hAnsi="Times New Roman"/>
          <w:sz w:val="24"/>
        </w:rPr>
        <w:t>25. E. Aleskerov, B. Freisleben, and B. Rao, "CARDWATCH: a neural network based database mining system for credit card fraud detection," in IEEE Computational Intelligence for Financial Engineering, New York, NY, USA, 1997, pp. 220–226.</w:t>
      </w:r>
    </w:p>
    <w:p>
      <w:pPr>
        <w:spacing w:line="360" w:lineRule="auto" w:after="120"/>
        <w:ind w:left="432"/>
      </w:pPr>
      <w:r>
        <w:rPr>
          <w:rFonts w:ascii="Times New Roman" w:hAnsi="Times New Roman"/>
          <w:sz w:val="24"/>
        </w:rPr>
        <w:t>26. J. R. Quinlan, C4.5: Programs for Machine Learning, San Mateo, CA: Morgan Kaufmann Publishers, 1993.</w:t>
      </w:r>
    </w:p>
    <w:p>
      <w:pPr>
        <w:spacing w:line="360" w:lineRule="auto" w:after="120"/>
        <w:ind w:left="432"/>
      </w:pPr>
      <w:r>
        <w:rPr>
          <w:rFonts w:ascii="Times New Roman" w:hAnsi="Times New Roman"/>
          <w:sz w:val="24"/>
        </w:rPr>
        <w:t>27. S. Pumsirirat and L. Yan, "Credit card fraud detection using deep learning based on auto-encoder and restricted Boltzmann machine," International Journal of Advanced Computer Science and Applications, vol. 9, no. 1, pp. 18–25, 2018.</w:t>
      </w:r>
    </w:p>
    <w:p>
      <w:pPr>
        <w:spacing w:line="360" w:lineRule="auto" w:after="120"/>
        <w:ind w:left="432"/>
      </w:pPr>
      <w:r>
        <w:rPr>
          <w:rFonts w:ascii="Times New Roman" w:hAnsi="Times New Roman"/>
          <w:sz w:val="24"/>
        </w:rPr>
        <w:t>28. I. Benchaji, S. Douzi, and B. El Ouahidi, "Using genetic algorithm to improve classification of imbalanced credit card fraud data," IEEE Access, vol. 9, pp. 99486–99496, July 2021.</w:t>
      </w:r>
    </w:p>
    <w:p>
      <w:pPr>
        <w:spacing w:line="360" w:lineRule="auto" w:after="120"/>
        <w:ind w:left="432"/>
      </w:pPr>
      <w:r>
        <w:rPr>
          <w:rFonts w:ascii="Times New Roman" w:hAnsi="Times New Roman"/>
          <w:sz w:val="24"/>
        </w:rPr>
        <w:t>29. P. Flach, Machine Learning: The Art and Science of Algorithms that Make Sense of Data, Cambridge University Press, 2012.</w:t>
      </w:r>
    </w:p>
    <w:p>
      <w:pPr>
        <w:spacing w:line="360" w:lineRule="auto" w:after="120"/>
        <w:ind w:left="432"/>
      </w:pPr>
      <w:r>
        <w:rPr>
          <w:rFonts w:ascii="Times New Roman" w:hAnsi="Times New Roman"/>
          <w:sz w:val="24"/>
        </w:rPr>
        <w:t>30. F. Pedregosa et al., "Scikit-learn: Machine learning in Python," Journal of Machine Learning Research, vol. 12, pp. 2825–2830, 2011.</w:t>
      </w:r>
    </w:p>
    <w:p>
      <w:r>
        <w:br w:type="page"/>
      </w:r>
    </w:p>
    <w:p>
      <w:pPr>
        <w:keepNext/>
        <w:spacing w:before="360" w:after="200"/>
      </w:pPr>
      <w:r>
        <w:rPr>
          <w:rFonts w:ascii="Times New Roman" w:hAnsi="Times New Roman"/>
          <w:b/>
          <w:sz w:val="36"/>
        </w:rPr>
        <w:t>RESEARCH PAPER</w:t>
      </w:r>
    </w:p>
    <w:p>
      <w:pPr>
        <w:keepNext/>
        <w:spacing w:before="240" w:after="120"/>
      </w:pPr>
      <w:r>
        <w:rPr>
          <w:rFonts w:ascii="Times New Roman" w:hAnsi="Times New Roman"/>
          <w:b/>
          <w:sz w:val="28"/>
        </w:rPr>
        <w:t>(Publication-Ready Academic Paper)</w:t>
      </w:r>
    </w:p>
    <w:p>
      <w:pPr>
        <w:keepNext/>
        <w:spacing w:before="280" w:after="160"/>
      </w:pPr>
      <w:r>
        <w:rPr>
          <w:rFonts w:ascii="Times New Roman" w:hAnsi="Times New Roman"/>
          <w:b/>
          <w:sz w:val="32"/>
        </w:rPr>
        <w:t>FraudShield AI: Multi-Domain Financial Fraud Detection via Stacking Ensembles, Calibrated Risk Scoring, and TreeSHAP Explainability</w:t>
      </w:r>
    </w:p>
    <w:p>
      <w:pPr>
        <w:spacing w:line="360" w:lineRule="auto" w:after="120"/>
        <w:jc w:val="both"/>
      </w:pPr>
      <w:r>
        <w:rPr>
          <w:rFonts w:ascii="Times New Roman" w:hAnsi="Times New Roman"/>
          <w:sz w:val="24"/>
        </w:rPr>
        <w:t>Ashmit Singh, Sumit Singh, Shivam Singh, and Ms. Tanmayi Nagale</w:t>
      </w:r>
    </w:p>
    <w:p>
      <w:pPr>
        <w:spacing w:line="360" w:lineRule="auto" w:after="120"/>
        <w:jc w:val="both"/>
      </w:pPr>
      <w:r>
        <w:rPr>
          <w:rFonts w:ascii="Times New Roman" w:hAnsi="Times New Roman"/>
          <w:sz w:val="24"/>
        </w:rPr>
        <w:t>Department of Computer Engineering, Thakur College of Engineering &amp; Technology, Mumbai, India</w:t>
      </w:r>
    </w:p>
    <w:p>
      <w:pPr>
        <w:spacing w:line="360" w:lineRule="auto" w:after="120"/>
        <w:jc w:val="both"/>
      </w:pPr>
      <w:r>
        <w:rPr>
          <w:rFonts w:ascii="Times New Roman" w:hAnsi="Times New Roman"/>
          <w:sz w:val="24"/>
        </w:rPr>
        <w:t>(Autonomous Institute Affiliated to University of Mumbai)</w:t>
      </w:r>
    </w:p>
    <w:p>
      <w:pPr>
        <w:keepNext/>
        <w:spacing w:before="240" w:after="120"/>
      </w:pPr>
      <w:r>
        <w:rPr>
          <w:rFonts w:ascii="Times New Roman" w:hAnsi="Times New Roman"/>
          <w:b/>
          <w:sz w:val="28"/>
        </w:rPr>
        <w:t>Abstract</w:t>
      </w:r>
    </w:p>
    <w:p>
      <w:pPr>
        <w:spacing w:line="360" w:lineRule="auto" w:after="120"/>
        <w:jc w:val="both"/>
      </w:pPr>
      <w:r>
        <w:rPr>
          <w:rFonts w:ascii="Times New Roman" w:hAnsi="Times New Roman"/>
          <w:sz w:val="24"/>
        </w:rPr>
        <w:t>Financial fraud detection presents significant challenges to machine learning systems due to extreme class imbalance (often exceeding 1:500), severe domain shifts across payment ecosystems (e.g., mobile money vs. credit card PCA vectors vs. spatial geolocation), and the strict requirement for model explainability in regulatory environments. In this paper, we present FraudShield AI, a multi-domain fraud detection architecture powered by a Stacking Ensemble classifier (XGBoost, LightGBM, Random Forest) with domain-specific model heads, class-weighted optimization, and continuous risk calibration. Evaluated across four benchmark financial datasets—PaySim Mobile Money, European Credit Card PCA, Spatial Behavioral Credit Card, and BankSim Retail Banking—FraudShield AI achieves near-perfect F1-scores on mobile money transactions (99.66% F1, 100% Precision) and achieves an 8.40% boost in F1-Score (to 89.25% F1, 94.32% Precision) on extreme imbalanced PCA vector data. Furthermore, we integrate TreeSHAP for feature attribution and implement a continuous 3-tier risk classification system (SAFE &lt; 45%, NEEDS REVIEW 45%–75%, FRAUD ≥ 75%) deployed via FastAPI and React.</w:t>
      </w:r>
    </w:p>
    <w:p>
      <w:pPr>
        <w:spacing w:line="360" w:lineRule="auto" w:after="120"/>
        <w:jc w:val="both"/>
      </w:pPr>
      <w:r>
        <w:rPr>
          <w:rFonts w:ascii="Times New Roman" w:hAnsi="Times New Roman"/>
          <w:sz w:val="24"/>
        </w:rPr>
        <w:t>Keywords: Financial Fraud Detection, Stacking Ensemble, Extreme Class Imbalance, Explainable AI (XAI), TreeSHAP, Regulatory Compliance, FCRA Reason Codes.</w:t>
      </w:r>
    </w:p>
    <w:p>
      <w:pPr>
        <w:keepNext/>
        <w:spacing w:before="240" w:after="120"/>
      </w:pPr>
      <w:r>
        <w:rPr>
          <w:rFonts w:ascii="Times New Roman" w:hAnsi="Times New Roman"/>
          <w:b/>
          <w:sz w:val="28"/>
        </w:rPr>
        <w:t>I. Introduction</w:t>
      </w:r>
    </w:p>
    <w:p>
      <w:pPr>
        <w:spacing w:line="360" w:lineRule="auto" w:after="120"/>
        <w:jc w:val="both"/>
      </w:pPr>
      <w:r>
        <w:rPr>
          <w:rFonts w:ascii="Times New Roman" w:hAnsi="Times New Roman"/>
          <w:sz w:val="24"/>
        </w:rPr>
        <w:t>Financial institutions face staggering economic losses exceeding $48 billion annually due to fraudulent payment activities across card-not-present (CNP) channels, peer-to-peer (P2P) transfers, and unauthorized wire settlements. Legacy detection platforms rely on static rule engines that inflict massive false positive rates (exceeding 90%), inducing severe friction for legitimate cardholders and overwhelming fraud analysts.</w:t>
      </w:r>
    </w:p>
    <w:p>
      <w:pPr>
        <w:spacing w:line="360" w:lineRule="auto" w:after="120"/>
        <w:jc w:val="both"/>
      </w:pPr>
      <w:r>
        <w:rPr>
          <w:rFonts w:ascii="Times New Roman" w:hAnsi="Times New Roman"/>
          <w:sz w:val="24"/>
        </w:rPr>
        <w:t>While supervised machine learning models capture complex non-linear relationships, they encounter four critical hurdles:</w:t>
      </w:r>
    </w:p>
    <w:p>
      <w:pPr>
        <w:spacing w:line="360" w:lineRule="auto" w:after="120"/>
        <w:ind w:left="432"/>
      </w:pPr>
      <w:r>
        <w:rPr>
          <w:rFonts w:ascii="Times New Roman" w:hAnsi="Times New Roman"/>
          <w:sz w:val="24"/>
        </w:rPr>
        <w:t>1. Extreme Class Imbalance: Genuine transactions overwhelmingly outnumber fraudulent events (frequently $&lt; 0.17\%$ prevalence). Standard classifiers optimize for majority class accuracy, producing 0% recall.</w:t>
      </w:r>
    </w:p>
    <w:p>
      <w:pPr>
        <w:spacing w:line="360" w:lineRule="auto" w:after="120"/>
        <w:ind w:left="432"/>
      </w:pPr>
      <w:r>
        <w:rPr>
          <w:rFonts w:ascii="Times New Roman" w:hAnsi="Times New Roman"/>
          <w:sz w:val="24"/>
        </w:rPr>
        <w:t>2. Domain Incompatibility: Models trained on mobile wallet balance equations fail when evaluated on anonymized PCA vectors or geographic coordinates.</w:t>
      </w:r>
    </w:p>
    <w:p>
      <w:pPr>
        <w:spacing w:line="360" w:lineRule="auto" w:after="120"/>
        <w:ind w:left="432"/>
      </w:pPr>
      <w:r>
        <w:rPr>
          <w:rFonts w:ascii="Times New Roman" w:hAnsi="Times New Roman"/>
          <w:sz w:val="24"/>
        </w:rPr>
        <w:t>3. Black-Box Opacity: Modern gradient boosted trees do not provide interpretable justifications required by GDPR Article 22 and the Fair Credit Reporting Act (FCRA).</w:t>
      </w:r>
    </w:p>
    <w:p>
      <w:pPr>
        <w:spacing w:line="360" w:lineRule="auto" w:after="120"/>
        <w:ind w:left="432"/>
      </w:pPr>
      <w:r>
        <w:rPr>
          <w:rFonts w:ascii="Times New Roman" w:hAnsi="Times New Roman"/>
          <w:sz w:val="24"/>
        </w:rPr>
        <w:t>4. Probability Polarization: Standard cross-entropy training clusters predicted probabilities at $0.00$ or $1.00$, eliminating the intermediate review tier.</w:t>
      </w:r>
    </w:p>
    <w:p>
      <w:pPr>
        <w:spacing w:line="360" w:lineRule="auto" w:after="120"/>
        <w:jc w:val="both"/>
      </w:pPr>
      <w:r>
        <w:rPr>
          <w:rFonts w:ascii="Times New Roman" w:hAnsi="Times New Roman"/>
          <w:sz w:val="24"/>
        </w:rPr>
        <w:t>To solve these challenges, we introduce FraudShield AI, an integrated platform combining multi-domain stacking ensembles, continuous risk calibration, TreeSHAP interpretability, and in-memory graph intelligence.</w:t>
      </w:r>
    </w:p>
    <w:p>
      <w:pPr>
        <w:keepNext/>
        <w:spacing w:before="240" w:after="120"/>
      </w:pPr>
      <w:r>
        <w:rPr>
          <w:rFonts w:ascii="Times New Roman" w:hAnsi="Times New Roman"/>
          <w:b/>
          <w:sz w:val="28"/>
        </w:rPr>
        <w:t>II. System Architecture &amp; Methodology</w:t>
      </w:r>
    </w:p>
    <w:p>
      <w:pPr>
        <w:keepNext/>
        <w:spacing w:before="200" w:after="80"/>
      </w:pPr>
      <w:r>
        <w:rPr>
          <w:rFonts w:ascii="Times New Roman" w:hAnsi="Times New Roman"/>
          <w:b/>
          <w:sz w:val="24"/>
        </w:rPr>
        <w:t>A. Multi-Domain Model Registry</w:t>
      </w:r>
    </w:p>
    <w:p>
      <w:pPr>
        <w:spacing w:line="360" w:lineRule="auto" w:after="120"/>
        <w:jc w:val="both"/>
      </w:pPr>
      <w:r>
        <w:rPr>
          <w:rFonts w:ascii="Times New Roman" w:hAnsi="Times New Roman"/>
          <w:sz w:val="24"/>
        </w:rPr>
        <w:t>FraudShield AI maintains dedicated pre-trained model heads for four distinct financial transaction schemas:</w:t>
      </w:r>
    </w:p>
    <w:p>
      <w:pPr>
        <w:spacing w:line="360" w:lineRule="auto" w:after="120"/>
        <w:ind w:left="432"/>
      </w:pPr>
      <w:r>
        <w:rPr>
          <w:rFonts w:ascii="Times New Roman" w:hAnsi="Times New Roman"/>
          <w:sz w:val="24"/>
        </w:rPr>
        <w:t>1. paysim: Mobile Money P2P transactions handling balance reconciliation delta features (errorBalanceOrig, errorBalanceDest).</w:t>
      </w:r>
    </w:p>
    <w:p>
      <w:pPr>
        <w:spacing w:line="360" w:lineRule="auto" w:after="120"/>
        <w:ind w:left="432"/>
      </w:pPr>
      <w:r>
        <w:rPr>
          <w:rFonts w:ascii="Times New Roman" w:hAnsi="Times New Roman"/>
          <w:sz w:val="24"/>
        </w:rPr>
        <w:t>2. creditcard: European Cardholder PCA vectors handling 28 anonymized components ($V1 \dots V{28}$) with $577:1$ imbalance.</w:t>
      </w:r>
    </w:p>
    <w:p>
      <w:pPr>
        <w:spacing w:line="360" w:lineRule="auto" w:after="120"/>
        <w:ind w:left="432"/>
      </w:pPr>
      <w:r>
        <w:rPr>
          <w:rFonts w:ascii="Times New Roman" w:hAnsi="Times New Roman"/>
          <w:sz w:val="24"/>
        </w:rPr>
        <w:t>3. spatial: Geospatial transactions computing Haversine geodesic distance between cardholder $(</w:t>
        <w:tab/>
        <w:t xml:space="preserve">ext{lat}, </w:t>
        <w:tab/>
        <w:t>ext{long})$ and merchant coordinates.</w:t>
      </w:r>
    </w:p>
    <w:p>
      <w:pPr>
        <w:spacing w:line="360" w:lineRule="auto" w:after="120"/>
        <w:ind w:left="432"/>
      </w:pPr>
      <w:r>
        <w:rPr>
          <w:rFonts w:ascii="Times New Roman" w:hAnsi="Times New Roman"/>
          <w:sz w:val="24"/>
        </w:rPr>
        <w:t>4. banksim: Retail banking simulator tracking category-encoded merchant spending patterns.</w:t>
      </w:r>
    </w:p>
    <w:p>
      <w:pPr>
        <w:keepNext/>
        <w:spacing w:before="200" w:after="80"/>
      </w:pPr>
      <w:r>
        <w:rPr>
          <w:rFonts w:ascii="Times New Roman" w:hAnsi="Times New Roman"/>
          <w:b/>
          <w:sz w:val="24"/>
        </w:rPr>
        <w:t>B. Stacking Ensemble Engine</w:t>
      </w:r>
    </w:p>
    <w:p>
      <w:pPr>
        <w:spacing w:line="360" w:lineRule="auto" w:after="120"/>
        <w:jc w:val="both"/>
      </w:pPr>
      <w:r>
        <w:rPr>
          <w:rFonts w:ascii="Times New Roman" w:hAnsi="Times New Roman"/>
          <w:sz w:val="24"/>
        </w:rPr>
        <w:t>Each domain head utilizes a two-tier Stacking Ensemble:</w:t>
      </w:r>
    </w:p>
    <w:p>
      <w:pPr>
        <w:spacing w:line="360" w:lineRule="auto" w:after="120"/>
        <w:ind w:left="432"/>
      </w:pPr>
      <w:r>
        <w:rPr>
          <w:rFonts w:ascii="Times New Roman" w:hAnsi="Times New Roman"/>
          <w:sz w:val="24"/>
        </w:rPr>
        <w:t>• Level-0 Base Learners: XGBoost (XGBClassifier), LightGBM (LGBMClassifier), and Random Forest (RandomForestClassifier).</w:t>
      </w:r>
    </w:p>
    <w:p>
      <w:pPr>
        <w:spacing w:line="360" w:lineRule="auto" w:after="120"/>
        <w:ind w:left="432"/>
      </w:pPr>
      <w:r>
        <w:rPr>
          <w:rFonts w:ascii="Times New Roman" w:hAnsi="Times New Roman"/>
          <w:sz w:val="24"/>
        </w:rPr>
        <w:t>• Level-1 Meta-Learner: Calibrated Logistic Regression synthesizing base probability vectors.</w:t>
      </w:r>
    </w:p>
    <w:p>
      <w:pPr>
        <w:spacing w:line="360" w:lineRule="auto" w:after="120"/>
        <w:jc w:val="both"/>
      </w:pPr>
      <w:r>
        <w:rPr>
          <w:rFonts w:ascii="Times New Roman" w:hAnsi="Times New Roman"/>
          <w:sz w:val="24"/>
        </w:rPr>
        <w:t>To combat extreme class imbalance during training, XGBoost and LightGBM utilize dynamic positive class weighting:</w:t>
      </w:r>
    </w:p>
    <w:p>
      <w:pPr>
        <w:spacing w:line="360" w:lineRule="auto" w:after="120"/>
        <w:jc w:val="both"/>
      </w:pPr>
      <w:r>
        <w:rPr>
          <w:rFonts w:ascii="Times New Roman" w:hAnsi="Times New Roman"/>
          <w:sz w:val="24"/>
        </w:rPr>
        <w:t>$$</w:t>
        <w:tab/>
        <w:t>ext{scale\pos\weight} = rac{N{</w:t>
        <w:tab/>
        <w:t>ext{majority}}}{N{</w:t>
        <w:tab/>
        <w:t>ext{minority}}}$$</w:t>
      </w:r>
    </w:p>
    <w:p>
      <w:pPr>
        <w:keepNext/>
        <w:spacing w:before="200" w:after="80"/>
      </w:pPr>
      <w:r>
        <w:rPr>
          <w:rFonts w:ascii="Times New Roman" w:hAnsi="Times New Roman"/>
          <w:b/>
          <w:sz w:val="24"/>
        </w:rPr>
        <w:t>C. Continuous Calibrated Risk Engine</w:t>
      </w:r>
    </w:p>
    <w:p>
      <w:pPr>
        <w:spacing w:line="360" w:lineRule="auto" w:after="120"/>
        <w:jc w:val="both"/>
      </w:pPr>
      <w:r>
        <w:rPr>
          <w:rFonts w:ascii="Times New Roman" w:hAnsi="Times New Roman"/>
          <w:sz w:val="24"/>
        </w:rPr>
        <w:t>To prevent binary probability polarization, FraudShield AI maps raw probabilities $p$ into a continuous risk score:</w:t>
      </w:r>
    </w:p>
    <w:p>
      <w:pPr>
        <w:spacing w:line="360" w:lineRule="auto" w:after="120"/>
        <w:jc w:val="both"/>
      </w:pPr>
      <w:r>
        <w:rPr>
          <w:rFonts w:ascii="Times New Roman" w:hAnsi="Times New Roman"/>
          <w:sz w:val="24"/>
        </w:rPr>
        <w:t>$$</w:t>
        <w:tab/>
        <w:t>ext{RiskScore}(p, \mathbf{x}) = egin{cases}</w:t>
      </w:r>
    </w:p>
    <w:p>
      <w:pPr>
        <w:spacing w:line="360" w:lineRule="auto" w:after="120"/>
        <w:jc w:val="both"/>
      </w:pPr>
      <w:r>
        <w:rPr>
          <w:rFonts w:ascii="Times New Roman" w:hAnsi="Times New Roman"/>
          <w:sz w:val="24"/>
        </w:rPr>
        <w:t>0.75 + 0.08 \cdot \left(rac{p - 0.5}{0.5}</w:t>
      </w:r>
    </w:p>
    <w:p>
      <w:pPr>
        <w:spacing w:line="360" w:lineRule="auto" w:after="120"/>
        <w:jc w:val="both"/>
      </w:pPr>
      <w:r>
        <w:rPr>
          <w:rFonts w:ascii="Times New Roman" w:hAnsi="Times New Roman"/>
          <w:sz w:val="24"/>
        </w:rPr>
        <w:t>ight) + 0.08 \cdot f{</w:t>
        <w:tab/>
        <w:t>ext{amt}}(\mathbf{x}) + 0.08 \cdot \mathbb{I}{</w:t>
        <w:tab/>
        <w:t>ext{drain}}, &amp; p &gt; 0.5 \[4pt]</w:t>
      </w:r>
    </w:p>
    <w:p>
      <w:pPr>
        <w:spacing w:line="360" w:lineRule="auto" w:after="120"/>
        <w:jc w:val="both"/>
      </w:pPr>
      <w:r>
        <w:rPr>
          <w:rFonts w:ascii="Times New Roman" w:hAnsi="Times New Roman"/>
          <w:sz w:val="24"/>
        </w:rPr>
        <w:t>0.15 \cdot f{</w:t>
        <w:tab/>
        <w:t xml:space="preserve">ext{amt}}(\mathbf{x}), &amp; p \le 0.5 \land </w:t>
        <w:tab/>
        <w:t>ext{Type}</w:t>
      </w:r>
    </w:p>
    <w:p>
      <w:pPr>
        <w:spacing w:line="360" w:lineRule="auto" w:after="120"/>
        <w:jc w:val="both"/>
      </w:pPr>
      <w:r>
        <w:rPr>
          <w:rFonts w:ascii="Times New Roman" w:hAnsi="Times New Roman"/>
          <w:sz w:val="24"/>
        </w:rPr>
        <w:t>otin \{</w:t>
        <w:tab/>
        <w:t xml:space="preserve">ext{TRANSFER}, </w:t>
        <w:tab/>
        <w:t>ext{CASH\OUT}\} \[4pt]</w:t>
      </w:r>
    </w:p>
    <w:p>
      <w:pPr>
        <w:spacing w:line="360" w:lineRule="auto" w:after="120"/>
        <w:jc w:val="both"/>
      </w:pPr>
      <w:r>
        <w:rPr>
          <w:rFonts w:ascii="Times New Roman" w:hAnsi="Times New Roman"/>
          <w:sz w:val="24"/>
        </w:rPr>
        <w:t>0.15 + 0.25 \cdot f{</w:t>
        <w:tab/>
        <w:t>ext{amt}} + 0.20 \cdot \mathbb{I}{</w:t>
        <w:tab/>
        <w:t>ext{drain}} + 0.10 \cdot \mathbb{I}{</w:t>
        <w:tab/>
        <w:t>ext{err}} + 0.05 \cdot \left(rac{p}{0.5}</w:t>
      </w:r>
    </w:p>
    <w:p>
      <w:pPr>
        <w:spacing w:line="360" w:lineRule="auto" w:after="120"/>
        <w:jc w:val="both"/>
      </w:pPr>
      <w:r>
        <w:rPr>
          <w:rFonts w:ascii="Times New Roman" w:hAnsi="Times New Roman"/>
          <w:sz w:val="24"/>
        </w:rPr>
        <w:t xml:space="preserve">ight), &amp; </w:t>
        <w:tab/>
        <w:t>ext{otherwise}</w:t>
      </w:r>
    </w:p>
    <w:p>
      <w:pPr>
        <w:spacing w:line="360" w:lineRule="auto" w:after="120"/>
        <w:jc w:val="both"/>
      </w:pPr>
      <w:r>
        <w:rPr>
          <w:rFonts w:ascii="Times New Roman" w:hAnsi="Times New Roman"/>
          <w:sz w:val="24"/>
        </w:rPr>
        <w:t>\end{cases}$$</w:t>
      </w:r>
    </w:p>
    <w:p>
      <w:pPr>
        <w:spacing w:line="360" w:lineRule="auto" w:after="120"/>
        <w:jc w:val="both"/>
      </w:pPr>
      <w:r>
        <w:rPr>
          <w:rFonts w:ascii="Times New Roman" w:hAnsi="Times New Roman"/>
          <w:sz w:val="24"/>
        </w:rPr>
        <w:t>The risk score determines the operational tier: SAFE ($&lt; 45\%$), NEEDS REVIEW ($45\%-75\%$), or FRAUD ($\ge 75\%$).</w:t>
      </w:r>
    </w:p>
    <w:p>
      <w:pPr>
        <w:keepNext/>
        <w:spacing w:before="200" w:after="80"/>
      </w:pPr>
      <w:r>
        <w:rPr>
          <w:rFonts w:ascii="Times New Roman" w:hAnsi="Times New Roman"/>
          <w:b/>
          <w:sz w:val="24"/>
        </w:rPr>
        <w:t>D. Exact TreeSHAP Feature Attribution</w:t>
      </w:r>
    </w:p>
    <w:p>
      <w:pPr>
        <w:spacing w:line="360" w:lineRule="auto" w:after="120"/>
        <w:jc w:val="both"/>
      </w:pPr>
      <w:r>
        <w:rPr>
          <w:rFonts w:ascii="Times New Roman" w:hAnsi="Times New Roman"/>
          <w:sz w:val="24"/>
        </w:rPr>
        <w:t>For every transaction, the system computes exact Shapley values in polynomial time $\mathcal{O}(T L D^2)$, converting top positive attributions into standardized FCRA Adverse Action reason codes (e.g., RC-BAL-02: Account Liquidation Anomaly).</w:t>
      </w:r>
    </w:p>
    <w:p>
      <w:pPr>
        <w:keepNext/>
        <w:spacing w:before="240" w:after="120"/>
      </w:pPr>
      <w:r>
        <w:rPr>
          <w:rFonts w:ascii="Times New Roman" w:hAnsi="Times New Roman"/>
          <w:b/>
          <w:sz w:val="28"/>
        </w:rPr>
        <w:t>III. Empirical Results &amp; Discussion</w:t>
      </w:r>
    </w:p>
    <w:p>
      <w:pPr>
        <w:spacing w:line="360" w:lineRule="auto" w:after="120"/>
        <w:jc w:val="both"/>
      </w:pPr>
      <w:r>
        <w:rPr>
          <w:rFonts w:ascii="Times New Roman" w:hAnsi="Times New Roman"/>
          <w:sz w:val="24"/>
        </w:rPr>
        <w:t>Evaluations were conducted across test splits of all four benchmark datasets: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500"/>
        <w:gridCol w:w="1500"/>
        <w:gridCol w:w="1500"/>
        <w:gridCol w:w="1500"/>
        <w:gridCol w:w="1500"/>
        <w:gridCol w:w="1500"/>
      </w:tblGrid>
      <w:tr>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Dataset Domain</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Precision</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Recall</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F1-Score</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ROC-AUC</w:t>
            </w:r>
          </w:p>
        </w:tc>
        <w:tc>
          <w:tcPr>
            <w:tcW w:type="dxa" w:w="1500"/>
            <w:shd w:fill="E5E7EB"/>
            <w:tcMar>
              <w:top w:w="120" w:type="dxa"/>
              <w:bottom w:w="120" w:type="dxa"/>
              <w:left w:w="140" w:type="dxa"/>
              <w:right w:w="140" w:type="dxa"/>
            </w:tcMar>
          </w:tcPr>
          <w:p>
            <w:pPr>
              <w:spacing w:line="276" w:lineRule="auto" w:after="40"/>
            </w:pPr>
            <w:r>
              <w:rPr>
                <w:rFonts w:ascii="Times New Roman" w:hAnsi="Times New Roman"/>
                <w:b/>
                <w:sz w:val="21"/>
              </w:rPr>
              <w:t>Optimal Threshold</w:t>
            </w:r>
          </w:p>
        </w:tc>
      </w:tr>
      <w:tr>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Credit Card PCA</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94.32%</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84.69%</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89.25%</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0.9845</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0.9684</w:t>
            </w:r>
          </w:p>
        </w:tc>
      </w:tr>
      <w:tr>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Spatial Behavioral</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90.53%</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81.12%</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85.57%</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0.9632</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0.9778</w:t>
            </w:r>
          </w:p>
        </w:tc>
      </w:tr>
      <w:tr>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BankSim Retail</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94.44%</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100.0%</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97.14%</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0.9981</w:t>
            </w:r>
          </w:p>
        </w:tc>
        <w:tc>
          <w:tcPr>
            <w:tcW w:type="dxa" w:w="1500"/>
            <w:shd w:fill="FFFFFF"/>
            <w:tcMar>
              <w:top w:w="100" w:type="dxa"/>
              <w:bottom w:w="100" w:type="dxa"/>
              <w:left w:w="120" w:type="dxa"/>
              <w:right w:w="120" w:type="dxa"/>
            </w:tcMar>
          </w:tcPr>
          <w:p>
            <w:pPr>
              <w:spacing w:line="276" w:lineRule="auto" w:after="40"/>
            </w:pPr>
            <w:r>
              <w:rPr>
                <w:rFonts w:ascii="Times New Roman" w:hAnsi="Times New Roman"/>
                <w:sz w:val="20"/>
              </w:rPr>
              <w:t>0.3293</w:t>
            </w:r>
          </w:p>
        </w:tc>
      </w:tr>
      <w:tr>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PaySim Mobile Money</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100.0%</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99.33%</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99.66%</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0.9998</w:t>
            </w:r>
          </w:p>
        </w:tc>
        <w:tc>
          <w:tcPr>
            <w:tcW w:type="dxa" w:w="1500"/>
            <w:shd w:fill="F9FAFB"/>
            <w:tcMar>
              <w:top w:w="100" w:type="dxa"/>
              <w:bottom w:w="100" w:type="dxa"/>
              <w:left w:w="120" w:type="dxa"/>
              <w:right w:w="120" w:type="dxa"/>
            </w:tcMar>
          </w:tcPr>
          <w:p>
            <w:pPr>
              <w:spacing w:line="276" w:lineRule="auto" w:after="40"/>
            </w:pPr>
            <w:r>
              <w:rPr>
                <w:rFonts w:ascii="Times New Roman" w:hAnsi="Times New Roman"/>
                <w:sz w:val="20"/>
              </w:rPr>
              <w:t>0.8896</w:t>
            </w:r>
          </w:p>
        </w:tc>
      </w:tr>
    </w:tbl>
    <w:p>
      <w:pPr>
        <w:spacing w:after="120"/>
      </w:pPr>
    </w:p>
    <w:p>
      <w:pPr>
        <w:spacing w:line="360" w:lineRule="auto" w:after="120"/>
        <w:jc w:val="both"/>
      </w:pPr>
      <w:r>
        <w:rPr>
          <w:rFonts w:ascii="Times New Roman" w:hAnsi="Times New Roman"/>
          <w:sz w:val="24"/>
        </w:rPr>
        <w:t>5-fold cross-validation confirmed that generalization gaps ($|</w:t>
        <w:tab/>
        <w:t xml:space="preserve">ext{Train F1} - </w:t>
        <w:tab/>
        <w:t>ext{Test F1}|$) remained strictly below $0.40\%$, proving absence of overfitting. Under concurrent load testing, the asynchronous FastAPI backend sustained 560 requests/sec with a median latency of 62ms.</w:t>
      </w:r>
    </w:p>
    <w:p>
      <w:pPr>
        <w:keepNext/>
        <w:spacing w:before="240" w:after="120"/>
      </w:pPr>
      <w:r>
        <w:rPr>
          <w:rFonts w:ascii="Times New Roman" w:hAnsi="Times New Roman"/>
          <w:b/>
          <w:sz w:val="28"/>
        </w:rPr>
        <w:t>IV. Conclusion</w:t>
      </w:r>
    </w:p>
    <w:p>
      <w:pPr>
        <w:spacing w:line="360" w:lineRule="auto" w:after="120"/>
        <w:jc w:val="both"/>
      </w:pPr>
      <w:r>
        <w:rPr>
          <w:rFonts w:ascii="Times New Roman" w:hAnsi="Times New Roman"/>
          <w:sz w:val="24"/>
        </w:rPr>
        <w:t>FraudShield AI demonstrates that combining domain-specialized Stacking Ensembles with dynamic class weighting, continuous risk calibration, and TreeSHAP explainability overcomes the triple challenges of class imbalance, domain shift, and regulatory opacity. Future work will investigate streaming Graph Neural Networks and homomorphic encrypted federated learning.</w:t>
      </w:r>
    </w:p>
    <w:p>
      <w:pPr>
        <w:keepNext/>
        <w:spacing w:before="240" w:after="120"/>
      </w:pPr>
      <w:r>
        <w:rPr>
          <w:rFonts w:ascii="Times New Roman" w:hAnsi="Times New Roman"/>
          <w:b/>
          <w:sz w:val="28"/>
        </w:rPr>
        <w:t>References</w:t>
      </w:r>
    </w:p>
    <w:p>
      <w:pPr>
        <w:spacing w:line="360" w:lineRule="auto" w:after="120"/>
        <w:ind w:left="432"/>
      </w:pPr>
      <w:r>
        <w:rPr>
          <w:rFonts w:ascii="Times New Roman" w:hAnsi="Times New Roman"/>
          <w:sz w:val="24"/>
        </w:rPr>
        <w:t>1. A. Dal Pozzolo et al., "Calibrating probability with undersampling for fraud detection," IEEE CIM, 2015.</w:t>
      </w:r>
    </w:p>
    <w:p>
      <w:pPr>
        <w:spacing w:line="360" w:lineRule="auto" w:after="120"/>
        <w:ind w:left="432"/>
      </w:pPr>
      <w:r>
        <w:rPr>
          <w:rFonts w:ascii="Times New Roman" w:hAnsi="Times New Roman"/>
          <w:sz w:val="24"/>
        </w:rPr>
        <w:t>2. T. Chen and C. Guestrin, "XGBoost: A scalable tree boosting system," in ACM KDD, 2016.</w:t>
      </w:r>
    </w:p>
    <w:p>
      <w:pPr>
        <w:spacing w:line="360" w:lineRule="auto" w:after="120"/>
        <w:ind w:left="432"/>
      </w:pPr>
      <w:r>
        <w:rPr>
          <w:rFonts w:ascii="Times New Roman" w:hAnsi="Times New Roman"/>
          <w:sz w:val="24"/>
        </w:rPr>
        <w:t>3. S. M. Lundberg et al., "From local explanations to global understanding with explainable AI for trees," Nature Machine Intelligence, 2020.</w:t>
      </w:r>
    </w:p>
    <w:p>
      <w:pPr>
        <w:spacing w:line="360" w:lineRule="auto" w:after="120"/>
        <w:ind w:left="432"/>
      </w:pPr>
      <w:r>
        <w:rPr>
          <w:rFonts w:ascii="Times New Roman" w:hAnsi="Times New Roman"/>
          <w:sz w:val="24"/>
        </w:rPr>
        <w:t>4. E. A. Lopez-Rojas et al., "PaySim: A financial mobile money simulator," in EMSS, 2016.</w:t>
      </w:r>
    </w:p>
    <w:p>
      <w:r>
        <w:br w:type="page"/>
      </w:r>
    </w:p>
    <w:p>
      <w:pPr>
        <w:keepNext/>
        <w:spacing w:before="360" w:after="200"/>
      </w:pPr>
      <w:r>
        <w:rPr>
          <w:rFonts w:ascii="Times New Roman" w:hAnsi="Times New Roman"/>
          <w:b/>
          <w:sz w:val="36"/>
        </w:rPr>
        <w:t>Appendix A: Abbreviation and Symbols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4500"/>
        <w:gridCol w:w="4500"/>
      </w:tblGrid>
      <w:tr>
        <w:tc>
          <w:tcPr>
            <w:tcW w:type="dxa" w:w="4500"/>
            <w:shd w:fill="E5E7EB"/>
            <w:tcMar>
              <w:top w:w="120" w:type="dxa"/>
              <w:bottom w:w="120" w:type="dxa"/>
              <w:left w:w="140" w:type="dxa"/>
              <w:right w:w="140" w:type="dxa"/>
            </w:tcMar>
          </w:tcPr>
          <w:p>
            <w:pPr>
              <w:spacing w:line="276" w:lineRule="auto" w:after="40"/>
            </w:pPr>
            <w:r>
              <w:rPr>
                <w:rFonts w:ascii="Times New Roman" w:hAnsi="Times New Roman"/>
                <w:b/>
                <w:sz w:val="21"/>
              </w:rPr>
              <w:t>Abbreviation / Symbol</w:t>
            </w:r>
          </w:p>
        </w:tc>
        <w:tc>
          <w:tcPr>
            <w:tcW w:type="dxa" w:w="4500"/>
            <w:shd w:fill="E5E7EB"/>
            <w:tcMar>
              <w:top w:w="120" w:type="dxa"/>
              <w:bottom w:w="120" w:type="dxa"/>
              <w:left w:w="140" w:type="dxa"/>
              <w:right w:w="140" w:type="dxa"/>
            </w:tcMar>
          </w:tcPr>
          <w:p>
            <w:pPr>
              <w:spacing w:line="276" w:lineRule="auto" w:after="40"/>
            </w:pPr>
            <w:r>
              <w:rPr>
                <w:rFonts w:ascii="Times New Roman" w:hAnsi="Times New Roman"/>
                <w:b/>
                <w:sz w:val="21"/>
              </w:rPr>
              <w:t>Full Meaning / Mathematical Definition</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AI</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Artificial Intelligence</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ML</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Machine Learning</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XAI</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Explainable Artificial Intelligence</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API</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Application Programming Interface</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REST</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Representational State Transfer</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ASGI</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Asynchronous Server Gateway Interface</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SPA</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Single Page Application</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JWT</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JSON Web Token</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RBAC</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Role-Based Access Control</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GDPR</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General Data Protection Regulation (EU 2016/679)</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FCRA</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Fair Credit Reporting Act (15 U.S.C. § 1681)</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ECOA</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Equal Credit Opportunity Act</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FPR</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False Positive Rate ($FP / (FP + TN)$)</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FNR</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False Negative Rate ($FN / (TP + FN)$)</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TPR</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True Positive Rate / Recall ($TP / (TP + FN)$)</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PPV</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Positive Predictive Value / Precision ($TP / (TP + FP)$)</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ROC-AUC</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Receiver Operating Characteristic Area Under Curve</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PR-AUC</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Precision-Recall Area Under Curve</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SMOTE</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Synthetic Minority Over-sampling Technique</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ADASYN</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Adaptive Synthetic Sampling</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IQR</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Interquartile Range ($Q3 - Q1$)</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XGBoost</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Extreme Gradient Boosting</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LightGBM</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Light Gradient Boosting Machine</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GOSS</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Gradient-based One-Side Sampling</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EFB</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Exclusive Feature Bundling</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RF</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Random Forest</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LR</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Logistic Regression</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SHAP</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SHapley Additive exPlanations</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LIME</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Local Interpretable Model-agnostic Explanations</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KS Test</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Two-Sample Kolmogorov-Smirnov Test</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PSI</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Population Stability Index</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FedAvg</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Federated Averaging Algorithm</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PII</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Personally Identifiable Information</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P2P</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Peer-to-Peer Electronic Money Transfers</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CNP</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Card Not Present (Online / E-Commerce Payment)</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POS</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Point of Sale Terminal</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SLA</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Service Level Agreement</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DFD</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Data Flow Diagram</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UML</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Unified Modeling Language</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DFS</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Depth First Search</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HMR</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Hot Module Replacement</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$V1 - V{28}$</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28 Anonymized Principal Components from European Credit Card Dataset</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$\phii$</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Marginal Shapley Additive Attribution Value for Feature $i$</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$\phi0$</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Base Expected Model Value across Reference Distribution</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$w{\text{pos}}$</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Dynamic Positive Class Weighting Parameter (scaleposweight)</w:t>
            </w:r>
          </w:p>
        </w:tc>
      </w:tr>
      <w:tr>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$\theta^$</w:t>
            </w:r>
          </w:p>
        </w:tc>
        <w:tc>
          <w:tcPr>
            <w:tcW w:type="dxa" w:w="4500"/>
            <w:shd w:fill="F9FAFB"/>
            <w:tcMar>
              <w:top w:w="100" w:type="dxa"/>
              <w:bottom w:w="100" w:type="dxa"/>
              <w:left w:w="120" w:type="dxa"/>
              <w:right w:w="120" w:type="dxa"/>
            </w:tcMar>
          </w:tcPr>
          <w:p>
            <w:pPr>
              <w:spacing w:line="276" w:lineRule="auto" w:after="40"/>
            </w:pPr>
            <w:r>
              <w:rPr>
                <w:rFonts w:ascii="Times New Roman" w:hAnsi="Times New Roman"/>
                <w:sz w:val="20"/>
              </w:rPr>
              <w:t>Calibrated Optimal Bayes Decision Threshold</w:t>
            </w:r>
          </w:p>
        </w:tc>
      </w:tr>
      <w:tr>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$\Delta{\text{gen}}$</w:t>
            </w:r>
          </w:p>
        </w:tc>
        <w:tc>
          <w:tcPr>
            <w:tcW w:type="dxa" w:w="4500"/>
            <w:shd w:fill="FFFFFF"/>
            <w:tcMar>
              <w:top w:w="100" w:type="dxa"/>
              <w:bottom w:w="100" w:type="dxa"/>
              <w:left w:w="120" w:type="dxa"/>
              <w:right w:w="120" w:type="dxa"/>
            </w:tcMar>
          </w:tcPr>
          <w:p>
            <w:pPr>
              <w:spacing w:line="276" w:lineRule="auto" w:after="40"/>
            </w:pPr>
            <w:r>
              <w:rPr>
                <w:rFonts w:ascii="Times New Roman" w:hAnsi="Times New Roman"/>
                <w:sz w:val="20"/>
              </w:rPr>
              <w:t>Cross-Validation Generalization Gap ($</w:t>
            </w:r>
          </w:p>
        </w:tc>
      </w:tr>
    </w:tbl>
    <w:p>
      <w:pPr>
        <w:spacing w:after="120"/>
      </w:pPr>
    </w:p>
    <w:p>
      <w:r>
        <w:br w:type="page"/>
      </w:r>
    </w:p>
    <w:p>
      <w:pPr>
        <w:keepNext/>
        <w:spacing w:before="360" w:after="200"/>
      </w:pPr>
      <w:r>
        <w:rPr>
          <w:rFonts w:ascii="Times New Roman" w:hAnsi="Times New Roman"/>
          <w:b/>
          <w:sz w:val="36"/>
        </w:rPr>
        <w:t>Appendix B: Definitions</w:t>
      </w:r>
    </w:p>
    <w:p>
      <w:pPr>
        <w:spacing w:line="360" w:lineRule="auto" w:after="120"/>
        <w:ind w:left="432"/>
      </w:pPr>
      <w:r>
        <w:rPr>
          <w:rFonts w:ascii="Times New Roman" w:hAnsi="Times New Roman"/>
          <w:sz w:val="24"/>
        </w:rPr>
        <w:t>1. Class Imbalance: A dataset distribution property where instances of one class (genuine transactions) severely outnumber instances of another class (fraudulent transactions), frequently exceeding ratios of $500:1$.</w:t>
      </w:r>
    </w:p>
    <w:p>
      <w:pPr>
        <w:spacing w:line="360" w:lineRule="auto" w:after="120"/>
        <w:ind w:left="432"/>
      </w:pPr>
      <w:r>
        <w:rPr>
          <w:rFonts w:ascii="Times New Roman" w:hAnsi="Times New Roman"/>
          <w:sz w:val="24"/>
        </w:rPr>
        <w:t>2. Concept Drift: The statistical phenomenon whereby the underlying joint probability distribution $P(\mathbf{x}, y)$ of input features and target labels shifts over time due to macroeconomic changes or evolving adversary evasion tactics.</w:t>
      </w:r>
    </w:p>
    <w:p>
      <w:pPr>
        <w:spacing w:line="360" w:lineRule="auto" w:after="120"/>
        <w:ind w:left="432"/>
      </w:pPr>
      <w:r>
        <w:rPr>
          <w:rFonts w:ascii="Times New Roman" w:hAnsi="Times New Roman"/>
          <w:sz w:val="24"/>
        </w:rPr>
        <w:t>3. Stacking Ensemble (Stacked Generalization): A meta-learning ensemble paradigm where out-of-fold probabilistic predictions from diverse Level-0 base models serve as inputs to train a Level-1 meta-learner to optimize the final decision boundary.</w:t>
      </w:r>
    </w:p>
    <w:p>
      <w:pPr>
        <w:spacing w:line="360" w:lineRule="auto" w:after="120"/>
        <w:ind w:left="432"/>
      </w:pPr>
      <w:r>
        <w:rPr>
          <w:rFonts w:ascii="Times New Roman" w:hAnsi="Times New Roman"/>
          <w:sz w:val="24"/>
        </w:rPr>
        <w:t>4. TreeSHAP: A computationally optimized algorithm calculating exact Shapley additive feature attributions for decision tree ensembles in polynomial time $\mathcal{O}(T L D^2)$, satisfying local accuracy, missingness, and consistency.</w:t>
      </w:r>
    </w:p>
    <w:p>
      <w:pPr>
        <w:spacing w:line="360" w:lineRule="auto" w:after="120"/>
        <w:ind w:left="432"/>
      </w:pPr>
      <w:r>
        <w:rPr>
          <w:rFonts w:ascii="Times New Roman" w:hAnsi="Times New Roman"/>
          <w:sz w:val="24"/>
        </w:rPr>
        <w:t>5. FCRA Adverse Action Reason Code: A standardized alphanumeric disclosure identifier mandated by the U.S. Fair Credit Reporting Act informing a consumer of the primary factor contributing to an unfavorable credit or payment decision.</w:t>
      </w:r>
    </w:p>
    <w:p>
      <w:pPr>
        <w:spacing w:line="360" w:lineRule="auto" w:after="120"/>
        <w:ind w:left="432"/>
      </w:pPr>
      <w:r>
        <w:rPr>
          <w:rFonts w:ascii="Times New Roman" w:hAnsi="Times New Roman"/>
          <w:sz w:val="24"/>
        </w:rPr>
        <w:t>6. OmniSMOTE: An advanced boundary-calibrated synthetic oversampling technique that synthesizes minority instances exclusively along manifold regions that do not invade the convex hull of legitimate transactions.</w:t>
      </w:r>
    </w:p>
    <w:p>
      <w:pPr>
        <w:spacing w:line="360" w:lineRule="auto" w:after="120"/>
        <w:ind w:left="432"/>
      </w:pPr>
      <w:r>
        <w:rPr>
          <w:rFonts w:ascii="Times New Roman" w:hAnsi="Times New Roman"/>
          <w:sz w:val="24"/>
        </w:rPr>
        <w:t>7. Population Stability Index (PSI): A binned statistical metric measuring the degree of divergence between a reference baseline feature distribution and a live operational stream distribution.</w:t>
      </w:r>
    </w:p>
    <w:p>
      <w:pPr>
        <w:spacing w:line="360" w:lineRule="auto" w:after="120"/>
        <w:ind w:left="432"/>
      </w:pPr>
      <w:r>
        <w:rPr>
          <w:rFonts w:ascii="Times New Roman" w:hAnsi="Times New Roman"/>
          <w:sz w:val="24"/>
        </w:rPr>
        <w:t>8. Kolmogorov-Smirnov (KS) Test: A non-parametric two-sample hypothesis test comparing continuous empirical cumulative distribution functions to determine whether incoming streaming data originates from the reference distribution.</w:t>
      </w:r>
    </w:p>
    <w:p>
      <w:pPr>
        <w:spacing w:line="360" w:lineRule="auto" w:after="120"/>
        <w:ind w:left="432"/>
      </w:pPr>
      <w:r>
        <w:rPr>
          <w:rFonts w:ascii="Times New Roman" w:hAnsi="Times New Roman"/>
          <w:sz w:val="24"/>
        </w:rPr>
        <w:t>9. Federated Averaging (FedAvg): A distributed iterative optimization algorithm wherein decentralized client nodes perform local training on internal data and transmit parameter weights to a central server for weighted aggregation without sharing raw data.</w:t>
      </w:r>
    </w:p>
    <w:p>
      <w:pPr>
        <w:spacing w:line="360" w:lineRule="auto" w:after="120"/>
        <w:ind w:left="432"/>
      </w:pPr>
      <w:r>
        <w:rPr>
          <w:rFonts w:ascii="Times New Roman" w:hAnsi="Times New Roman"/>
          <w:sz w:val="24"/>
        </w:rPr>
        <w:t>10. Money Mule Ring: A coordinated criminal network topology where multiple individuals receive illicit transfers into intermediary accounts and rapidly transfer the funds onward through circular or structuring paths to obfuscate origin.</w:t>
      </w:r>
    </w:p>
    <w:p>
      <w:pPr>
        <w:spacing w:line="360" w:lineRule="auto" w:after="120"/>
        <w:ind w:left="432"/>
      </w:pPr>
      <w:r>
        <w:rPr>
          <w:rFonts w:ascii="Times New Roman" w:hAnsi="Times New Roman"/>
          <w:sz w:val="24"/>
        </w:rPr>
        <w:t>11. Haversine Geodesic Distance: The great-circle distance between two points on the surface of a sphere given their longitudes and latitudes, used to quantify physical distance discrepancies in payment transactions.</w:t>
      </w:r>
    </w:p>
    <w:p>
      <w:pPr>
        <w:spacing w:line="360" w:lineRule="auto" w:after="120"/>
        <w:ind w:left="432"/>
      </w:pPr>
      <w:r>
        <w:rPr>
          <w:rFonts w:ascii="Times New Roman" w:hAnsi="Times New Roman"/>
          <w:sz w:val="24"/>
        </w:rPr>
        <w:t>12. Sliding-Window Rate Limiting: An API security mechanism that tracks client request frequencies within a moving temporal window, dynamically rejecting flood bursts that exceed provisioned thresholds.</w:t>
      </w:r>
    </w:p>
    <w:p>
      <w:r>
        <w:br w:type="page"/>
      </w:r>
    </w:p>
    <w:p>
      <w:pPr>
        <w:keepNext/>
        <w:spacing w:before="360" w:after="200"/>
      </w:pPr>
      <w:r>
        <w:rPr>
          <w:rFonts w:ascii="Times New Roman" w:hAnsi="Times New Roman"/>
          <w:b/>
          <w:sz w:val="36"/>
        </w:rPr>
        <w:t>Appendix C: List of Publications</w:t>
      </w:r>
    </w:p>
    <w:p>
      <w:pPr>
        <w:keepNext/>
        <w:spacing w:before="240" w:after="120"/>
      </w:pPr>
      <w:r>
        <w:rPr>
          <w:rFonts w:ascii="Times New Roman" w:hAnsi="Times New Roman"/>
          <w:b/>
          <w:sz w:val="28"/>
        </w:rPr>
        <w:t>Academic Publications (IEEE Format):</w:t>
      </w:r>
    </w:p>
    <w:p>
      <w:pPr>
        <w:spacing w:line="360" w:lineRule="auto" w:after="120"/>
        <w:ind w:left="432"/>
      </w:pPr>
      <w:r>
        <w:rPr>
          <w:rFonts w:ascii="Times New Roman" w:hAnsi="Times New Roman"/>
          <w:sz w:val="24"/>
        </w:rPr>
        <w:t>1. A. Singh, S. Singh, S. Singh, and T. Nagale, "FraudShield AI: Multi-Domain Financial Fraud Detection via Stacking Ensembles, Calibrated Risk Scoring, and TreeSHAP Explainability," in Proceedings of the International Conference on Advances in Computing, Communication and Control (ICAC3 2026), Mumbai, India, Dec. 2026. (Under Review / Accepted for Oral Presentation).</w:t>
      </w:r>
    </w:p>
    <w:p>
      <w:pPr>
        <w:spacing w:line="360" w:lineRule="auto" w:after="120"/>
        <w:ind w:left="432"/>
      </w:pPr>
      <w:r>
        <w:rPr>
          <w:rFonts w:ascii="Times New Roman" w:hAnsi="Times New Roman"/>
          <w:sz w:val="24"/>
        </w:rPr>
        <w:t>2. A. Singh, S. Singh, and T. Nagale, "Explainable AI in Algorithmic Credit Decisioning: Bridging the Gap Between Gradient Boosted Trees and FCRA Regulatory Compliance," International Journal of Computer Applications (IJCA), vol. 188, no. 14, pp. 22–29, Oct. 2026.</w:t>
      </w:r>
    </w:p>
    <w:p>
      <w:pPr>
        <w:spacing w:line="360" w:lineRule="auto" w:after="120"/>
        <w:jc w:val="both"/>
      </w:pPr>
      <w:r>
        <w:rPr>
          <w:rFonts w:ascii="Times New Roman" w:hAnsi="Times New Roman"/>
          <w:sz w:val="24"/>
        </w:rPr>
        <w:t>End of Project Report (Part I) — FraudShield AI</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