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6547" w:rsidRDefault="00E171F1">
      <w:pPr>
        <w:pStyle w:val="BodyText"/>
        <w:ind w:left="5167"/>
        <w:rPr>
          <w:sz w:val="20"/>
        </w:rPr>
      </w:pPr>
      <w:r>
        <w:rPr>
          <w:noProof/>
        </w:rPr>
        <w:drawing>
          <wp:inline distT="0" distB="0" distL="0" distR="0" wp14:anchorId="26F42751" wp14:editId="7F9514DB">
            <wp:extent cx="962025" cy="1099105"/>
            <wp:effectExtent l="0" t="0" r="0" b="6350"/>
            <wp:docPr id="20" name="Picture 20" descr="C:\Users\Foram Shah\Downloads\TCET Logo Digital .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oram Shah\Downloads\TCET Logo Digital .jpg.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79331" cy="1118877"/>
                    </a:xfrm>
                    <a:prstGeom prst="rect">
                      <a:avLst/>
                    </a:prstGeom>
                    <a:noFill/>
                    <a:ln>
                      <a:noFill/>
                    </a:ln>
                  </pic:spPr>
                </pic:pic>
              </a:graphicData>
            </a:graphic>
          </wp:inline>
        </w:drawing>
      </w:r>
    </w:p>
    <w:p w:rsidR="00186547" w:rsidRDefault="00AB4722">
      <w:pPr>
        <w:spacing w:before="149" w:line="321" w:lineRule="exact"/>
        <w:ind w:left="3265" w:right="2905"/>
        <w:jc w:val="center"/>
        <w:rPr>
          <w:sz w:val="28"/>
        </w:rPr>
      </w:pPr>
      <w:r>
        <w:rPr>
          <w:sz w:val="28"/>
        </w:rPr>
        <w:t>Project</w:t>
      </w:r>
      <w:r>
        <w:rPr>
          <w:spacing w:val="-4"/>
          <w:sz w:val="28"/>
        </w:rPr>
        <w:t xml:space="preserve"> </w:t>
      </w:r>
      <w:r>
        <w:rPr>
          <w:sz w:val="28"/>
        </w:rPr>
        <w:t>Report</w:t>
      </w:r>
      <w:r>
        <w:rPr>
          <w:spacing w:val="-3"/>
          <w:sz w:val="28"/>
        </w:rPr>
        <w:t xml:space="preserve"> </w:t>
      </w:r>
      <w:r>
        <w:rPr>
          <w:sz w:val="28"/>
        </w:rPr>
        <w:t>(Part</w:t>
      </w:r>
      <w:r>
        <w:rPr>
          <w:spacing w:val="-3"/>
          <w:sz w:val="28"/>
        </w:rPr>
        <w:t xml:space="preserve"> </w:t>
      </w:r>
      <w:r>
        <w:rPr>
          <w:spacing w:val="-5"/>
          <w:sz w:val="28"/>
        </w:rPr>
        <w:t>I)</w:t>
      </w:r>
    </w:p>
    <w:p w:rsidR="00186547" w:rsidRDefault="00AB4722">
      <w:pPr>
        <w:pStyle w:val="BodyText"/>
        <w:spacing w:line="275" w:lineRule="exact"/>
        <w:ind w:left="3265" w:right="2903"/>
        <w:jc w:val="center"/>
      </w:pPr>
      <w:r>
        <w:rPr>
          <w:spacing w:val="-5"/>
        </w:rPr>
        <w:t>on</w:t>
      </w:r>
    </w:p>
    <w:p w:rsidR="00186547" w:rsidRDefault="00AB4722">
      <w:pPr>
        <w:pStyle w:val="BodyText"/>
        <w:ind w:left="3265" w:right="2905"/>
        <w:jc w:val="center"/>
      </w:pPr>
      <w:r/>
    </w:p>
    <w:p w:rsidR="00186547" w:rsidRDefault="00AB4722">
      <w:pPr>
        <w:pStyle w:val="Title"/>
        <w:spacing w:line="276" w:lineRule="auto"/>
        <w:jc w:val="center"/>
      </w:pPr>
      <w:r/>
      <w:r>
        <w:rPr>
          <w:rFonts w:ascii="Times New Roman" w:hAnsi="Times New Roman"/>
          <w:b/>
          <w:sz w:val="44"/>
        </w:rPr>
        <w:t>FraudShield AI: An Intelligent Real-Time Financial Transaction &amp; Credit Card Fraud Detection Platform Using Hybrid Stacking Ensemble and Explainable AI (XAI)</w:t>
      </w:r>
    </w:p>
    <w:p w:rsidR="00186547" w:rsidRDefault="00AB4722">
      <w:pPr>
        <w:pStyle w:val="BodyText"/>
        <w:spacing w:line="273" w:lineRule="exact"/>
        <w:ind w:left="3826"/>
      </w:pPr>
      <w:r/>
    </w:p>
    <w:p w:rsidR="00186547" w:rsidRDefault="00AB4722">
      <w:pPr>
        <w:ind w:left="6121" w:right="2895" w:hanging="2761"/>
        <w:rPr>
          <w:i/>
          <w:sz w:val="24"/>
        </w:rPr>
      </w:pPr>
      <w:r>
        <w:rPr>
          <w:i/>
          <w:sz w:val="24"/>
        </w:rPr>
        <w:t>Submitted</w:t>
      </w:r>
      <w:r>
        <w:rPr>
          <w:i/>
          <w:spacing w:val="-7"/>
          <w:sz w:val="24"/>
        </w:rPr>
        <w:t xml:space="preserve"> </w:t>
      </w:r>
      <w:r>
        <w:rPr>
          <w:i/>
          <w:sz w:val="24"/>
        </w:rPr>
        <w:t>in</w:t>
      </w:r>
      <w:r>
        <w:rPr>
          <w:i/>
          <w:spacing w:val="-7"/>
          <w:sz w:val="24"/>
        </w:rPr>
        <w:t xml:space="preserve"> </w:t>
      </w:r>
      <w:r>
        <w:rPr>
          <w:i/>
          <w:sz w:val="24"/>
        </w:rPr>
        <w:t>partial</w:t>
      </w:r>
      <w:r>
        <w:rPr>
          <w:i/>
          <w:spacing w:val="-7"/>
          <w:sz w:val="24"/>
        </w:rPr>
        <w:t xml:space="preserve"> </w:t>
      </w:r>
      <w:r>
        <w:rPr>
          <w:i/>
          <w:sz w:val="24"/>
        </w:rPr>
        <w:t>fulfillment</w:t>
      </w:r>
      <w:r>
        <w:rPr>
          <w:i/>
          <w:spacing w:val="-7"/>
          <w:sz w:val="24"/>
        </w:rPr>
        <w:t xml:space="preserve"> </w:t>
      </w:r>
      <w:r>
        <w:rPr>
          <w:i/>
          <w:sz w:val="24"/>
        </w:rPr>
        <w:t>for</w:t>
      </w:r>
      <w:r>
        <w:rPr>
          <w:i/>
          <w:spacing w:val="-7"/>
          <w:sz w:val="24"/>
        </w:rPr>
        <w:t xml:space="preserve"> </w:t>
      </w:r>
      <w:r>
        <w:rPr>
          <w:i/>
          <w:sz w:val="24"/>
        </w:rPr>
        <w:t>the</w:t>
      </w:r>
      <w:r>
        <w:rPr>
          <w:i/>
          <w:spacing w:val="-7"/>
          <w:sz w:val="24"/>
        </w:rPr>
        <w:t xml:space="preserve"> </w:t>
      </w:r>
      <w:r>
        <w:rPr>
          <w:i/>
          <w:sz w:val="24"/>
        </w:rPr>
        <w:t>award</w:t>
      </w:r>
      <w:r>
        <w:rPr>
          <w:i/>
          <w:spacing w:val="-7"/>
          <w:sz w:val="24"/>
        </w:rPr>
        <w:t xml:space="preserve"> </w:t>
      </w:r>
      <w:r>
        <w:rPr>
          <w:i/>
          <w:sz w:val="24"/>
        </w:rPr>
        <w:t>of</w:t>
      </w:r>
      <w:r>
        <w:rPr>
          <w:i/>
          <w:spacing w:val="-7"/>
          <w:sz w:val="24"/>
        </w:rPr>
        <w:t xml:space="preserve"> </w:t>
      </w:r>
      <w:r>
        <w:rPr>
          <w:i/>
          <w:sz w:val="24"/>
        </w:rPr>
        <w:t>the</w:t>
      </w:r>
      <w:r>
        <w:rPr>
          <w:i/>
          <w:spacing w:val="-8"/>
          <w:sz w:val="24"/>
        </w:rPr>
        <w:t xml:space="preserve"> </w:t>
      </w:r>
      <w:r>
        <w:rPr>
          <w:i/>
          <w:sz w:val="24"/>
        </w:rPr>
        <w:t xml:space="preserve">degree </w:t>
      </w:r>
      <w:r>
        <w:rPr>
          <w:i/>
          <w:spacing w:val="-6"/>
          <w:sz w:val="24"/>
        </w:rPr>
        <w:t>of</w:t>
      </w:r>
    </w:p>
    <w:p w:rsidR="00186547" w:rsidRDefault="00AB4722">
      <w:pPr>
        <w:pStyle w:val="BodyText"/>
        <w:ind w:left="4505"/>
      </w:pPr>
      <w:r/>
    </w:p>
    <w:p w:rsidR="00186547" w:rsidRDefault="00AB4722">
      <w:pPr>
        <w:pStyle w:val="Heading1"/>
        <w:spacing w:before="7"/>
      </w:pPr>
      <w:r>
        <w:t>BACHELOR</w:t>
      </w:r>
      <w:r>
        <w:rPr>
          <w:spacing w:val="-14"/>
        </w:rPr>
        <w:t xml:space="preserve"> </w:t>
      </w:r>
      <w:r>
        <w:t>OF</w:t>
      </w:r>
      <w:r>
        <w:rPr>
          <w:spacing w:val="-20"/>
        </w:rPr>
        <w:t xml:space="preserve"> </w:t>
      </w:r>
      <w:r>
        <w:rPr>
          <w:spacing w:val="-2"/>
        </w:rPr>
        <w:t>ENGINEERING</w:t>
      </w:r>
    </w:p>
    <w:p w:rsidR="00186547" w:rsidRDefault="00AB4722">
      <w:pPr>
        <w:pStyle w:val="BodyText"/>
        <w:spacing w:line="273" w:lineRule="exact"/>
        <w:ind w:left="3265" w:right="2907"/>
        <w:jc w:val="center"/>
      </w:pPr>
      <w:r/>
    </w:p>
    <w:p w:rsidR="00186547" w:rsidRDefault="00AB4722">
      <w:pPr>
        <w:spacing w:line="275" w:lineRule="exact"/>
        <w:ind w:left="3265" w:right="2905"/>
        <w:jc w:val="center"/>
        <w:rPr>
          <w:i/>
          <w:sz w:val="24"/>
        </w:rPr>
      </w:pPr>
      <w:r>
        <w:rPr>
          <w:i/>
          <w:spacing w:val="-5"/>
          <w:sz w:val="24"/>
        </w:rPr>
        <w:t>In</w:t>
      </w:r>
    </w:p>
    <w:p w:rsidR="00186547" w:rsidRDefault="00AB4722">
      <w:pPr>
        <w:pStyle w:val="BodyText"/>
        <w:spacing w:line="275" w:lineRule="exact"/>
        <w:ind w:left="3265" w:right="2907"/>
        <w:jc w:val="center"/>
      </w:pPr>
      <w:r/>
    </w:p>
    <w:p w:rsidR="00186547" w:rsidRDefault="00AB4722">
      <w:pPr>
        <w:pStyle w:val="Heading1"/>
        <w:spacing w:before="7"/>
      </w:pPr>
      <w:r w:rsidRPr="00E171F1">
        <w:rPr>
          <w:color w:val="000000"/>
          <w:spacing w:val="-2"/>
        </w:rPr>
        <w:t>COMPUTER</w:t>
      </w:r>
      <w:r w:rsidRPr="00E171F1">
        <w:rPr>
          <w:color w:val="000000"/>
          <w:spacing w:val="-5"/>
        </w:rPr>
        <w:t xml:space="preserve"> </w:t>
      </w:r>
      <w:r w:rsidRPr="00E171F1">
        <w:rPr>
          <w:color w:val="000000"/>
          <w:spacing w:val="-2"/>
        </w:rPr>
        <w:t>ENGINEERING</w:t>
      </w:r>
    </w:p>
    <w:p w:rsidR="00186547" w:rsidRDefault="00AB4722">
      <w:pPr>
        <w:pStyle w:val="BodyText"/>
        <w:ind w:left="5477" w:right="3966" w:hanging="696"/>
        <w:jc w:val="center"/>
      </w:pPr>
      <w:r/>
      <w:r>
        <w:rPr>
          <w:rFonts w:ascii="Times New Roman" w:hAnsi="Times New Roman"/>
          <w:b/>
          <w:sz w:val="28"/>
        </w:rPr>
        <w:t>Submitted by</w:t>
      </w:r>
    </w:p>
    <w:p w:rsidR="00186547" w:rsidRDefault="00AB4722">
      <w:pPr>
        <w:pStyle w:val="BodyText"/>
        <w:ind w:left="4801" w:right="3966" w:hanging="20"/>
        <w:jc w:val="center"/>
      </w:pPr>
      <w:r/>
      <w:r>
        <w:rPr>
          <w:rFonts w:ascii="Times New Roman" w:hAnsi="Times New Roman"/>
          <w:b/>
          <w:sz w:val="24"/>
        </w:rPr>
        <w:t>Ashmit Singh (Roll No. 10)</w:t>
        <w:br/>
      </w:r>
      <w:r>
        <w:rPr>
          <w:rFonts w:ascii="Times New Roman" w:hAnsi="Times New Roman"/>
          <w:b/>
          <w:sz w:val="24"/>
        </w:rPr>
        <w:t>Sumit Singh (Roll No. 21)</w:t>
        <w:br/>
      </w:r>
      <w:r>
        <w:rPr>
          <w:rFonts w:ascii="Times New Roman" w:hAnsi="Times New Roman"/>
          <w:b/>
          <w:sz w:val="24"/>
        </w:rPr>
        <w:t>Shivam Singh (Roll No. 19)</w:t>
        <w:br/>
      </w:r>
    </w:p>
    <w:p w:rsidR="00186547" w:rsidRDefault="00AB4722">
      <w:pPr>
        <w:pStyle w:val="BodyText"/>
        <w:ind w:left="4781"/>
      </w:pPr>
      <w:r/>
    </w:p>
    <w:p w:rsidR="00186547" w:rsidRDefault="00186547">
      <w:pPr>
        <w:pStyle w:val="BodyText"/>
        <w:spacing w:before="2"/>
      </w:pPr>
    </w:p>
    <w:p w:rsidR="00186547" w:rsidRDefault="00AB4722">
      <w:pPr>
        <w:spacing w:line="274" w:lineRule="exact"/>
        <w:ind w:left="3265" w:right="2906"/>
        <w:jc w:val="center"/>
        <w:rPr>
          <w:b/>
          <w:i/>
          <w:sz w:val="24"/>
        </w:rPr>
      </w:pPr>
      <w:r/>
      <w:r>
        <w:rPr>
          <w:rFonts w:ascii="Times New Roman" w:hAnsi="Times New Roman"/>
          <w:b/>
          <w:i/>
          <w:sz w:val="24"/>
        </w:rPr>
        <w:t>Under the Guidance of</w:t>
      </w:r>
    </w:p>
    <w:p w:rsidR="00186547" w:rsidRDefault="00AB4722">
      <w:pPr>
        <w:pStyle w:val="BodyText"/>
        <w:spacing w:line="274" w:lineRule="exact"/>
        <w:ind w:left="3265" w:right="2905"/>
        <w:jc w:val="center"/>
      </w:pPr>
      <w:r/>
    </w:p>
    <w:p w:rsidR="00186547" w:rsidRDefault="00AB4722">
      <w:pPr>
        <w:pStyle w:val="Heading3"/>
        <w:spacing w:before="6" w:line="319" w:lineRule="exact"/>
        <w:ind w:right="2906"/>
        <w:jc w:val="center"/>
      </w:pPr>
      <w:r/>
      <w:r>
        <w:rPr>
          <w:rFonts w:ascii="Times New Roman" w:hAnsi="Times New Roman"/>
          <w:b/>
          <w:sz w:val="28"/>
        </w:rPr>
        <w:t>Ms. Tanmayi Nagale</w:t>
      </w:r>
    </w:p>
    <w:p w:rsidR="00186547" w:rsidRDefault="00AB4722">
      <w:pPr>
        <w:pStyle w:val="BodyText"/>
        <w:spacing w:line="273" w:lineRule="exact"/>
        <w:ind w:left="3265" w:right="2907"/>
        <w:jc w:val="center"/>
      </w:pPr>
      <w:r/>
    </w:p>
    <w:p w:rsidR="00186547" w:rsidRDefault="00186547">
      <w:pPr>
        <w:pStyle w:val="BodyText"/>
        <w:spacing w:before="6"/>
      </w:pPr>
    </w:p>
    <w:p w:rsidR="00186547" w:rsidRDefault="00AB4722">
      <w:pPr>
        <w:pStyle w:val="Heading3"/>
        <w:spacing w:line="319" w:lineRule="exact"/>
        <w:jc w:val="center"/>
      </w:pPr>
      <w:r/>
      <w:r>
        <w:rPr>
          <w:rFonts w:ascii="Times New Roman" w:hAnsi="Times New Roman"/>
          <w:b/>
          <w:sz w:val="28"/>
        </w:rPr>
        <w:t>Assistant Professor</w:t>
      </w:r>
    </w:p>
    <w:p w:rsidR="00186547" w:rsidRDefault="00AB4722">
      <w:pPr>
        <w:pStyle w:val="BodyText"/>
        <w:spacing w:line="273" w:lineRule="exact"/>
        <w:ind w:left="3265" w:right="2907"/>
        <w:jc w:val="center"/>
      </w:pPr>
      <w:r/>
    </w:p>
    <w:p w:rsidR="00186547" w:rsidRDefault="00186547">
      <w:pPr>
        <w:pStyle w:val="BodyText"/>
        <w:spacing w:before="6"/>
      </w:pPr>
    </w:p>
    <w:p w:rsidR="00186547" w:rsidRDefault="00AB4722">
      <w:pPr>
        <w:pStyle w:val="Heading3"/>
        <w:ind w:right="2833"/>
        <w:jc w:val="center"/>
      </w:pPr>
      <w:r/>
      <w:r>
        <w:rPr>
          <w:rFonts w:ascii="Times New Roman" w:hAnsi="Times New Roman"/>
          <w:b/>
          <w:sz w:val="28"/>
        </w:rPr>
        <w:t>Department of Computer Engineering</w:t>
        <w:br/>
        <w:t>(Academic Year 2026-27)</w:t>
      </w:r>
    </w:p>
    <w:p w:rsidR="00186547" w:rsidRDefault="00AB4722">
      <w:pPr>
        <w:pStyle w:val="BodyText"/>
        <w:spacing w:before="269"/>
        <w:ind w:left="4457"/>
      </w:pPr>
      <w:r/>
    </w:p>
    <w:p w:rsidR="008439AE" w:rsidRDefault="008439AE" w:rsidP="00E171F1">
      <w:pPr>
        <w:pStyle w:val="BodyText"/>
        <w:jc w:val="center"/>
        <w:rPr>
          <w:noProof/>
          <w:lang w:val="en-IN" w:eastAsia="en-IN"/>
        </w:rPr>
      </w:pPr>
    </w:p>
    <w:p w:rsidR="00186547" w:rsidRDefault="008439AE" w:rsidP="008439AE">
      <w:pPr>
        <w:pStyle w:val="BodyText"/>
        <w:jc w:val="center"/>
        <w:rPr>
          <w:sz w:val="14"/>
        </w:rPr>
      </w:pPr>
      <w:r>
        <w:rPr>
          <w:noProof/>
          <w:sz w:val="14"/>
          <w:lang w:val="en-IN" w:eastAsia="en-IN"/>
        </w:rPr>
        <w:drawing>
          <wp:inline distT="0" distB="0" distL="0" distR="0">
            <wp:extent cx="6972300" cy="1162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72300" cy="1162050"/>
                    </a:xfrm>
                    <a:prstGeom prst="rect">
                      <a:avLst/>
                    </a:prstGeom>
                    <a:noFill/>
                    <a:ln>
                      <a:noFill/>
                    </a:ln>
                  </pic:spPr>
                </pic:pic>
              </a:graphicData>
            </a:graphic>
          </wp:inline>
        </w:drawing>
      </w:r>
    </w:p>
    <w:p w:rsidR="00186547" w:rsidRDefault="00186547">
      <w:pPr>
        <w:pStyle w:val="BodyText"/>
        <w:rPr>
          <w:sz w:val="14"/>
        </w:rPr>
        <w:sectPr w:rsidR="00186547">
          <w:type w:val="continuous"/>
          <w:pgSz w:w="12240" w:h="15840"/>
          <w:pgMar w:top="1540" w:right="0" w:bottom="280" w:left="360" w:header="720" w:footer="720" w:gutter="0"/>
          <w:cols w:space="720"/>
        </w:sectPr>
      </w:pPr>
    </w:p>
    <w:p w:rsidR="00186547" w:rsidRDefault="00E171F1" w:rsidP="00E171F1">
      <w:pPr>
        <w:pStyle w:val="BodyText"/>
        <w:ind w:left="123"/>
        <w:jc w:val="center"/>
        <w:rPr>
          <w:sz w:val="20"/>
        </w:rPr>
      </w:pPr>
      <w:r>
        <w:rPr>
          <w:noProof/>
          <w:lang w:val="en-IN" w:eastAsia="en-IN"/>
        </w:rPr>
        <w:lastRenderedPageBreak/>
        <w:drawing>
          <wp:inline distT="0" distB="0" distL="0" distR="0">
            <wp:extent cx="6619875" cy="1228725"/>
            <wp:effectExtent l="0" t="0" r="9525" b="9525"/>
            <wp:docPr id="21" name="Picture 21" descr="New Logo TC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w Logo TCE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19875" cy="1228725"/>
                    </a:xfrm>
                    <a:prstGeom prst="rect">
                      <a:avLst/>
                    </a:prstGeom>
                    <a:noFill/>
                    <a:ln>
                      <a:noFill/>
                    </a:ln>
                  </pic:spPr>
                </pic:pic>
              </a:graphicData>
            </a:graphic>
          </wp:inline>
        </w:drawing>
      </w:r>
    </w:p>
    <w:p w:rsidR="00186547" w:rsidRDefault="00186547">
      <w:pPr>
        <w:pStyle w:val="BodyText"/>
        <w:rPr>
          <w:sz w:val="32"/>
        </w:rPr>
      </w:pPr>
    </w:p>
    <w:p w:rsidR="00186547" w:rsidRDefault="00186547">
      <w:pPr>
        <w:pStyle w:val="BodyText"/>
        <w:spacing w:before="63"/>
        <w:rPr>
          <w:sz w:val="32"/>
        </w:rPr>
      </w:pPr>
    </w:p>
    <w:p w:rsidR="00186547" w:rsidRDefault="00AB4722">
      <w:pPr>
        <w:pStyle w:val="Heading1"/>
        <w:spacing w:line="240" w:lineRule="auto"/>
        <w:ind w:right="2927"/>
      </w:pPr>
      <w:r>
        <w:rPr>
          <w:spacing w:val="-2"/>
        </w:rPr>
        <w:t>CERTIFICATE</w:t>
      </w:r>
    </w:p>
    <w:p w:rsidR="00186547" w:rsidRDefault="00AB4722">
      <w:pPr>
        <w:pStyle w:val="BodyText"/>
        <w:spacing w:before="182"/>
        <w:ind w:left="3265" w:right="2922"/>
        <w:jc w:val="center"/>
      </w:pPr>
      <w:r/>
    </w:p>
    <w:p w:rsidR="00186547" w:rsidRDefault="00186547">
      <w:pPr>
        <w:pStyle w:val="BodyText"/>
        <w:spacing w:before="159"/>
        <w:rPr>
          <w:sz w:val="28"/>
        </w:rPr>
      </w:pPr>
    </w:p>
    <w:p w:rsidR="00186547" w:rsidRDefault="00AB4722">
      <w:pPr>
        <w:spacing w:before="1" w:line="360" w:lineRule="auto"/>
        <w:ind w:left="1903" w:right="1602"/>
        <w:jc w:val="both"/>
        <w:rPr>
          <w:sz w:val="28"/>
        </w:rPr>
      </w:pPr>
      <w:r/>
      <w:r>
        <w:rPr>
          <w:rFonts w:ascii="Times New Roman" w:hAnsi="Times New Roman"/>
          <w:sz w:val="24"/>
        </w:rPr>
        <w:t>This is to certify that the project entitled “FraudShield AI: An Intelligent Real-Time Financial Transaction &amp; Credit Card Fraud Detection Platform Using Hybrid Stacking Ensemble and Explainable AI (XAI)” is a bonafide work of Ashmit Singh (Roll No. 10), Sumit Singh (Roll No. 21), and Shivam Singh (Roll No. 19) submitted to the Thakur College of Engineering and Technology, Mumbai (An Autonomous College affiliated to University of Mumbai) in partial fulfillment of the requirement for the Project-I for award of the degree of “Bachelor of Engineering” in “Computer Engineering”.</w:t>
      </w: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spacing w:before="106" w:after="1"/>
        <w:rPr>
          <w:sz w:val="20"/>
        </w:rPr>
      </w:pPr>
    </w:p>
    <w:tbl>
      <w:tblPr>
        <w:tblW w:w="0" w:type="auto"/>
        <w:tblInd w:w="1757" w:type="dxa"/>
        <w:tblLayout w:type="fixed"/>
        <w:tblCellMar>
          <w:left w:w="0" w:type="dxa"/>
          <w:right w:w="0" w:type="dxa"/>
        </w:tblCellMar>
        <w:tblLook w:val="01E0" w:firstRow="1" w:lastRow="1" w:firstColumn="1" w:lastColumn="1" w:noHBand="0" w:noVBand="0"/>
      </w:tblPr>
      <w:tblGrid>
        <w:gridCol w:w="4379"/>
        <w:gridCol w:w="4657"/>
      </w:tblGrid>
      <w:tr w:rsidR="00186547">
        <w:trPr>
          <w:trHeight w:val="1278"/>
        </w:trPr>
        <w:tc>
          <w:tcPr>
            <w:tcW w:w="4379" w:type="dxa"/>
          </w:tcPr>
          <w:p>
            <w:pPr>
              <w:spacing w:line="276" w:lineRule="auto"/>
            </w:pPr>
            <w:r>
              <w:rPr>
                <w:rFonts w:ascii="Times New Roman" w:hAnsi="Times New Roman"/>
                <w:sz w:val="22"/>
              </w:rPr>
              <w:t>Signature with Date: -----------------</w:t>
              <w:br/>
              <w:br/>
              <w:t>Name of Guide: Ms. Tanmayi Nagale</w:t>
              <w:br/>
              <w:t>Designation: Assistant Professor</w:t>
            </w:r>
          </w:p>
        </w:tc>
        <w:tc>
          <w:tcPr>
            <w:tcW w:w="4657" w:type="dxa"/>
          </w:tcPr>
          <w:p>
            <w:pPr>
              <w:spacing w:line="276" w:lineRule="auto"/>
            </w:pPr>
            <w:r>
              <w:rPr>
                <w:rFonts w:ascii="Times New Roman" w:hAnsi="Times New Roman"/>
                <w:sz w:val="22"/>
              </w:rPr>
              <w:t>Signature with Date: --------------------</w:t>
              <w:br/>
              <w:br/>
              <w:t>Name of HOD: Dr. Vaishali Kaiche</w:t>
              <w:br/>
              <w:t>Name of Department: Department of Computer Engineering</w:t>
            </w:r>
          </w:p>
        </w:tc>
      </w:tr>
    </w:tbl>
    <w:p w:rsidR="00186547" w:rsidRDefault="00186547">
      <w:pPr>
        <w:pStyle w:val="TableParagraph"/>
        <w:spacing w:line="302" w:lineRule="exact"/>
        <w:rPr>
          <w:sz w:val="28"/>
        </w:rPr>
        <w:sectPr w:rsidR="00186547">
          <w:pgSz w:w="12240" w:h="15840"/>
          <w:pgMar w:top="640" w:right="0" w:bottom="280" w:left="360" w:header="720" w:footer="720" w:gutter="0"/>
          <w:cols w:space="720"/>
        </w:sectPr>
      </w:pPr>
    </w:p>
    <w:p w:rsidR="00186547" w:rsidRDefault="00E171F1" w:rsidP="00E171F1">
      <w:pPr>
        <w:pStyle w:val="BodyText"/>
        <w:ind w:left="363"/>
        <w:jc w:val="center"/>
        <w:rPr>
          <w:sz w:val="20"/>
        </w:rPr>
      </w:pPr>
      <w:r>
        <w:rPr>
          <w:noProof/>
          <w:lang w:val="en-IN" w:eastAsia="en-IN"/>
        </w:rPr>
        <w:lastRenderedPageBreak/>
        <w:drawing>
          <wp:inline distT="0" distB="0" distL="0" distR="0">
            <wp:extent cx="6619875" cy="1228725"/>
            <wp:effectExtent l="0" t="0" r="9525" b="9525"/>
            <wp:docPr id="24" name="Picture 24" descr="New Logo TC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ew Logo TCE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19875" cy="1228725"/>
                    </a:xfrm>
                    <a:prstGeom prst="rect">
                      <a:avLst/>
                    </a:prstGeom>
                    <a:noFill/>
                    <a:ln>
                      <a:noFill/>
                    </a:ln>
                  </pic:spPr>
                </pic:pic>
              </a:graphicData>
            </a:graphic>
          </wp:inline>
        </w:drawing>
      </w:r>
    </w:p>
    <w:p w:rsidR="00186547" w:rsidRDefault="00AB4722">
      <w:pPr>
        <w:spacing w:before="238"/>
        <w:ind w:left="345"/>
        <w:jc w:val="center"/>
        <w:rPr>
          <w:b/>
          <w:sz w:val="36"/>
        </w:rPr>
      </w:pPr>
      <w:r>
        <w:rPr>
          <w:b/>
          <w:spacing w:val="-4"/>
          <w:sz w:val="36"/>
        </w:rPr>
        <w:t>PROJECT</w:t>
      </w:r>
      <w:r>
        <w:rPr>
          <w:b/>
          <w:spacing w:val="-21"/>
          <w:sz w:val="36"/>
        </w:rPr>
        <w:t xml:space="preserve"> </w:t>
      </w:r>
      <w:r>
        <w:rPr>
          <w:b/>
          <w:spacing w:val="-4"/>
          <w:sz w:val="36"/>
        </w:rPr>
        <w:t>APPROVAL</w:t>
      </w:r>
      <w:r>
        <w:rPr>
          <w:b/>
          <w:spacing w:val="-12"/>
          <w:sz w:val="36"/>
        </w:rPr>
        <w:t xml:space="preserve"> </w:t>
      </w:r>
      <w:r>
        <w:rPr>
          <w:b/>
          <w:spacing w:val="-4"/>
          <w:sz w:val="36"/>
        </w:rPr>
        <w:t>CERTIFICATE</w:t>
      </w:r>
    </w:p>
    <w:p w:rsidR="00186547" w:rsidRDefault="00186547">
      <w:pPr>
        <w:pStyle w:val="BodyText"/>
        <w:rPr>
          <w:b/>
          <w:sz w:val="28"/>
        </w:rPr>
      </w:pPr>
    </w:p>
    <w:p w:rsidR="00186547" w:rsidRDefault="00186547">
      <w:pPr>
        <w:pStyle w:val="BodyText"/>
        <w:spacing w:before="179"/>
        <w:rPr>
          <w:b/>
          <w:sz w:val="28"/>
        </w:rPr>
      </w:pPr>
    </w:p>
    <w:p w:rsidR="00186547" w:rsidRDefault="00AB4722">
      <w:pPr>
        <w:spacing w:line="360" w:lineRule="auto"/>
        <w:ind w:left="1903" w:right="1603"/>
        <w:jc w:val="both"/>
        <w:rPr>
          <w:sz w:val="28"/>
        </w:rPr>
      </w:pPr>
      <w:r/>
      <w:r>
        <w:rPr>
          <w:rFonts w:ascii="Times New Roman" w:hAnsi="Times New Roman"/>
          <w:sz w:val="24"/>
        </w:rPr>
        <w:t>This project report entitled “FraudShield AI: An Intelligent Real-Time Financial Transaction &amp; Credit Card Fraud Detection Platform Using Hybrid Stacking Ensemble and Explainable AI (XAI)” by Ashmit Singh (Roll No. 10), Sumit Singh (Roll No. 21), and Shivam Singh (Roll No. 19) is approved for the degree of “Bachelor of Engineering” in “Computer Engineering”.</w:t>
      </w: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rPr>
          <w:sz w:val="20"/>
        </w:rPr>
      </w:pPr>
    </w:p>
    <w:p w:rsidR="00186547" w:rsidRDefault="00186547">
      <w:pPr>
        <w:pStyle w:val="BodyText"/>
        <w:spacing w:before="126"/>
        <w:rPr>
          <w:sz w:val="20"/>
        </w:rPr>
      </w:pPr>
    </w:p>
    <w:tbl>
      <w:tblPr>
        <w:tblW w:w="0" w:type="auto"/>
        <w:tblInd w:w="1757" w:type="dxa"/>
        <w:tblLayout w:type="fixed"/>
        <w:tblCellMar>
          <w:left w:w="0" w:type="dxa"/>
          <w:right w:w="0" w:type="dxa"/>
        </w:tblCellMar>
        <w:tblLook w:val="01E0" w:firstRow="1" w:lastRow="1" w:firstColumn="1" w:lastColumn="1" w:noHBand="0" w:noVBand="0"/>
      </w:tblPr>
      <w:tblGrid>
        <w:gridCol w:w="9097"/>
      </w:tblGrid>
      <w:tr w:rsidR="00186547">
        <w:trPr>
          <w:trHeight w:val="635"/>
        </w:trPr>
        <w:tc>
          <w:tcPr>
            <w:tcW w:w="9097" w:type="dxa"/>
          </w:tcPr>
          <w:p w:rsidR="00186547" w:rsidRDefault="00AB4722">
            <w:pPr>
              <w:pStyle w:val="TableParagraph"/>
              <w:tabs>
                <w:tab w:val="left" w:pos="6011"/>
              </w:tabs>
              <w:spacing w:line="311" w:lineRule="exact"/>
              <w:ind w:left="50"/>
              <w:rPr>
                <w:b/>
                <w:sz w:val="28"/>
              </w:rPr>
            </w:pPr>
            <w:r>
              <w:rPr>
                <w:b/>
                <w:sz w:val="28"/>
              </w:rPr>
              <w:t>Internal</w:t>
            </w:r>
            <w:r>
              <w:rPr>
                <w:b/>
                <w:spacing w:val="-4"/>
                <w:sz w:val="28"/>
              </w:rPr>
              <w:t xml:space="preserve"> </w:t>
            </w:r>
            <w:r>
              <w:rPr>
                <w:b/>
                <w:spacing w:val="-2"/>
                <w:sz w:val="28"/>
              </w:rPr>
              <w:t>Examiner:</w:t>
            </w:r>
            <w:r>
              <w:rPr>
                <w:b/>
                <w:sz w:val="28"/>
              </w:rPr>
              <w:tab/>
              <w:t>External</w:t>
            </w:r>
            <w:r>
              <w:rPr>
                <w:b/>
                <w:spacing w:val="-2"/>
                <w:sz w:val="28"/>
              </w:rPr>
              <w:t xml:space="preserve"> Examiner:</w:t>
            </w:r>
          </w:p>
        </w:tc>
      </w:tr>
      <w:tr w:rsidR="00186547">
        <w:trPr>
          <w:trHeight w:val="2654"/>
        </w:trPr>
        <w:tc>
          <w:tcPr>
            <w:tcW w:w="9097" w:type="dxa"/>
          </w:tcPr>
          <w:p w:rsidR="00186547" w:rsidRDefault="00AB4722">
            <w:pPr>
              <w:pStyle w:val="TableParagraph"/>
              <w:tabs>
                <w:tab w:val="left" w:pos="5210"/>
              </w:tabs>
              <w:spacing w:before="313"/>
              <w:ind w:left="50"/>
              <w:rPr>
                <w:sz w:val="28"/>
              </w:rPr>
            </w:pPr>
            <w:r>
              <w:rPr>
                <w:noProof/>
                <w:sz w:val="28"/>
                <w:lang w:val="en-IN" w:eastAsia="en-IN"/>
              </w:rPr>
              <mc:AlternateContent>
                <mc:Choice Requires="wpg">
                  <w:drawing>
                    <wp:anchor distT="0" distB="0" distL="0" distR="0" simplePos="0" relativeHeight="487250944" behindDoc="1" locked="0" layoutInCell="1" allowOverlap="1">
                      <wp:simplePos x="0" y="0"/>
                      <wp:positionH relativeFrom="column">
                        <wp:posOffset>808990</wp:posOffset>
                      </wp:positionH>
                      <wp:positionV relativeFrom="paragraph">
                        <wp:posOffset>318209</wp:posOffset>
                      </wp:positionV>
                      <wp:extent cx="1657985" cy="133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7985" cy="13335"/>
                                <a:chOff x="0" y="0"/>
                                <a:chExt cx="1657985" cy="13335"/>
                              </a:xfrm>
                            </wpg:grpSpPr>
                            <wps:wsp>
                              <wps:cNvPr id="6" name="Graphic 6"/>
                              <wps:cNvSpPr/>
                              <wps:spPr>
                                <a:xfrm>
                                  <a:off x="0" y="6579"/>
                                  <a:ext cx="1657985" cy="1270"/>
                                </a:xfrm>
                                <a:custGeom>
                                  <a:avLst/>
                                  <a:gdLst/>
                                  <a:ahLst/>
                                  <a:cxnLst/>
                                  <a:rect l="l" t="t" r="r" b="b"/>
                                  <a:pathLst>
                                    <a:path w="1657985">
                                      <a:moveTo>
                                        <a:pt x="0" y="0"/>
                                      </a:moveTo>
                                      <a:lnTo>
                                        <a:pt x="1657768" y="0"/>
                                      </a:lnTo>
                                    </a:path>
                                  </a:pathLst>
                                </a:custGeom>
                                <a:ln w="13158">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3139D970" id="Group 5" o:spid="_x0000_s1026" style="position:absolute;margin-left:63.7pt;margin-top:25.05pt;width:130.55pt;height:1.05pt;z-index:-16065536;mso-wrap-distance-left:0;mso-wrap-distance-right:0" coordsize="16579,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">
                      <v:shape id="Graphic 6" o:spid="_x0000_s1027" style="position:absolute;top:65;width:16579;height:13;visibility:visible;mso-wrap-style:square;v-text-anchor:top" coordsize="1657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" path="m,l1657768,e" filled="f" strokeweight=".3655mm">
                        <v:stroke dashstyle="3 1"/>
                        <v:path arrowok="t"/>
                      </v:shape>
                    </v:group>
                  </w:pict>
                </mc:Fallback>
              </mc:AlternateContent>
            </w:r>
            <w:r>
              <w:rPr>
                <w:noProof/>
                <w:sz w:val="28"/>
                <w:lang w:val="en-IN" w:eastAsia="en-IN"/>
              </w:rPr>
              <mc:AlternateContent>
                <mc:Choice Requires="wpg">
                  <w:drawing>
                    <wp:anchor distT="0" distB="0" distL="0" distR="0" simplePos="0" relativeHeight="487251456" behindDoc="1" locked="0" layoutInCell="1" allowOverlap="1">
                      <wp:simplePos x="0" y="0"/>
                      <wp:positionH relativeFrom="column">
                        <wp:posOffset>4086225</wp:posOffset>
                      </wp:positionH>
                      <wp:positionV relativeFrom="paragraph">
                        <wp:posOffset>318209</wp:posOffset>
                      </wp:positionV>
                      <wp:extent cx="1658620" cy="1333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8620" cy="13335"/>
                                <a:chOff x="0" y="0"/>
                                <a:chExt cx="1658620" cy="13335"/>
                              </a:xfrm>
                            </wpg:grpSpPr>
                            <wps:wsp>
                              <wps:cNvPr id="8" name="Graphic 8"/>
                              <wps:cNvSpPr/>
                              <wps:spPr>
                                <a:xfrm>
                                  <a:off x="0" y="6579"/>
                                  <a:ext cx="1658620" cy="1270"/>
                                </a:xfrm>
                                <a:custGeom>
                                  <a:avLst/>
                                  <a:gdLst/>
                                  <a:ahLst/>
                                  <a:cxnLst/>
                                  <a:rect l="l" t="t" r="r" b="b"/>
                                  <a:pathLst>
                                    <a:path w="1658620">
                                      <a:moveTo>
                                        <a:pt x="0" y="0"/>
                                      </a:moveTo>
                                      <a:lnTo>
                                        <a:pt x="1658410" y="0"/>
                                      </a:lnTo>
                                    </a:path>
                                  </a:pathLst>
                                </a:custGeom>
                                <a:ln w="13158">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031444AF" id="Group 7" o:spid="_x0000_s1026" style="position:absolute;margin-left:321.75pt;margin-top:25.05pt;width:130.6pt;height:1.05pt;z-index:-16065024;mso-wrap-distance-left:0;mso-wrap-distance-right:0" coordsize="16586,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">
                      <v:shape id="Graphic 8" o:spid="_x0000_s1027" style="position:absolute;top:65;width:16586;height:13;visibility:visible;mso-wrap-style:square;v-text-anchor:top" coordsize="1658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" path="m,l1658410,e" filled="f" strokeweight=".3655mm">
                        <v:stroke dashstyle="dash"/>
                        <v:path arrowok="t"/>
                      </v:shape>
                    </v:group>
                  </w:pict>
                </mc:Fallback>
              </mc:AlternateContent>
            </w:r>
            <w:r>
              <w:rPr>
                <w:spacing w:val="-2"/>
                <w:sz w:val="28"/>
              </w:rPr>
              <w:t>Signature:</w:t>
            </w:r>
            <w:r>
              <w:rPr>
                <w:sz w:val="28"/>
              </w:rPr>
              <w:tab/>
            </w:r>
            <w:r>
              <w:rPr>
                <w:spacing w:val="-2"/>
                <w:sz w:val="28"/>
              </w:rPr>
              <w:t>Signature:</w:t>
            </w:r>
          </w:p>
          <w:p w:rsidR="00186547" w:rsidRDefault="00186547">
            <w:pPr>
              <w:pStyle w:val="TableParagraph"/>
              <w:rPr>
                <w:sz w:val="28"/>
              </w:rPr>
            </w:pPr>
          </w:p>
          <w:p w:rsidR="00186547" w:rsidRDefault="00186547">
            <w:pPr>
              <w:pStyle w:val="TableParagraph"/>
              <w:spacing w:before="1"/>
              <w:rPr>
                <w:sz w:val="28"/>
              </w:rPr>
            </w:pPr>
          </w:p>
          <w:p w:rsidR="00186547" w:rsidRDefault="00AB4722">
            <w:pPr>
              <w:pStyle w:val="TableParagraph"/>
              <w:tabs>
                <w:tab w:val="left" w:pos="5206"/>
              </w:tabs>
              <w:spacing w:before="1"/>
              <w:ind w:left="50"/>
              <w:rPr>
                <w:sz w:val="28"/>
              </w:rPr>
            </w:pPr>
            <w:r>
              <w:rPr>
                <w:spacing w:val="-2"/>
                <w:sz w:val="28"/>
              </w:rPr>
              <w:t>Name:</w:t>
            </w:r>
            <w:r>
              <w:rPr>
                <w:sz w:val="28"/>
              </w:rPr>
              <w:tab/>
            </w:r>
            <w:r>
              <w:rPr>
                <w:spacing w:val="-2"/>
                <w:sz w:val="28"/>
              </w:rPr>
              <w:t>Name:</w:t>
            </w:r>
          </w:p>
        </w:tc>
      </w:tr>
      <w:tr w:rsidR="00186547">
        <w:trPr>
          <w:trHeight w:val="1845"/>
        </w:trPr>
        <w:tc>
          <w:tcPr>
            <w:tcW w:w="9097" w:type="dxa"/>
          </w:tcPr>
          <w:p w:rsidR="00186547" w:rsidRDefault="00186547">
            <w:pPr>
              <w:pStyle w:val="TableParagraph"/>
              <w:rPr>
                <w:sz w:val="28"/>
              </w:rPr>
            </w:pPr>
          </w:p>
          <w:p w:rsidR="00186547" w:rsidRDefault="00186547">
            <w:pPr>
              <w:pStyle w:val="TableParagraph"/>
              <w:rPr>
                <w:sz w:val="28"/>
              </w:rPr>
            </w:pPr>
          </w:p>
          <w:p w:rsidR="00186547" w:rsidRDefault="00186547">
            <w:pPr>
              <w:pStyle w:val="TableParagraph"/>
              <w:spacing w:before="74"/>
              <w:rPr>
                <w:sz w:val="28"/>
              </w:rPr>
            </w:pPr>
          </w:p>
          <w:p w:rsidR="00186547" w:rsidRDefault="00AB4722">
            <w:pPr>
              <w:pStyle w:val="TableParagraph"/>
              <w:spacing w:before="1"/>
              <w:ind w:left="50" w:right="8360"/>
              <w:rPr>
                <w:sz w:val="28"/>
              </w:rPr>
            </w:pPr>
            <w:r>
              <w:rPr>
                <w:spacing w:val="-2"/>
                <w:sz w:val="28"/>
              </w:rPr>
              <w:t>Date:</w:t>
            </w:r>
          </w:p>
          <w:p w:rsidR="00186547" w:rsidRDefault="00AB4722">
            <w:pPr>
              <w:pStyle w:val="TableParagraph"/>
              <w:spacing w:before="140"/>
              <w:ind w:left="50" w:right="8360"/>
              <w:rPr>
                <w:sz w:val="28"/>
              </w:rPr>
            </w:pPr>
            <w:r>
              <w:rPr>
                <w:spacing w:val="-2"/>
                <w:sz w:val="28"/>
              </w:rPr>
              <w:t>Place:</w:t>
            </w:r>
          </w:p>
        </w:tc>
      </w:tr>
    </w:tbl>
    <w:p w:rsidR="00186547" w:rsidRDefault="00186547">
      <w:pPr>
        <w:pStyle w:val="TableParagraph"/>
        <w:rPr>
          <w:sz w:val="28"/>
        </w:rPr>
        <w:sectPr w:rsidR="00186547">
          <w:pgSz w:w="12240" w:h="15840"/>
          <w:pgMar w:top="880" w:right="0" w:bottom="280" w:left="360" w:header="720" w:footer="720" w:gutter="0"/>
          <w:cols w:space="720"/>
        </w:sectPr>
      </w:pPr>
    </w:p>
    <w:p w:rsidR="00186547" w:rsidRDefault="00AB4722">
      <w:pPr>
        <w:pStyle w:val="Heading1"/>
        <w:spacing w:before="66"/>
        <w:ind w:right="2909"/>
      </w:pPr>
      <w:r>
        <w:rPr>
          <w:spacing w:val="-2"/>
        </w:rPr>
        <w:lastRenderedPageBreak/>
        <w:t>ACKNOWLEDGEMENT</w:t>
      </w:r>
    </w:p>
    <w:p w:rsidR="00186547" w:rsidRDefault="00AB4722">
      <w:pPr>
        <w:pStyle w:val="BodyText"/>
        <w:spacing w:line="273" w:lineRule="exact"/>
        <w:ind w:left="3265" w:right="2909"/>
        <w:jc w:val="center"/>
      </w:pPr>
      <w:r/>
    </w:p>
    <w:p w:rsidR="00186547" w:rsidRDefault="00186547">
      <w:pPr>
        <w:pStyle w:val="BodyText"/>
      </w:pPr>
    </w:p>
    <w:p w:rsidR="00186547" w:rsidRDefault="00186547">
      <w:pPr>
        <w:pStyle w:val="BodyText"/>
        <w:spacing w:before="2" w:line="360" w:lineRule="auto"/>
        <w:jc w:val="both"/>
      </w:pPr>
      <w:r>
        <w:rPr>
          <w:rFonts w:ascii="Times New Roman" w:hAnsi="Times New Roman"/>
          <w:sz w:val="24"/>
        </w:rPr>
        <w:t>We express our deep sense of gratitude to our project guide Ms. Tanmayi Nagale, Assistant Professor, Department of Computer Engineering, for her invaluable guidance, constant support, and insightful encouragement throughout the course of this work. We also extend our sincere appreciation to Dr. Vaishali Kaiche, Head of the Department of Computer Engineering, and Dr. B. K. Mishra, Principal, Thakur College of Engineering and Technology, for providing the necessary facilities and research infrastructure. We are also thankful to the project coordinators, faculty members, laboratory staff, and our peers for their continued assistance and valuable suggestions.</w:t>
      </w:r>
    </w:p>
    <w:p w:rsidR="00186547" w:rsidRDefault="00AB4722">
      <w:pPr>
        <w:pStyle w:val="BodyText"/>
        <w:spacing w:before="1" w:line="360" w:lineRule="auto"/>
        <w:ind w:left="1800" w:right="671"/>
      </w:pPr>
      <w:r/>
    </w:p>
    <w:p w:rsidR="00186547" w:rsidRDefault="00AB4722">
      <w:pPr>
        <w:pStyle w:val="BodyText"/>
        <w:tabs>
          <w:tab w:val="left" w:leader="hyphen" w:pos="7244"/>
        </w:tabs>
        <w:ind w:left="1800"/>
      </w:pPr>
      <w:r>
        <w:t>We</w:t>
      </w:r>
      <w:r>
        <w:rPr>
          <w:spacing w:val="-3"/>
        </w:rPr>
        <w:t xml:space="preserve"> </w:t>
      </w:r>
      <w:r>
        <w:t>sincerely</w:t>
      </w:r>
      <w:r>
        <w:rPr>
          <w:spacing w:val="-6"/>
        </w:rPr>
        <w:t xml:space="preserve"> </w:t>
      </w:r>
      <w:r>
        <w:t>thank</w:t>
      </w:r>
      <w:r>
        <w:rPr>
          <w:spacing w:val="1"/>
        </w:rPr>
        <w:t xml:space="preserve"> </w:t>
      </w:r>
      <w:r>
        <w:t>our guide</w:t>
      </w:r>
      <w:r>
        <w:rPr>
          <w:spacing w:val="-2"/>
        </w:rPr>
        <w:t xml:space="preserve"> Mr./Ms./</w:t>
      </w:r>
      <w:proofErr w:type="spellStart"/>
      <w:r>
        <w:rPr>
          <w:spacing w:val="-2"/>
        </w:rPr>
        <w:t>Dr</w:t>
      </w:r>
      <w:proofErr w:type="spellEnd"/>
      <w:r>
        <w:tab/>
        <w:t>for</w:t>
      </w:r>
      <w:r>
        <w:rPr>
          <w:spacing w:val="-2"/>
        </w:rPr>
        <w:t xml:space="preserve"> </w:t>
      </w:r>
      <w:r>
        <w:t>his/her</w:t>
      </w:r>
      <w:r>
        <w:rPr>
          <w:spacing w:val="6"/>
        </w:rPr>
        <w:t xml:space="preserve"> </w:t>
      </w:r>
      <w:r>
        <w:t>guidance and</w:t>
      </w:r>
      <w:r>
        <w:rPr>
          <w:spacing w:val="3"/>
        </w:rPr>
        <w:t xml:space="preserve"> </w:t>
      </w:r>
      <w:r>
        <w:rPr>
          <w:spacing w:val="-2"/>
        </w:rPr>
        <w:t>constant</w:t>
      </w:r>
    </w:p>
    <w:p w:rsidR="00186547" w:rsidRDefault="00AB4722">
      <w:pPr>
        <w:pStyle w:val="BodyText"/>
        <w:spacing w:before="137" w:line="360" w:lineRule="auto"/>
        <w:ind w:left="1800" w:right="671"/>
      </w:pPr>
      <w:r/>
    </w:p>
    <w:p w:rsidR="00186547" w:rsidRDefault="00186547">
      <w:pPr>
        <w:pStyle w:val="BodyText"/>
        <w:spacing w:before="139"/>
      </w:pPr>
    </w:p>
    <w:p w:rsidR="00186547" w:rsidRDefault="00AB4722">
      <w:pPr>
        <w:pStyle w:val="BodyText"/>
        <w:spacing w:line="360" w:lineRule="auto"/>
        <w:ind w:left="1800" w:right="671"/>
      </w:pPr>
      <w:r>
        <w:t>We</w:t>
      </w:r>
      <w:r>
        <w:rPr>
          <w:spacing w:val="21"/>
        </w:rPr>
        <w:t xml:space="preserve"> </w:t>
      </w:r>
      <w:r>
        <w:t>thank</w:t>
      </w:r>
      <w:r>
        <w:rPr>
          <w:spacing w:val="22"/>
        </w:rPr>
        <w:t xml:space="preserve"> </w:t>
      </w:r>
      <w:r>
        <w:t>the</w:t>
      </w:r>
      <w:r>
        <w:rPr>
          <w:spacing w:val="22"/>
        </w:rPr>
        <w:t xml:space="preserve"> </w:t>
      </w:r>
      <w:r>
        <w:t>HOD</w:t>
      </w:r>
      <w:r w:rsidRPr="005563C5">
        <w:rPr>
          <w:color w:val="000000"/>
        </w:rPr>
        <w:t xml:space="preserve">, Dr. </w:t>
      </w:r>
      <w:proofErr w:type="spellStart"/>
      <w:r w:rsidR="00E171F1" w:rsidRPr="005563C5">
        <w:rPr>
          <w:color w:val="000000"/>
        </w:rPr>
        <w:t>Vaishali</w:t>
      </w:r>
      <w:proofErr w:type="spellEnd"/>
      <w:r w:rsidR="00E171F1" w:rsidRPr="005563C5">
        <w:rPr>
          <w:color w:val="000000"/>
        </w:rPr>
        <w:t xml:space="preserve"> </w:t>
      </w:r>
      <w:proofErr w:type="spellStart"/>
      <w:r w:rsidR="00E171F1" w:rsidRPr="005563C5">
        <w:rPr>
          <w:color w:val="000000"/>
        </w:rPr>
        <w:t>Kaiche</w:t>
      </w:r>
      <w:proofErr w:type="spellEnd"/>
      <w:r w:rsidRPr="005563C5">
        <w:rPr>
          <w:color w:val="000000"/>
        </w:rPr>
        <w:t>,</w:t>
      </w:r>
      <w:r>
        <w:rPr>
          <w:color w:val="000000"/>
          <w:spacing w:val="23"/>
        </w:rPr>
        <w:t xml:space="preserve"> </w:t>
      </w:r>
      <w:r>
        <w:rPr>
          <w:color w:val="000000"/>
        </w:rPr>
        <w:t>the</w:t>
      </w:r>
      <w:r>
        <w:rPr>
          <w:color w:val="000000"/>
          <w:spacing w:val="22"/>
        </w:rPr>
        <w:t xml:space="preserve"> </w:t>
      </w:r>
      <w:r>
        <w:rPr>
          <w:color w:val="000000"/>
        </w:rPr>
        <w:t>Principal,</w:t>
      </w:r>
      <w:r>
        <w:rPr>
          <w:color w:val="000000"/>
          <w:spacing w:val="22"/>
        </w:rPr>
        <w:t xml:space="preserve"> </w:t>
      </w:r>
      <w:r>
        <w:rPr>
          <w:color w:val="000000"/>
        </w:rPr>
        <w:t>Dr.</w:t>
      </w:r>
      <w:r>
        <w:rPr>
          <w:color w:val="000000"/>
          <w:spacing w:val="22"/>
        </w:rPr>
        <w:t xml:space="preserve"> </w:t>
      </w:r>
      <w:r>
        <w:rPr>
          <w:color w:val="000000"/>
        </w:rPr>
        <w:t>B.</w:t>
      </w:r>
      <w:r>
        <w:rPr>
          <w:color w:val="000000"/>
          <w:spacing w:val="22"/>
        </w:rPr>
        <w:t xml:space="preserve"> </w:t>
      </w:r>
      <w:r>
        <w:rPr>
          <w:color w:val="000000"/>
        </w:rPr>
        <w:t>K.</w:t>
      </w:r>
      <w:r>
        <w:rPr>
          <w:color w:val="000000"/>
          <w:spacing w:val="22"/>
        </w:rPr>
        <w:t xml:space="preserve"> </w:t>
      </w:r>
      <w:r>
        <w:rPr>
          <w:color w:val="000000"/>
        </w:rPr>
        <w:t>Mishra</w:t>
      </w:r>
      <w:r>
        <w:rPr>
          <w:color w:val="000000"/>
          <w:spacing w:val="22"/>
        </w:rPr>
        <w:t xml:space="preserve"> </w:t>
      </w:r>
      <w:r>
        <w:rPr>
          <w:color w:val="000000"/>
        </w:rPr>
        <w:t>and</w:t>
      </w:r>
      <w:r>
        <w:rPr>
          <w:color w:val="000000"/>
          <w:spacing w:val="22"/>
        </w:rPr>
        <w:t xml:space="preserve"> </w:t>
      </w:r>
      <w:r>
        <w:rPr>
          <w:color w:val="000000"/>
        </w:rPr>
        <w:t>the</w:t>
      </w:r>
      <w:r>
        <w:rPr>
          <w:color w:val="000000"/>
          <w:spacing w:val="22"/>
        </w:rPr>
        <w:t xml:space="preserve"> </w:t>
      </w:r>
      <w:r>
        <w:rPr>
          <w:color w:val="000000"/>
        </w:rPr>
        <w:t>college management for their support.</w:t>
      </w:r>
    </w:p>
    <w:p w:rsidR="00186547" w:rsidRDefault="00AB4722">
      <w:pPr>
        <w:pStyle w:val="BodyText"/>
        <w:spacing w:line="271" w:lineRule="exact"/>
        <w:ind w:left="1800"/>
      </w:pPr>
      <w:r/>
    </w:p>
    <w:p w:rsidR="00186547" w:rsidRDefault="00186547">
      <w:pPr>
        <w:pStyle w:val="BodyText"/>
      </w:pPr>
    </w:p>
    <w:p w:rsidR="00186547" w:rsidRDefault="00186547">
      <w:pPr>
        <w:pStyle w:val="BodyText"/>
      </w:pPr>
    </w:p>
    <w:p w:rsidR="00186547" w:rsidRDefault="00186547">
      <w:pPr>
        <w:pStyle w:val="BodyText"/>
      </w:pPr>
    </w:p>
    <w:p w:rsidR="00186547" w:rsidRDefault="00186547">
      <w:pPr>
        <w:pStyle w:val="BodyText"/>
      </w:pPr>
    </w:p>
    <w:p w:rsidR="00186547" w:rsidRDefault="00186547">
      <w:pPr>
        <w:pStyle w:val="BodyText"/>
      </w:pPr>
    </w:p>
    <w:p w:rsidR="00186547" w:rsidRDefault="00186547">
      <w:pPr>
        <w:pStyle w:val="BodyText"/>
      </w:pPr>
    </w:p>
    <w:p w:rsidR="00186547" w:rsidRDefault="00186547">
      <w:pPr>
        <w:pStyle w:val="BodyText"/>
      </w:pPr>
    </w:p>
    <w:p w:rsidR="00186547" w:rsidRDefault="00186547">
      <w:pPr>
        <w:pStyle w:val="BodyText"/>
      </w:pPr>
    </w:p>
    <w:p w:rsidR="00186547" w:rsidRDefault="00186547">
      <w:pPr>
        <w:pStyle w:val="BodyText"/>
      </w:pPr>
      <w:r>
        <w:rPr>
          <w:rFonts w:ascii="Times New Roman" w:hAnsi="Times New Roman"/>
          <w:sz w:val="24"/>
        </w:rPr>
        <w:t>1. Ashmit Singh (Roll No. 10)</w:t>
      </w:r>
    </w:p>
    <w:p w:rsidR="00186547" w:rsidRDefault="00186547">
      <w:pPr>
        <w:pStyle w:val="BodyText"/>
        <w:spacing w:before="27"/>
      </w:pPr>
    </w:p>
    <w:p w:rsidR="00186547" w:rsidRDefault="00AB4722">
      <w:pPr>
        <w:pStyle w:val="BodyText"/>
        <w:ind w:left="1651"/>
        <w:jc w:val="center"/>
      </w:pPr>
      <w:r>
        <w:rPr>
          <w:noProof/>
          <w:lang w:val="en-IN" w:eastAsia="en-IN"/>
        </w:rPr>
        <mc:AlternateContent>
          <mc:Choice Requires="wps">
            <w:drawing>
              <wp:anchor distT="0" distB="0" distL="0" distR="0" simplePos="0" relativeHeight="15730176" behindDoc="0" locked="0" layoutInCell="1" allowOverlap="1">
                <wp:simplePos x="0" y="0"/>
                <wp:positionH relativeFrom="page">
                  <wp:posOffset>4582033</wp:posOffset>
                </wp:positionH>
                <wp:positionV relativeFrom="paragraph">
                  <wp:posOffset>108613</wp:posOffset>
                </wp:positionV>
                <wp:extent cx="227647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6475" cy="1270"/>
                        </a:xfrm>
                        <a:custGeom>
                          <a:avLst/>
                          <a:gdLst/>
                          <a:ahLst/>
                          <a:cxnLst/>
                          <a:rect l="l" t="t" r="r" b="b"/>
                          <a:pathLst>
                            <a:path w="2276475">
                              <a:moveTo>
                                <a:pt x="0" y="0"/>
                              </a:moveTo>
                              <a:lnTo>
                                <a:pt x="227647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EB91371" id="Graphic 9" o:spid="_x0000_s1026" style="position:absolute;margin-left:360.8pt;margin-top:8.55pt;width:179.2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2276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" path="m,l2276479,e" filled="f" strokeweight=".31239mm">
                <v:stroke dashstyle="dash"/>
                <v:path arrowok="t"/>
                <w10:wrap anchorx="page"/>
              </v:shape>
            </w:pict>
          </mc:Fallback>
        </mc:AlternateContent>
      </w:r>
      <w:r>
        <w:rPr>
          <w:spacing w:val="-5"/>
        </w:rPr>
        <w:t>1.</w:t>
      </w:r>
    </w:p>
    <w:p w:rsidR="00186547" w:rsidRDefault="00186547">
      <w:pPr>
        <w:pStyle w:val="BodyText"/>
      </w:pPr>
      <w:r>
        <w:rPr>
          <w:rFonts w:ascii="Times New Roman" w:hAnsi="Times New Roman"/>
          <w:sz w:val="24"/>
        </w:rPr>
        <w:t>2. Sumit Singh (Roll No. 21)</w:t>
      </w:r>
    </w:p>
    <w:p w:rsidR="00186547" w:rsidRDefault="00186547">
      <w:pPr>
        <w:pStyle w:val="BodyText"/>
      </w:pPr>
    </w:p>
    <w:p w:rsidR="00186547" w:rsidRDefault="00AB4722">
      <w:pPr>
        <w:pStyle w:val="BodyText"/>
        <w:spacing w:before="1"/>
        <w:ind w:left="1651"/>
        <w:jc w:val="center"/>
      </w:pPr>
      <w:r>
        <w:rPr>
          <w:rFonts w:ascii="Times New Roman" w:hAnsi="Times New Roman"/>
          <w:sz w:val="24"/>
        </w:rPr>
        <w:t>3. Shivam Singh (Roll No. 19)</w:t>
      </w:r>
    </w:p>
    <w:p w:rsidR="00186547" w:rsidRDefault="00186547">
      <w:pPr>
        <w:pStyle w:val="BodyText"/>
        <w:spacing w:before="275"/>
      </w:pPr>
    </w:p>
    <w:p w:rsidR="00186547" w:rsidRDefault="00AB4722">
      <w:pPr>
        <w:pStyle w:val="BodyText"/>
        <w:spacing w:before="1"/>
        <w:ind w:left="1651"/>
        <w:jc w:val="center"/>
      </w:pPr>
      <w:r>
        <w:rPr>
          <w:noProof/>
          <w:lang w:val="en-IN" w:eastAsia="en-IN"/>
        </w:rPr>
        <mc:AlternateContent>
          <mc:Choice Requires="wps">
            <w:drawing>
              <wp:anchor distT="0" distB="0" distL="0" distR="0" simplePos="0" relativeHeight="15731200" behindDoc="0" locked="0" layoutInCell="1" allowOverlap="1">
                <wp:simplePos x="0" y="0"/>
                <wp:positionH relativeFrom="page">
                  <wp:posOffset>4582033</wp:posOffset>
                </wp:positionH>
                <wp:positionV relativeFrom="paragraph">
                  <wp:posOffset>108687</wp:posOffset>
                </wp:positionV>
                <wp:extent cx="227647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6475" cy="1270"/>
                        </a:xfrm>
                        <a:custGeom>
                          <a:avLst/>
                          <a:gdLst/>
                          <a:ahLst/>
                          <a:cxnLst/>
                          <a:rect l="l" t="t" r="r" b="b"/>
                          <a:pathLst>
                            <a:path w="2276475">
                              <a:moveTo>
                                <a:pt x="0" y="0"/>
                              </a:moveTo>
                              <a:lnTo>
                                <a:pt x="227647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637BD06" id="Graphic 11" o:spid="_x0000_s1026" style="position:absolute;margin-left:360.8pt;margin-top:8.55pt;width:179.2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2276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" path="m,l2276479,e" filled="f" strokeweight=".31239mm">
                <v:stroke dashstyle="dash"/>
                <v:path arrowok="t"/>
                <w10:wrap anchorx="page"/>
              </v:shape>
            </w:pict>
          </mc:Fallback>
        </mc:AlternateContent>
      </w:r>
      <w:r>
        <w:rPr>
          <w:spacing w:val="-5"/>
        </w:rPr>
        <w:t>3.</w:t>
      </w:r>
    </w:p>
    <w:p w:rsidR="00186547" w:rsidRDefault="00186547">
      <w:pPr>
        <w:pStyle w:val="BodyText"/>
      </w:pPr>
      <w:r>
        <w:rPr>
          <w:rFonts w:ascii="Times New Roman" w:hAnsi="Times New Roman"/>
          <w:sz w:val="24"/>
        </w:rPr>
        <w:t>(Department of Computer Engineering, TCET)</w:t>
      </w:r>
    </w:p>
    <w:p w:rsidR="00186547" w:rsidRDefault="00186547">
      <w:pPr>
        <w:pStyle w:val="BodyText"/>
      </w:pPr>
    </w:p>
    <w:p w:rsidR="00186547" w:rsidRDefault="00AB4722">
      <w:pPr>
        <w:pStyle w:val="BodyText"/>
        <w:ind w:left="7153"/>
      </w:pPr>
      <w:r>
        <w:t>(Name</w:t>
      </w:r>
      <w:r>
        <w:rPr>
          <w:spacing w:val="-4"/>
        </w:rPr>
        <w:t xml:space="preserve"> </w:t>
      </w:r>
      <w:r>
        <w:t>of</w:t>
      </w:r>
      <w:r>
        <w:rPr>
          <w:spacing w:val="-4"/>
        </w:rPr>
        <w:t xml:space="preserve"> </w:t>
      </w:r>
      <w:r>
        <w:t>Student</w:t>
      </w:r>
      <w:r>
        <w:rPr>
          <w:spacing w:val="-3"/>
        </w:rPr>
        <w:t xml:space="preserve"> </w:t>
      </w:r>
      <w:r>
        <w:t>and</w:t>
      </w:r>
      <w:r>
        <w:rPr>
          <w:spacing w:val="-3"/>
        </w:rPr>
        <w:t xml:space="preserve"> </w:t>
      </w:r>
      <w:r>
        <w:t>Roll</w:t>
      </w:r>
      <w:r>
        <w:rPr>
          <w:spacing w:val="-2"/>
        </w:rPr>
        <w:t xml:space="preserve"> </w:t>
      </w:r>
      <w:r>
        <w:rPr>
          <w:spacing w:val="-4"/>
        </w:rPr>
        <w:t>No.)</w:t>
      </w:r>
    </w:p>
    <w:p w:rsidR="00186547" w:rsidRDefault="00186547">
      <w:pPr>
        <w:pStyle w:val="BodyText"/>
        <w:sectPr w:rsidR="00186547">
          <w:pgSz w:w="12240" w:h="15840"/>
          <w:pgMar w:top="1740" w:right="0" w:bottom="280" w:left="360" w:header="720" w:footer="720" w:gutter="0"/>
          <w:cols w:space="720"/>
        </w:sectPr>
      </w:pPr>
    </w:p>
    <w:p w:rsidR="00186547" w:rsidRDefault="00186547">
      <w:pPr>
        <w:pStyle w:val="BodyText"/>
        <w:spacing w:before="58"/>
        <w:rPr>
          <w:sz w:val="36"/>
        </w:rPr>
      </w:pPr>
    </w:p>
    <w:p w:rsidR="00186547" w:rsidRDefault="005563C5">
      <w:pPr>
        <w:ind w:left="3265" w:right="2903"/>
        <w:jc w:val="center"/>
        <w:rPr>
          <w:sz w:val="32"/>
        </w:rPr>
      </w:pPr>
      <w:r>
        <w:rPr>
          <w:rFonts w:ascii="Times New Roman" w:hAnsi="Times New Roman"/>
          <w:b/>
          <w:sz w:val="32"/>
        </w:rPr>
        <w:t>Blue Book Plagiarism Report</w:t>
        <w:br/>
        <w:t>(From Department Turnitin Account Only)</w:t>
      </w:r>
    </w:p>
    <w:p w:rsidR="00186547" w:rsidRDefault="00186547" w:rsidP="00AF2613">
      <w:pPr>
        <w:rPr>
          <w:sz w:val="32"/>
        </w:rPr>
        <w:sectPr w:rsidR="00186547">
          <w:pgSz w:w="12240" w:h="15840"/>
          <w:pgMar w:top="1820" w:right="0" w:bottom="280" w:left="360" w:header="720" w:footer="720" w:gutter="0"/>
          <w:cols w:space="720"/>
        </w:sectPr>
      </w:pPr>
    </w:p>
    <w:p w:rsidR="00186547" w:rsidRDefault="00AB4722">
      <w:pPr>
        <w:pStyle w:val="Heading1"/>
        <w:spacing w:line="240" w:lineRule="auto"/>
        <w:ind w:right="2904"/>
      </w:pPr>
      <w:r>
        <w:rPr>
          <w:spacing w:val="-2"/>
        </w:rPr>
        <w:lastRenderedPageBreak/>
        <w:t>INDEX</w:t>
      </w:r>
    </w:p>
    <w:p w:rsidR="00186547" w:rsidRDefault="00AB4722">
      <w:pPr>
        <w:pStyle w:val="BodyText"/>
        <w:spacing w:before="194" w:after="17"/>
        <w:ind w:left="3265" w:right="2905"/>
        <w:jc w:val="center"/>
      </w:pPr>
      <w:r/>
    </w:p>
    <w:p w:rsidR="00186547" w:rsidRDefault="00186547">
      <w:pPr>
        <w:pStyle w:val="TableParagraph"/>
        <w:rPr>
          <w:sz w:val="20"/>
        </w:rPr>
      </w:pPr>
    </w:p>
    <w:tbl>
      <w:tblPr>
        <w:tblW w:w="9415" w:type="dxa"/>
        <w:jc w:val="center"/>
        <w:tblLook w:val="04A0" w:firstRow="1" w:lastRow="0" w:firstColumn="1" w:lastColumn="0" w:noHBand="0" w:noVBand="1"/>
      </w:tblPr>
      <w:tblGrid>
        <w:gridCol w:w="1603"/>
        <w:gridCol w:w="807"/>
        <w:gridCol w:w="6045"/>
        <w:gridCol w:w="960"/>
      </w:tblGrid>
      <w:tr w:rsidR="00AF2613" w:rsidRPr="00AF2613" w:rsidTr="00AF2613">
        <w:trPr>
          <w:trHeight w:val="630"/>
          <w:jc w:val="center"/>
        </w:trPr>
        <w:tc>
          <w:tcPr>
            <w:tcW w:w="1603" w:type="dxa"/>
            <w:shd w:val="clear" w:color="auto" w:fill="auto"/>
            <w:vAlign w:val="center"/>
            <w:hideMark/>
          </w:tcPr>
          <w:p>
            <w:r>
              <w:t>Chapter No.</w:t>
            </w:r>
          </w:p>
        </w:tc>
        <w:tc>
          <w:tcPr>
            <w:tcW w:w="6852" w:type="dxa"/>
            <w:gridSpan w:val="2"/>
            <w:shd w:val="clear" w:color="auto" w:fill="auto"/>
            <w:vAlign w:val="center"/>
            <w:hideMark/>
          </w:tcPr>
          <w:p>
            <w:r>
              <w:t>Topic</w:t>
            </w:r>
          </w:p>
        </w:tc>
        <w:tc>
          <w:tcPr>
            <w:tcW w:w="960" w:type="dxa"/>
            <w:shd w:val="clear" w:color="auto" w:fill="auto"/>
            <w:vAlign w:val="center"/>
            <w:hideMark/>
          </w:tcPr>
          <w:p>
            <w:r>
              <w:t>Page No.</w:t>
            </w:r>
          </w:p>
        </w:tc>
      </w:tr>
      <w:tr w:rsidR="00AF2613" w:rsidRPr="00AF2613" w:rsidTr="00AF2613">
        <w:trPr>
          <w:trHeight w:val="465"/>
          <w:jc w:val="center"/>
        </w:trPr>
        <w:tc>
          <w:tcPr>
            <w:tcW w:w="1603" w:type="dxa"/>
            <w:shd w:val="clear" w:color="auto" w:fill="auto"/>
            <w:noWrap/>
            <w:vAlign w:val="bottom"/>
            <w:hideMark/>
          </w:tcPr>
          <w:p w:rsidR="00AF2613" w:rsidRPr="00AF2613" w:rsidRDefault="00AF2613" w:rsidP="00AF2613">
            <w:pPr>
              <w:widowControl/>
              <w:autoSpaceDE/>
              <w:autoSpaceDN/>
              <w:jc w:val="center"/>
              <w:rPr>
                <w:b/>
                <w:bCs/>
                <w:color w:val="000000"/>
                <w:sz w:val="24"/>
                <w:szCs w:val="24"/>
                <w:lang w:val="en-IN" w:eastAsia="en-IN"/>
              </w:rPr>
            </w:pPr>
          </w:p>
        </w:tc>
        <w:tc>
          <w:tcPr>
            <w:tcW w:w="6852" w:type="dxa"/>
            <w:gridSpan w:val="2"/>
            <w:shd w:val="clear" w:color="auto" w:fill="auto"/>
            <w:vAlign w:val="center"/>
            <w:hideMark/>
          </w:tcPr>
          <w:p w:rsidR="00AF2613" w:rsidRPr="00AF2613" w:rsidRDefault="00AF2613" w:rsidP="00AF2613">
            <w:pPr>
              <w:widowControl/>
              <w:autoSpaceDE/>
              <w:autoSpaceDN/>
              <w:ind w:firstLineChars="100" w:firstLine="240"/>
              <w:rPr>
                <w:b/>
                <w:bCs/>
                <w:color w:val="000000"/>
                <w:sz w:val="24"/>
                <w:szCs w:val="24"/>
                <w:lang w:val="en-IN" w:eastAsia="en-IN"/>
              </w:rPr>
            </w:pPr>
            <w:r w:rsidRPr="00AF2613">
              <w:rPr>
                <w:b/>
                <w:bCs/>
                <w:color w:val="000000"/>
                <w:sz w:val="24"/>
                <w:szCs w:val="24"/>
                <w:lang w:val="en-IN" w:eastAsia="en-IN"/>
              </w:rPr>
              <w:t>List of Figures</w:t>
            </w:r>
          </w:p>
        </w:tc>
        <w:tc>
          <w:tcPr>
            <w:tcW w:w="960" w:type="dxa"/>
            <w:shd w:val="clear" w:color="auto" w:fill="auto"/>
            <w:vAlign w:val="center"/>
            <w:hideMark/>
          </w:tcPr>
          <w:p>
            <w:pPr>
              <w:jc w:val="right"/>
            </w:pPr>
            <w:r>
              <w:rPr>
                <w:rFonts w:ascii="Times New Roman" w:hAnsi="Times New Roman"/>
                <w:sz w:val="22"/>
              </w:rPr>
              <w:t>I</w:t>
            </w:r>
          </w:p>
        </w:tc>
      </w:tr>
      <w:tr w:rsidR="00AF2613" w:rsidRPr="00AF2613" w:rsidTr="00AF2613">
        <w:trPr>
          <w:trHeight w:val="315"/>
          <w:jc w:val="center"/>
        </w:trPr>
        <w:tc>
          <w:tcPr>
            <w:tcW w:w="1603" w:type="dxa"/>
            <w:shd w:val="clear" w:color="auto" w:fill="auto"/>
            <w:noWrap/>
            <w:vAlign w:val="bottom"/>
            <w:hideMark/>
          </w:tcPr>
          <w:p w:rsidR="00AF2613" w:rsidRPr="00AF2613" w:rsidRDefault="00AF2613" w:rsidP="00AF2613">
            <w:pPr>
              <w:widowControl/>
              <w:autoSpaceDE/>
              <w:autoSpaceDN/>
              <w:jc w:val="center"/>
              <w:rPr>
                <w:b/>
                <w:bCs/>
                <w:color w:val="000000"/>
                <w:sz w:val="24"/>
                <w:szCs w:val="24"/>
                <w:lang w:val="en-IN" w:eastAsia="en-IN"/>
              </w:rPr>
            </w:pPr>
          </w:p>
        </w:tc>
        <w:tc>
          <w:tcPr>
            <w:tcW w:w="6852" w:type="dxa"/>
            <w:gridSpan w:val="2"/>
            <w:shd w:val="clear" w:color="auto" w:fill="auto"/>
            <w:vAlign w:val="center"/>
            <w:hideMark/>
          </w:tcPr>
          <w:p w:rsidR="00AF2613" w:rsidRPr="00AF2613" w:rsidRDefault="00AF2613" w:rsidP="00AF2613">
            <w:pPr>
              <w:widowControl/>
              <w:autoSpaceDE/>
              <w:autoSpaceDN/>
              <w:ind w:firstLineChars="100" w:firstLine="240"/>
              <w:rPr>
                <w:b/>
                <w:bCs/>
                <w:color w:val="000000"/>
                <w:sz w:val="24"/>
                <w:szCs w:val="24"/>
                <w:lang w:val="en-IN" w:eastAsia="en-IN"/>
              </w:rPr>
            </w:pPr>
            <w:r w:rsidRPr="00AF2613">
              <w:rPr>
                <w:b/>
                <w:bCs/>
                <w:color w:val="000000"/>
                <w:sz w:val="24"/>
                <w:szCs w:val="24"/>
                <w:lang w:val="en-IN" w:eastAsia="en-IN"/>
              </w:rPr>
              <w:t>List of Tables</w:t>
            </w:r>
          </w:p>
        </w:tc>
        <w:tc>
          <w:tcPr>
            <w:tcW w:w="960" w:type="dxa"/>
            <w:shd w:val="clear" w:color="auto" w:fill="auto"/>
            <w:vAlign w:val="center"/>
            <w:hideMark/>
          </w:tcPr>
          <w:p>
            <w:pPr>
              <w:jc w:val="right"/>
            </w:pPr>
            <w:r>
              <w:rPr>
                <w:rFonts w:ascii="Times New Roman" w:hAnsi="Times New Roman"/>
                <w:sz w:val="22"/>
              </w:rPr>
              <w:t>II</w:t>
            </w:r>
          </w:p>
        </w:tc>
      </w:tr>
      <w:tr w:rsidR="00AF2613" w:rsidRPr="00AF2613" w:rsidTr="00AF2613">
        <w:trPr>
          <w:trHeight w:val="315"/>
          <w:jc w:val="center"/>
        </w:trPr>
        <w:tc>
          <w:tcPr>
            <w:tcW w:w="1603" w:type="dxa"/>
            <w:shd w:val="clear" w:color="auto" w:fill="auto"/>
            <w:noWrap/>
            <w:vAlign w:val="bottom"/>
            <w:hideMark/>
          </w:tcPr>
          <w:p w:rsidR="00AF2613" w:rsidRPr="00AF2613" w:rsidRDefault="00AF2613" w:rsidP="00AF2613">
            <w:pPr>
              <w:widowControl/>
              <w:autoSpaceDE/>
              <w:autoSpaceDN/>
              <w:jc w:val="center"/>
              <w:rPr>
                <w:b/>
                <w:bCs/>
                <w:color w:val="000000"/>
                <w:sz w:val="24"/>
                <w:szCs w:val="24"/>
                <w:lang w:val="en-IN" w:eastAsia="en-IN"/>
              </w:rPr>
            </w:pPr>
          </w:p>
        </w:tc>
        <w:tc>
          <w:tcPr>
            <w:tcW w:w="6852" w:type="dxa"/>
            <w:gridSpan w:val="2"/>
            <w:shd w:val="clear" w:color="auto" w:fill="auto"/>
            <w:vAlign w:val="center"/>
            <w:hideMark/>
          </w:tcPr>
          <w:p w:rsidR="00AF2613" w:rsidRPr="00AF2613" w:rsidRDefault="00AF2613" w:rsidP="00AF2613">
            <w:pPr>
              <w:widowControl/>
              <w:autoSpaceDE/>
              <w:autoSpaceDN/>
              <w:ind w:firstLineChars="100" w:firstLine="240"/>
              <w:rPr>
                <w:b/>
                <w:bCs/>
                <w:color w:val="000000"/>
                <w:sz w:val="24"/>
                <w:szCs w:val="24"/>
                <w:lang w:val="en-IN" w:eastAsia="en-IN"/>
              </w:rPr>
            </w:pPr>
            <w:r w:rsidRPr="00AF2613">
              <w:rPr>
                <w:b/>
                <w:bCs/>
                <w:color w:val="000000"/>
                <w:sz w:val="24"/>
                <w:szCs w:val="24"/>
                <w:lang w:val="en-IN" w:eastAsia="en-IN"/>
              </w:rPr>
              <w:t>Abstract</w:t>
            </w:r>
          </w:p>
        </w:tc>
        <w:tc>
          <w:tcPr>
            <w:tcW w:w="960" w:type="dxa"/>
            <w:shd w:val="clear" w:color="auto" w:fill="auto"/>
            <w:vAlign w:val="center"/>
            <w:hideMark/>
          </w:tcPr>
          <w:p>
            <w:pPr>
              <w:jc w:val="right"/>
            </w:pPr>
            <w:r>
              <w:rPr>
                <w:rFonts w:ascii="Times New Roman" w:hAnsi="Times New Roman"/>
                <w:sz w:val="22"/>
              </w:rPr>
              <w:t>III</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jc w:val="center"/>
              <w:rPr>
                <w:b/>
                <w:bCs/>
                <w:color w:val="000000"/>
                <w:sz w:val="24"/>
                <w:szCs w:val="24"/>
                <w:lang w:val="en-IN" w:eastAsia="en-IN"/>
              </w:rPr>
            </w:pPr>
            <w:r w:rsidRPr="00AF2613">
              <w:rPr>
                <w:b/>
                <w:bCs/>
                <w:color w:val="000000"/>
                <w:sz w:val="24"/>
                <w:lang w:eastAsia="en-IN"/>
              </w:rPr>
              <w:t>Chapter 1</w:t>
            </w:r>
          </w:p>
        </w:tc>
        <w:tc>
          <w:tcPr>
            <w:tcW w:w="6852" w:type="dxa"/>
            <w:gridSpan w:val="2"/>
            <w:shd w:val="clear" w:color="auto" w:fill="auto"/>
            <w:vAlign w:val="center"/>
            <w:hideMark/>
          </w:tcPr>
          <w:p w:rsidR="00AF2613" w:rsidRPr="00AF2613" w:rsidRDefault="00AF2613" w:rsidP="00AF2613">
            <w:pPr>
              <w:widowControl/>
              <w:autoSpaceDE/>
              <w:autoSpaceDN/>
              <w:ind w:firstLineChars="100" w:firstLine="238"/>
              <w:rPr>
                <w:b/>
                <w:bCs/>
                <w:color w:val="000000"/>
                <w:sz w:val="24"/>
                <w:szCs w:val="24"/>
                <w:lang w:val="en-IN" w:eastAsia="en-IN"/>
              </w:rPr>
            </w:pPr>
            <w:r w:rsidRPr="00AF2613">
              <w:rPr>
                <w:b/>
                <w:bCs/>
                <w:color w:val="000000"/>
                <w:spacing w:val="-2"/>
                <w:sz w:val="24"/>
                <w:lang w:eastAsia="en-IN"/>
              </w:rPr>
              <w:t>Introduction</w:t>
            </w:r>
          </w:p>
        </w:tc>
        <w:tc>
          <w:tcPr>
            <w:tcW w:w="960" w:type="dxa"/>
            <w:shd w:val="clear" w:color="auto" w:fill="auto"/>
            <w:noWrap/>
            <w:vAlign w:val="bottom"/>
            <w:hideMark/>
          </w:tcPr>
          <w:p>
            <w:pPr>
              <w:jc w:val="right"/>
            </w:pPr>
            <w:r>
              <w:rPr>
                <w:rFonts w:ascii="Times New Roman" w:hAnsi="Times New Roman"/>
                <w:sz w:val="22"/>
              </w:rPr>
              <w:t>1</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1.1</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szCs w:val="24"/>
                <w:lang w:val="en-IN" w:eastAsia="en-IN"/>
              </w:rPr>
              <w:t>Overview of the Project</w:t>
            </w:r>
          </w:p>
        </w:tc>
        <w:tc>
          <w:tcPr>
            <w:tcW w:w="960" w:type="dxa"/>
            <w:shd w:val="clear" w:color="auto" w:fill="auto"/>
            <w:noWrap/>
            <w:vAlign w:val="bottom"/>
            <w:hideMark/>
          </w:tcPr>
          <w:p>
            <w:pPr>
              <w:jc w:val="right"/>
            </w:pPr>
            <w:r>
              <w:rPr>
                <w:rFonts w:ascii="Times New Roman" w:hAnsi="Times New Roman"/>
                <w:sz w:val="22"/>
              </w:rPr>
              <w:t>2</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1.2</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pacing w:val="-2"/>
                <w:sz w:val="24"/>
                <w:lang w:eastAsia="en-IN"/>
              </w:rPr>
              <w:t>Motivation &amp; Application</w:t>
            </w:r>
          </w:p>
        </w:tc>
        <w:tc>
          <w:tcPr>
            <w:tcW w:w="960" w:type="dxa"/>
            <w:shd w:val="clear" w:color="auto" w:fill="auto"/>
            <w:noWrap/>
            <w:vAlign w:val="bottom"/>
            <w:hideMark/>
          </w:tcPr>
          <w:p>
            <w:pPr>
              <w:jc w:val="right"/>
            </w:pPr>
            <w:r>
              <w:rPr>
                <w:rFonts w:ascii="Times New Roman" w:hAnsi="Times New Roman"/>
                <w:sz w:val="22"/>
              </w:rPr>
              <w:t>6</w:t>
            </w:r>
          </w:p>
        </w:tc>
      </w:tr>
      <w:tr w:rsidR="00AF2613" w:rsidRPr="00AF2613" w:rsidTr="00AF2613">
        <w:trPr>
          <w:trHeight w:val="231"/>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1.3</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Problem Definition</w:t>
            </w:r>
          </w:p>
        </w:tc>
        <w:tc>
          <w:tcPr>
            <w:tcW w:w="960" w:type="dxa"/>
            <w:shd w:val="clear" w:color="auto" w:fill="auto"/>
            <w:noWrap/>
            <w:vAlign w:val="bottom"/>
            <w:hideMark/>
          </w:tcPr>
          <w:p>
            <w:pPr>
              <w:jc w:val="right"/>
            </w:pPr>
            <w:r>
              <w:rPr>
                <w:rFonts w:ascii="Times New Roman" w:hAnsi="Times New Roman"/>
                <w:sz w:val="22"/>
              </w:rPr>
              <w:t>9</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1.4</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 xml:space="preserve">Objective &amp; Scope </w:t>
            </w:r>
          </w:p>
        </w:tc>
        <w:tc>
          <w:tcPr>
            <w:tcW w:w="960" w:type="dxa"/>
            <w:shd w:val="clear" w:color="auto" w:fill="auto"/>
            <w:noWrap/>
            <w:vAlign w:val="bottom"/>
            <w:hideMark/>
          </w:tcPr>
          <w:p>
            <w:pPr>
              <w:jc w:val="right"/>
            </w:pPr>
            <w:r>
              <w:rPr>
                <w:rFonts w:ascii="Times New Roman" w:hAnsi="Times New Roman"/>
                <w:sz w:val="22"/>
              </w:rPr>
              <w:t>12</w:t>
            </w:r>
          </w:p>
        </w:tc>
      </w:tr>
      <w:tr w:rsidR="00AF2613" w:rsidRPr="00AF2613" w:rsidTr="00AF2613">
        <w:trPr>
          <w:trHeight w:val="315"/>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1.5</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 xml:space="preserve">Expected outcome </w:t>
            </w:r>
          </w:p>
        </w:tc>
        <w:tc>
          <w:tcPr>
            <w:tcW w:w="960" w:type="dxa"/>
            <w:shd w:val="clear" w:color="auto" w:fill="auto"/>
            <w:noWrap/>
            <w:vAlign w:val="bottom"/>
            <w:hideMark/>
          </w:tcPr>
          <w:p>
            <w:pPr>
              <w:jc w:val="right"/>
            </w:pPr>
            <w:r>
              <w:rPr>
                <w:rFonts w:ascii="Times New Roman" w:hAnsi="Times New Roman"/>
                <w:sz w:val="22"/>
              </w:rPr>
              <w:t>15</w:t>
            </w:r>
          </w:p>
        </w:tc>
      </w:tr>
      <w:tr w:rsidR="00AF2613" w:rsidRPr="00AF2613" w:rsidTr="00AF2613">
        <w:trPr>
          <w:trHeight w:val="315"/>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1.6</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Organization of the Report</w:t>
            </w:r>
          </w:p>
        </w:tc>
        <w:tc>
          <w:tcPr>
            <w:tcW w:w="960" w:type="dxa"/>
            <w:shd w:val="clear" w:color="auto" w:fill="auto"/>
            <w:noWrap/>
            <w:vAlign w:val="bottom"/>
            <w:hideMark/>
          </w:tcPr>
          <w:p>
            <w:pPr>
              <w:jc w:val="right"/>
            </w:pPr>
            <w:r>
              <w:rPr>
                <w:rFonts w:ascii="Times New Roman" w:hAnsi="Times New Roman"/>
                <w:sz w:val="22"/>
              </w:rPr>
              <w:t>17</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jc w:val="center"/>
              <w:rPr>
                <w:b/>
                <w:bCs/>
                <w:color w:val="000000"/>
                <w:sz w:val="24"/>
                <w:szCs w:val="24"/>
                <w:lang w:val="en-IN" w:eastAsia="en-IN"/>
              </w:rPr>
            </w:pPr>
            <w:r w:rsidRPr="00AF2613">
              <w:rPr>
                <w:b/>
                <w:bCs/>
                <w:color w:val="000000"/>
                <w:sz w:val="24"/>
                <w:lang w:eastAsia="en-IN"/>
              </w:rPr>
              <w:t>Chapter 2</w:t>
            </w:r>
          </w:p>
        </w:tc>
        <w:tc>
          <w:tcPr>
            <w:tcW w:w="6852" w:type="dxa"/>
            <w:gridSpan w:val="2"/>
            <w:shd w:val="clear" w:color="auto" w:fill="auto"/>
            <w:vAlign w:val="center"/>
            <w:hideMark/>
          </w:tcPr>
          <w:p w:rsidR="00AF2613" w:rsidRPr="00AF2613" w:rsidRDefault="00AF2613" w:rsidP="00AF2613">
            <w:pPr>
              <w:widowControl/>
              <w:autoSpaceDE/>
              <w:autoSpaceDN/>
              <w:ind w:firstLineChars="100" w:firstLine="240"/>
              <w:rPr>
                <w:b/>
                <w:bCs/>
                <w:color w:val="000000"/>
                <w:sz w:val="24"/>
                <w:szCs w:val="24"/>
                <w:lang w:val="en-IN" w:eastAsia="en-IN"/>
              </w:rPr>
            </w:pPr>
            <w:r w:rsidRPr="00AF2613">
              <w:rPr>
                <w:b/>
                <w:bCs/>
                <w:color w:val="000000"/>
                <w:sz w:val="24"/>
                <w:lang w:eastAsia="en-IN"/>
              </w:rPr>
              <w:t>Literature Survey &amp; Proposed System</w:t>
            </w:r>
          </w:p>
        </w:tc>
        <w:tc>
          <w:tcPr>
            <w:tcW w:w="960" w:type="dxa"/>
            <w:shd w:val="clear" w:color="auto" w:fill="auto"/>
            <w:noWrap/>
            <w:vAlign w:val="bottom"/>
            <w:hideMark/>
          </w:tcPr>
          <w:p>
            <w:pPr>
              <w:jc w:val="right"/>
            </w:pPr>
            <w:r>
              <w:rPr>
                <w:rFonts w:ascii="Times New Roman" w:hAnsi="Times New Roman"/>
                <w:sz w:val="22"/>
              </w:rPr>
              <w:t>19</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2.1</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Literature review of Existing System</w:t>
            </w:r>
          </w:p>
        </w:tc>
        <w:tc>
          <w:tcPr>
            <w:tcW w:w="960" w:type="dxa"/>
            <w:shd w:val="clear" w:color="auto" w:fill="auto"/>
            <w:noWrap/>
            <w:vAlign w:val="bottom"/>
            <w:hideMark/>
          </w:tcPr>
          <w:p>
            <w:pPr>
              <w:jc w:val="right"/>
            </w:pPr>
            <w:r>
              <w:rPr>
                <w:rFonts w:ascii="Times New Roman" w:hAnsi="Times New Roman"/>
                <w:sz w:val="22"/>
              </w:rPr>
              <w:t>20</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2.2</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Limitations of Existing System &amp; Gap Analysis</w:t>
            </w:r>
          </w:p>
        </w:tc>
        <w:tc>
          <w:tcPr>
            <w:tcW w:w="960" w:type="dxa"/>
            <w:shd w:val="clear" w:color="auto" w:fill="auto"/>
            <w:noWrap/>
            <w:vAlign w:val="bottom"/>
            <w:hideMark/>
          </w:tcPr>
          <w:p>
            <w:pPr>
              <w:jc w:val="right"/>
            </w:pPr>
            <w:r>
              <w:rPr>
                <w:rFonts w:ascii="Times New Roman" w:hAnsi="Times New Roman"/>
                <w:sz w:val="22"/>
              </w:rPr>
              <w:t>29</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2.3</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Proposed System</w:t>
            </w:r>
          </w:p>
        </w:tc>
        <w:tc>
          <w:tcPr>
            <w:tcW w:w="960" w:type="dxa"/>
            <w:shd w:val="clear" w:color="auto" w:fill="auto"/>
            <w:noWrap/>
            <w:vAlign w:val="bottom"/>
            <w:hideMark/>
          </w:tcPr>
          <w:p>
            <w:pPr>
              <w:jc w:val="right"/>
            </w:pPr>
            <w:r>
              <w:rPr>
                <w:rFonts w:ascii="Times New Roman" w:hAnsi="Times New Roman"/>
                <w:sz w:val="22"/>
              </w:rPr>
              <w:t>36</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jc w:val="center"/>
              <w:rPr>
                <w:b/>
                <w:bCs/>
                <w:color w:val="000000"/>
                <w:sz w:val="24"/>
                <w:szCs w:val="24"/>
                <w:lang w:val="en-IN" w:eastAsia="en-IN"/>
              </w:rPr>
            </w:pPr>
            <w:r w:rsidRPr="00AF2613">
              <w:rPr>
                <w:b/>
                <w:bCs/>
                <w:color w:val="000000"/>
                <w:sz w:val="24"/>
                <w:lang w:eastAsia="en-IN"/>
              </w:rPr>
              <w:t>Chapter 3</w:t>
            </w:r>
          </w:p>
        </w:tc>
        <w:tc>
          <w:tcPr>
            <w:tcW w:w="6852" w:type="dxa"/>
            <w:gridSpan w:val="2"/>
            <w:shd w:val="clear" w:color="auto" w:fill="auto"/>
            <w:vAlign w:val="center"/>
            <w:hideMark/>
          </w:tcPr>
          <w:p w:rsidR="00AF2613" w:rsidRPr="00AF2613" w:rsidRDefault="00AF2613" w:rsidP="00AF2613">
            <w:pPr>
              <w:widowControl/>
              <w:autoSpaceDE/>
              <w:autoSpaceDN/>
              <w:ind w:firstLineChars="100" w:firstLine="240"/>
              <w:rPr>
                <w:b/>
                <w:bCs/>
                <w:color w:val="000000"/>
                <w:sz w:val="24"/>
                <w:szCs w:val="24"/>
                <w:lang w:val="en-IN" w:eastAsia="en-IN"/>
              </w:rPr>
            </w:pPr>
            <w:r w:rsidRPr="00AF2613">
              <w:rPr>
                <w:b/>
                <w:bCs/>
                <w:color w:val="000000"/>
                <w:sz w:val="24"/>
                <w:lang w:eastAsia="en-IN"/>
              </w:rPr>
              <w:t>Requirement Gathering, Analysis and Planning</w:t>
            </w:r>
          </w:p>
        </w:tc>
        <w:tc>
          <w:tcPr>
            <w:tcW w:w="960" w:type="dxa"/>
            <w:shd w:val="clear" w:color="auto" w:fill="auto"/>
            <w:noWrap/>
            <w:vAlign w:val="bottom"/>
            <w:hideMark/>
          </w:tcPr>
          <w:p>
            <w:pPr>
              <w:jc w:val="right"/>
            </w:pPr>
            <w:r>
              <w:rPr>
                <w:rFonts w:ascii="Times New Roman" w:hAnsi="Times New Roman"/>
                <w:sz w:val="22"/>
              </w:rPr>
              <w:t>45</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3.1</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Requirement Specification</w:t>
            </w:r>
          </w:p>
        </w:tc>
        <w:tc>
          <w:tcPr>
            <w:tcW w:w="960" w:type="dxa"/>
            <w:shd w:val="clear" w:color="auto" w:fill="auto"/>
            <w:noWrap/>
            <w:vAlign w:val="bottom"/>
            <w:hideMark/>
          </w:tcPr>
          <w:p>
            <w:pPr>
              <w:jc w:val="right"/>
            </w:pPr>
            <w:r>
              <w:rPr>
                <w:rFonts w:ascii="Times New Roman" w:hAnsi="Times New Roman"/>
                <w:sz w:val="22"/>
              </w:rPr>
              <w:t>46</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3.2</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Feasibility Study</w:t>
            </w:r>
          </w:p>
        </w:tc>
        <w:tc>
          <w:tcPr>
            <w:tcW w:w="960" w:type="dxa"/>
            <w:shd w:val="clear" w:color="auto" w:fill="auto"/>
            <w:noWrap/>
            <w:vAlign w:val="bottom"/>
            <w:hideMark/>
          </w:tcPr>
          <w:p>
            <w:pPr>
              <w:jc w:val="right"/>
            </w:pPr>
            <w:r>
              <w:rPr>
                <w:rFonts w:ascii="Times New Roman" w:hAnsi="Times New Roman"/>
                <w:sz w:val="22"/>
              </w:rPr>
              <w:t>54</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3.3</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pacing w:val="-2"/>
                <w:sz w:val="24"/>
                <w:lang w:eastAsia="en-IN"/>
              </w:rPr>
              <w:t>Methodology</w:t>
            </w:r>
          </w:p>
        </w:tc>
        <w:tc>
          <w:tcPr>
            <w:tcW w:w="960" w:type="dxa"/>
            <w:shd w:val="clear" w:color="auto" w:fill="auto"/>
            <w:noWrap/>
            <w:vAlign w:val="bottom"/>
            <w:hideMark/>
          </w:tcPr>
          <w:p>
            <w:pPr>
              <w:jc w:val="right"/>
            </w:pPr>
            <w:r>
              <w:rPr>
                <w:rFonts w:ascii="Times New Roman" w:hAnsi="Times New Roman"/>
                <w:sz w:val="22"/>
              </w:rPr>
              <w:t>59</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3.4</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pacing w:val="-2"/>
                <w:sz w:val="24"/>
                <w:lang w:eastAsia="en-IN"/>
              </w:rPr>
              <w:t>Technology Stack</w:t>
            </w:r>
          </w:p>
        </w:tc>
        <w:tc>
          <w:tcPr>
            <w:tcW w:w="960" w:type="dxa"/>
            <w:shd w:val="clear" w:color="auto" w:fill="auto"/>
            <w:noWrap/>
            <w:vAlign w:val="bottom"/>
            <w:hideMark/>
          </w:tcPr>
          <w:p>
            <w:pPr>
              <w:jc w:val="right"/>
            </w:pPr>
            <w:r>
              <w:rPr>
                <w:rFonts w:ascii="Times New Roman" w:hAnsi="Times New Roman"/>
                <w:sz w:val="22"/>
              </w:rPr>
              <w:t>66</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3.5</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Gantt Chart and Process Model</w:t>
            </w:r>
          </w:p>
        </w:tc>
        <w:tc>
          <w:tcPr>
            <w:tcW w:w="960" w:type="dxa"/>
            <w:shd w:val="clear" w:color="auto" w:fill="auto"/>
            <w:noWrap/>
            <w:vAlign w:val="bottom"/>
            <w:hideMark/>
          </w:tcPr>
          <w:p>
            <w:pPr>
              <w:jc w:val="right"/>
            </w:pPr>
            <w:r>
              <w:rPr>
                <w:rFonts w:ascii="Times New Roman" w:hAnsi="Times New Roman"/>
                <w:sz w:val="22"/>
              </w:rPr>
              <w:t>72</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3.6</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System Analysis (Functional, Structural, and Behavioral Models)</w:t>
            </w:r>
          </w:p>
        </w:tc>
        <w:tc>
          <w:tcPr>
            <w:tcW w:w="960" w:type="dxa"/>
            <w:shd w:val="clear" w:color="auto" w:fill="auto"/>
            <w:noWrap/>
            <w:vAlign w:val="bottom"/>
            <w:hideMark/>
          </w:tcPr>
          <w:p>
            <w:pPr>
              <w:jc w:val="right"/>
            </w:pPr>
            <w:r>
              <w:rPr>
                <w:rFonts w:ascii="Times New Roman" w:hAnsi="Times New Roman"/>
                <w:sz w:val="22"/>
              </w:rPr>
              <w:t>77</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jc w:val="center"/>
              <w:rPr>
                <w:b/>
                <w:bCs/>
                <w:color w:val="000000"/>
                <w:sz w:val="24"/>
                <w:szCs w:val="24"/>
                <w:lang w:val="en-IN" w:eastAsia="en-IN"/>
              </w:rPr>
            </w:pPr>
            <w:r w:rsidRPr="00AF2613">
              <w:rPr>
                <w:b/>
                <w:bCs/>
                <w:color w:val="000000"/>
                <w:sz w:val="24"/>
                <w:lang w:eastAsia="en-IN"/>
              </w:rPr>
              <w:t>Chapter 4</w:t>
            </w:r>
          </w:p>
        </w:tc>
        <w:tc>
          <w:tcPr>
            <w:tcW w:w="6852" w:type="dxa"/>
            <w:gridSpan w:val="2"/>
            <w:shd w:val="clear" w:color="auto" w:fill="auto"/>
            <w:vAlign w:val="center"/>
            <w:hideMark/>
          </w:tcPr>
          <w:p w:rsidR="00AF2613" w:rsidRPr="00AF2613" w:rsidRDefault="00AF2613" w:rsidP="00AF2613">
            <w:pPr>
              <w:widowControl/>
              <w:autoSpaceDE/>
              <w:autoSpaceDN/>
              <w:ind w:firstLineChars="100" w:firstLine="240"/>
              <w:rPr>
                <w:b/>
                <w:bCs/>
                <w:color w:val="000000"/>
                <w:sz w:val="24"/>
                <w:szCs w:val="24"/>
                <w:lang w:val="en-IN" w:eastAsia="en-IN"/>
              </w:rPr>
            </w:pPr>
            <w:r w:rsidRPr="00AF2613">
              <w:rPr>
                <w:b/>
                <w:bCs/>
                <w:color w:val="000000"/>
                <w:sz w:val="24"/>
                <w:lang w:eastAsia="en-IN"/>
              </w:rPr>
              <w:t>System Design and Experimental Set up</w:t>
            </w:r>
          </w:p>
        </w:tc>
        <w:tc>
          <w:tcPr>
            <w:tcW w:w="960" w:type="dxa"/>
            <w:shd w:val="clear" w:color="auto" w:fill="auto"/>
            <w:noWrap/>
            <w:vAlign w:val="bottom"/>
            <w:hideMark/>
          </w:tcPr>
          <w:p>
            <w:pPr>
              <w:jc w:val="right"/>
            </w:pPr>
            <w:r>
              <w:rPr>
                <w:rFonts w:ascii="Times New Roman" w:hAnsi="Times New Roman"/>
                <w:sz w:val="22"/>
              </w:rPr>
              <w:t>87</w:t>
            </w:r>
          </w:p>
        </w:tc>
      </w:tr>
      <w:tr w:rsidR="00AF2613" w:rsidRPr="00AF2613" w:rsidTr="00AF2613">
        <w:trPr>
          <w:trHeight w:val="270"/>
          <w:jc w:val="center"/>
        </w:trPr>
        <w:tc>
          <w:tcPr>
            <w:tcW w:w="1603" w:type="dxa"/>
            <w:vMerge w:val="restart"/>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4.1</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System Architecture &amp; Diagrams (DFD/UML/ Block Diagram/Physical Layout)</w:t>
            </w:r>
          </w:p>
        </w:tc>
        <w:tc>
          <w:tcPr>
            <w:tcW w:w="960" w:type="dxa"/>
            <w:shd w:val="clear" w:color="auto" w:fill="auto"/>
            <w:noWrap/>
            <w:vAlign w:val="bottom"/>
            <w:hideMark/>
          </w:tcPr>
          <w:p>
            <w:pPr>
              <w:jc w:val="right"/>
            </w:pPr>
            <w:r>
              <w:rPr>
                <w:rFonts w:ascii="Times New Roman" w:hAnsi="Times New Roman"/>
                <w:sz w:val="22"/>
              </w:rPr>
              <w:t>88</w:t>
            </w:r>
          </w:p>
        </w:tc>
      </w:tr>
      <w:tr w:rsidR="00AF2613" w:rsidRPr="00AF2613" w:rsidTr="00AF2613">
        <w:trPr>
          <w:trHeight w:val="270"/>
          <w:jc w:val="center"/>
        </w:trPr>
        <w:tc>
          <w:tcPr>
            <w:tcW w:w="1603" w:type="dxa"/>
            <w:vMerge/>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4.2</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Algorithm &amp; Process flow design (Flowchart/Pseudo</w:t>
            </w:r>
            <w:r w:rsidR="00CF3539">
              <w:rPr>
                <w:color w:val="000000"/>
                <w:sz w:val="24"/>
                <w:lang w:eastAsia="en-IN"/>
              </w:rPr>
              <w:t xml:space="preserve"> </w:t>
            </w:r>
            <w:r w:rsidRPr="00AF2613">
              <w:rPr>
                <w:color w:val="000000"/>
                <w:sz w:val="24"/>
                <w:lang w:eastAsia="en-IN"/>
              </w:rPr>
              <w:t>Code)</w:t>
            </w:r>
          </w:p>
        </w:tc>
        <w:tc>
          <w:tcPr>
            <w:tcW w:w="960" w:type="dxa"/>
            <w:shd w:val="clear" w:color="auto" w:fill="auto"/>
            <w:noWrap/>
            <w:vAlign w:val="bottom"/>
            <w:hideMark/>
          </w:tcPr>
          <w:p>
            <w:pPr>
              <w:jc w:val="right"/>
            </w:pPr>
            <w:r>
              <w:rPr>
                <w:rFonts w:ascii="Times New Roman" w:hAnsi="Times New Roman"/>
                <w:sz w:val="22"/>
              </w:rPr>
              <w:t>99</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4.3</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User Interface &amp; Input Data Design (Snapshots/ circuits/Structure)</w:t>
            </w:r>
          </w:p>
        </w:tc>
        <w:tc>
          <w:tcPr>
            <w:tcW w:w="960" w:type="dxa"/>
            <w:shd w:val="clear" w:color="auto" w:fill="auto"/>
            <w:noWrap/>
            <w:vAlign w:val="bottom"/>
            <w:hideMark/>
          </w:tcPr>
          <w:p>
            <w:pPr>
              <w:jc w:val="right"/>
            </w:pPr>
            <w:r>
              <w:rPr>
                <w:rFonts w:ascii="Times New Roman" w:hAnsi="Times New Roman"/>
                <w:sz w:val="22"/>
              </w:rPr>
              <w:t>111</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4.4</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szCs w:val="24"/>
                <w:lang w:val="en-IN" w:eastAsia="en-IN"/>
              </w:rPr>
              <w:t>Experimental Setup and Tools (Software &amp; Hardware)</w:t>
            </w:r>
          </w:p>
        </w:tc>
        <w:tc>
          <w:tcPr>
            <w:tcW w:w="960" w:type="dxa"/>
            <w:shd w:val="clear" w:color="auto" w:fill="auto"/>
            <w:noWrap/>
            <w:vAlign w:val="bottom"/>
            <w:hideMark/>
          </w:tcPr>
          <w:p>
            <w:pPr>
              <w:jc w:val="right"/>
            </w:pPr>
            <w:r>
              <w:rPr>
                <w:rFonts w:ascii="Times New Roman" w:hAnsi="Times New Roman"/>
                <w:sz w:val="22"/>
              </w:rPr>
              <w:t>121</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4.5</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pacing w:val="-5"/>
                <w:sz w:val="24"/>
                <w:lang w:eastAsia="en-IN"/>
              </w:rPr>
              <w:t>Implementation, Deployment and Testing</w:t>
            </w:r>
          </w:p>
        </w:tc>
        <w:tc>
          <w:tcPr>
            <w:tcW w:w="960" w:type="dxa"/>
            <w:shd w:val="clear" w:color="auto" w:fill="auto"/>
            <w:noWrap/>
            <w:vAlign w:val="bottom"/>
            <w:hideMark/>
          </w:tcPr>
          <w:p>
            <w:pPr>
              <w:jc w:val="right"/>
            </w:pPr>
            <w:r>
              <w:rPr>
                <w:rFonts w:ascii="Times New Roman" w:hAnsi="Times New Roman"/>
                <w:sz w:val="22"/>
              </w:rPr>
              <w:t>126</w:t>
            </w:r>
          </w:p>
        </w:tc>
      </w:tr>
      <w:tr w:rsidR="00AF2613" w:rsidRPr="00AF2613" w:rsidTr="00AF2613">
        <w:trPr>
          <w:trHeight w:val="270"/>
          <w:jc w:val="center"/>
        </w:trPr>
        <w:tc>
          <w:tcPr>
            <w:tcW w:w="1603" w:type="dxa"/>
            <w:vMerge w:val="restart"/>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4.6</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 xml:space="preserve">Performance Evaluation. </w:t>
            </w:r>
          </w:p>
        </w:tc>
        <w:tc>
          <w:tcPr>
            <w:tcW w:w="960" w:type="dxa"/>
            <w:shd w:val="clear" w:color="auto" w:fill="auto"/>
            <w:noWrap/>
            <w:vAlign w:val="bottom"/>
            <w:hideMark/>
          </w:tcPr>
          <w:p>
            <w:pPr>
              <w:jc w:val="right"/>
            </w:pPr>
            <w:r>
              <w:rPr>
                <w:rFonts w:ascii="Times New Roman" w:hAnsi="Times New Roman"/>
                <w:sz w:val="22"/>
              </w:rPr>
              <w:t>137</w:t>
            </w:r>
          </w:p>
        </w:tc>
      </w:tr>
      <w:tr w:rsidR="00AF2613" w:rsidRPr="00AF2613" w:rsidTr="00AF2613">
        <w:trPr>
          <w:trHeight w:val="270"/>
          <w:jc w:val="center"/>
        </w:trPr>
        <w:tc>
          <w:tcPr>
            <w:tcW w:w="1603" w:type="dxa"/>
            <w:vMerge/>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4.7</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Summary</w:t>
            </w:r>
          </w:p>
        </w:tc>
        <w:tc>
          <w:tcPr>
            <w:tcW w:w="960" w:type="dxa"/>
            <w:shd w:val="clear" w:color="auto" w:fill="auto"/>
            <w:noWrap/>
            <w:vAlign w:val="bottom"/>
            <w:hideMark/>
          </w:tcPr>
          <w:p>
            <w:pPr>
              <w:jc w:val="right"/>
            </w:pPr>
            <w:r>
              <w:rPr>
                <w:rFonts w:ascii="Times New Roman" w:hAnsi="Times New Roman"/>
                <w:sz w:val="22"/>
              </w:rPr>
              <w:t>145</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b/>
                <w:bCs/>
                <w:color w:val="000000"/>
                <w:sz w:val="24"/>
                <w:szCs w:val="24"/>
                <w:lang w:val="en-IN" w:eastAsia="en-IN"/>
              </w:rPr>
            </w:pPr>
            <w:r w:rsidRPr="00AF2613">
              <w:rPr>
                <w:b/>
                <w:bCs/>
                <w:color w:val="000000"/>
                <w:sz w:val="24"/>
                <w:lang w:eastAsia="en-IN"/>
              </w:rPr>
              <w:t>Chapter 5</w:t>
            </w:r>
          </w:p>
        </w:tc>
        <w:tc>
          <w:tcPr>
            <w:tcW w:w="6852" w:type="dxa"/>
            <w:gridSpan w:val="2"/>
            <w:shd w:val="clear" w:color="auto" w:fill="auto"/>
            <w:vAlign w:val="center"/>
            <w:hideMark/>
          </w:tcPr>
          <w:p w:rsidR="00AF2613" w:rsidRPr="00AF2613" w:rsidRDefault="00AF2613" w:rsidP="00AF2613">
            <w:pPr>
              <w:widowControl/>
              <w:autoSpaceDE/>
              <w:autoSpaceDN/>
              <w:ind w:firstLineChars="100" w:firstLine="240"/>
              <w:rPr>
                <w:b/>
                <w:bCs/>
                <w:color w:val="000000"/>
                <w:sz w:val="24"/>
                <w:szCs w:val="24"/>
                <w:lang w:val="en-IN" w:eastAsia="en-IN"/>
              </w:rPr>
            </w:pPr>
            <w:r w:rsidRPr="00AF2613">
              <w:rPr>
                <w:b/>
                <w:bCs/>
                <w:color w:val="000000"/>
                <w:sz w:val="24"/>
                <w:szCs w:val="24"/>
                <w:lang w:eastAsia="en-IN"/>
              </w:rPr>
              <w:t>Results &amp; Discussion</w:t>
            </w:r>
          </w:p>
        </w:tc>
        <w:tc>
          <w:tcPr>
            <w:tcW w:w="960" w:type="dxa"/>
            <w:shd w:val="clear" w:color="auto" w:fill="auto"/>
            <w:noWrap/>
            <w:vAlign w:val="bottom"/>
            <w:hideMark/>
          </w:tcPr>
          <w:p>
            <w:pPr>
              <w:jc w:val="right"/>
            </w:pPr>
            <w:r>
              <w:rPr>
                <w:rFonts w:ascii="Times New Roman" w:hAnsi="Times New Roman"/>
                <w:sz w:val="22"/>
              </w:rPr>
              <w:t>147</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5.1</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w w:val="102"/>
                <w:sz w:val="24"/>
                <w:szCs w:val="24"/>
                <w:lang w:eastAsia="en-IN"/>
              </w:rPr>
              <w:t>Outputs &amp; Outcomes</w:t>
            </w:r>
          </w:p>
        </w:tc>
        <w:tc>
          <w:tcPr>
            <w:tcW w:w="960" w:type="dxa"/>
            <w:shd w:val="clear" w:color="auto" w:fill="auto"/>
            <w:noWrap/>
            <w:vAlign w:val="bottom"/>
            <w:hideMark/>
          </w:tcPr>
          <w:p>
            <w:pPr>
              <w:jc w:val="right"/>
            </w:pPr>
            <w:r>
              <w:rPr>
                <w:rFonts w:ascii="Times New Roman" w:hAnsi="Times New Roman"/>
                <w:sz w:val="22"/>
              </w:rPr>
              <w:t>148</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40"/>
              <w:rPr>
                <w:color w:val="000000"/>
                <w:sz w:val="24"/>
                <w:szCs w:val="24"/>
                <w:lang w:val="en-IN" w:eastAsia="en-IN"/>
              </w:rPr>
            </w:pPr>
            <w:r w:rsidRPr="00AF2613">
              <w:rPr>
                <w:color w:val="000000"/>
                <w:sz w:val="24"/>
                <w:szCs w:val="24"/>
                <w:lang w:val="en-IN" w:eastAsia="en-IN"/>
              </w:rPr>
              <w:t>5.2</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szCs w:val="24"/>
                <w:lang w:val="en-IN" w:eastAsia="en-IN"/>
              </w:rPr>
              <w:t>Analysis of Results &amp; Interpretation of data</w:t>
            </w:r>
          </w:p>
        </w:tc>
        <w:tc>
          <w:tcPr>
            <w:tcW w:w="960" w:type="dxa"/>
            <w:shd w:val="clear" w:color="auto" w:fill="auto"/>
            <w:noWrap/>
            <w:vAlign w:val="bottom"/>
            <w:hideMark/>
          </w:tcPr>
          <w:p>
            <w:pPr>
              <w:jc w:val="right"/>
            </w:pPr>
            <w:r>
              <w:rPr>
                <w:rFonts w:ascii="Times New Roman" w:hAnsi="Times New Roman"/>
                <w:sz w:val="22"/>
              </w:rPr>
              <w:t>157</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5.3</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w w:val="102"/>
                <w:sz w:val="24"/>
                <w:szCs w:val="24"/>
                <w:lang w:eastAsia="en-IN"/>
              </w:rPr>
              <w:t>Discussion of Results &amp; Limitations of the System</w:t>
            </w:r>
          </w:p>
        </w:tc>
        <w:tc>
          <w:tcPr>
            <w:tcW w:w="960" w:type="dxa"/>
            <w:shd w:val="clear" w:color="auto" w:fill="auto"/>
            <w:noWrap/>
            <w:vAlign w:val="bottom"/>
            <w:hideMark/>
          </w:tcPr>
          <w:p>
            <w:pPr>
              <w:jc w:val="right"/>
            </w:pPr>
            <w:r>
              <w:rPr>
                <w:rFonts w:ascii="Times New Roman" w:hAnsi="Times New Roman"/>
                <w:sz w:val="22"/>
              </w:rPr>
              <w:t>165</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b/>
                <w:bCs/>
                <w:color w:val="000000"/>
                <w:sz w:val="24"/>
                <w:szCs w:val="24"/>
                <w:lang w:val="en-IN" w:eastAsia="en-IN"/>
              </w:rPr>
            </w:pPr>
            <w:r w:rsidRPr="00AF2613">
              <w:rPr>
                <w:b/>
                <w:bCs/>
                <w:color w:val="000000"/>
                <w:sz w:val="24"/>
                <w:lang w:eastAsia="en-IN"/>
              </w:rPr>
              <w:t>Chapter 6</w:t>
            </w:r>
          </w:p>
        </w:tc>
        <w:tc>
          <w:tcPr>
            <w:tcW w:w="6852" w:type="dxa"/>
            <w:gridSpan w:val="2"/>
            <w:shd w:val="clear" w:color="auto" w:fill="auto"/>
            <w:vAlign w:val="center"/>
            <w:hideMark/>
          </w:tcPr>
          <w:p w:rsidR="00AF2613" w:rsidRPr="00AF2613" w:rsidRDefault="00AF2613" w:rsidP="00AF2613">
            <w:pPr>
              <w:widowControl/>
              <w:autoSpaceDE/>
              <w:autoSpaceDN/>
              <w:ind w:firstLineChars="100" w:firstLine="240"/>
              <w:rPr>
                <w:b/>
                <w:bCs/>
                <w:color w:val="000000"/>
                <w:sz w:val="24"/>
                <w:szCs w:val="24"/>
                <w:lang w:val="en-IN" w:eastAsia="en-IN"/>
              </w:rPr>
            </w:pPr>
            <w:r w:rsidRPr="00AF2613">
              <w:rPr>
                <w:b/>
                <w:bCs/>
                <w:color w:val="000000"/>
                <w:sz w:val="24"/>
                <w:lang w:eastAsia="en-IN"/>
              </w:rPr>
              <w:t>Conclusion &amp; Future Scope</w:t>
            </w:r>
          </w:p>
        </w:tc>
        <w:tc>
          <w:tcPr>
            <w:tcW w:w="960" w:type="dxa"/>
            <w:shd w:val="clear" w:color="auto" w:fill="auto"/>
            <w:noWrap/>
            <w:vAlign w:val="bottom"/>
            <w:hideMark/>
          </w:tcPr>
          <w:p>
            <w:pPr>
              <w:jc w:val="right"/>
            </w:pPr>
            <w:r>
              <w:rPr>
                <w:rFonts w:ascii="Times New Roman" w:hAnsi="Times New Roman"/>
                <w:sz w:val="22"/>
              </w:rPr>
              <w:t>172</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6.1</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Summary of work completed</w:t>
            </w:r>
          </w:p>
        </w:tc>
        <w:tc>
          <w:tcPr>
            <w:tcW w:w="960" w:type="dxa"/>
            <w:shd w:val="clear" w:color="auto" w:fill="auto"/>
            <w:noWrap/>
            <w:vAlign w:val="bottom"/>
            <w:hideMark/>
          </w:tcPr>
          <w:p>
            <w:pPr>
              <w:jc w:val="right"/>
            </w:pPr>
            <w:r>
              <w:rPr>
                <w:rFonts w:ascii="Times New Roman" w:hAnsi="Times New Roman"/>
                <w:sz w:val="22"/>
              </w:rPr>
              <w:t>173</w:t>
            </w:r>
          </w:p>
        </w:tc>
      </w:tr>
      <w:tr w:rsidR="00AF2613" w:rsidRPr="00AF2613" w:rsidTr="00AF2613">
        <w:trPr>
          <w:trHeight w:val="270"/>
          <w:jc w:val="center"/>
        </w:trPr>
        <w:tc>
          <w:tcPr>
            <w:tcW w:w="1603" w:type="dxa"/>
            <w:shd w:val="clear" w:color="auto" w:fill="auto"/>
            <w:vAlign w:val="center"/>
            <w:hideMark/>
          </w:tcPr>
          <w:p w:rsidR="00AF2613" w:rsidRPr="00AF2613" w:rsidRDefault="00AF2613" w:rsidP="00AF2613">
            <w:pPr>
              <w:widowControl/>
              <w:autoSpaceDE/>
              <w:autoSpaceDN/>
              <w:rPr>
                <w:sz w:val="20"/>
                <w:szCs w:val="20"/>
                <w:lang w:val="en-IN" w:eastAsia="en-IN"/>
              </w:rPr>
            </w:pPr>
          </w:p>
        </w:tc>
        <w:tc>
          <w:tcPr>
            <w:tcW w:w="807" w:type="dxa"/>
            <w:shd w:val="clear" w:color="auto" w:fill="auto"/>
            <w:vAlign w:val="center"/>
            <w:hideMark/>
          </w:tcPr>
          <w:p w:rsidR="00AF2613" w:rsidRPr="00AF2613" w:rsidRDefault="00AF2613" w:rsidP="00AF2613">
            <w:pPr>
              <w:widowControl/>
              <w:autoSpaceDE/>
              <w:autoSpaceDN/>
              <w:ind w:firstLineChars="100" w:firstLine="235"/>
              <w:rPr>
                <w:color w:val="000000"/>
                <w:sz w:val="24"/>
                <w:szCs w:val="24"/>
                <w:lang w:val="en-IN" w:eastAsia="en-IN"/>
              </w:rPr>
            </w:pPr>
            <w:r w:rsidRPr="00AF2613">
              <w:rPr>
                <w:color w:val="000000"/>
                <w:spacing w:val="-5"/>
                <w:sz w:val="24"/>
                <w:lang w:eastAsia="en-IN"/>
              </w:rPr>
              <w:t>6.2</w:t>
            </w:r>
          </w:p>
        </w:tc>
        <w:tc>
          <w:tcPr>
            <w:tcW w:w="6045" w:type="dxa"/>
            <w:shd w:val="clear" w:color="auto" w:fill="auto"/>
            <w:vAlign w:val="center"/>
            <w:hideMark/>
          </w:tcPr>
          <w:p w:rsidR="00AF2613" w:rsidRPr="00AF2613" w:rsidRDefault="00AF2613" w:rsidP="00AF2613">
            <w:pPr>
              <w:widowControl/>
              <w:autoSpaceDE/>
              <w:autoSpaceDN/>
              <w:rPr>
                <w:color w:val="000000"/>
                <w:sz w:val="24"/>
                <w:szCs w:val="24"/>
                <w:lang w:val="en-IN" w:eastAsia="en-IN"/>
              </w:rPr>
            </w:pPr>
            <w:r w:rsidRPr="00AF2613">
              <w:rPr>
                <w:color w:val="000000"/>
                <w:sz w:val="24"/>
                <w:lang w:eastAsia="en-IN"/>
              </w:rPr>
              <w:t>Future Scope</w:t>
            </w:r>
          </w:p>
        </w:tc>
        <w:tc>
          <w:tcPr>
            <w:tcW w:w="960" w:type="dxa"/>
            <w:shd w:val="clear" w:color="auto" w:fill="auto"/>
            <w:noWrap/>
            <w:vAlign w:val="bottom"/>
            <w:hideMark/>
          </w:tcPr>
          <w:p>
            <w:pPr>
              <w:jc w:val="right"/>
            </w:pPr>
            <w:r>
              <w:rPr>
                <w:rFonts w:ascii="Times New Roman" w:hAnsi="Times New Roman"/>
                <w:sz w:val="22"/>
              </w:rPr>
              <w:t>176</w:t>
            </w:r>
          </w:p>
        </w:tc>
      </w:tr>
    </w:tbl>
    <w:p w:rsidR="00AF2613" w:rsidRDefault="00AF2613">
      <w:pPr>
        <w:pStyle w:val="TableParagraph"/>
        <w:rPr>
          <w:sz w:val="20"/>
        </w:rPr>
        <w:sectPr w:rsidR="00AF2613">
          <w:pgSz w:w="12240" w:h="15840"/>
          <w:pgMar w:top="1820" w:right="0" w:bottom="280" w:left="360" w:header="720" w:footer="720" w:gutter="0"/>
          <w:cols w:space="720"/>
        </w:sectPr>
      </w:pPr>
    </w:p>
    <w:p w:rsidR="00186547" w:rsidRDefault="00AB4722">
      <w:pPr>
        <w:pStyle w:val="Heading4"/>
        <w:spacing w:before="78"/>
      </w:pPr>
      <w:r>
        <w:rPr>
          <w:spacing w:val="-2"/>
        </w:rPr>
        <w:lastRenderedPageBreak/>
        <w:t>References</w:t>
      </w:r>
    </w:p>
    <w:p w:rsidR="00AB4722" w:rsidRDefault="00AB4722">
      <w:pPr>
        <w:ind w:left="3149" w:right="5170" w:hanging="29"/>
        <w:rPr>
          <w:b/>
          <w:sz w:val="24"/>
        </w:rPr>
      </w:pPr>
      <w:r>
        <w:rPr>
          <w:b/>
          <w:sz w:val="24"/>
        </w:rPr>
        <w:t>Research</w:t>
      </w:r>
      <w:r>
        <w:rPr>
          <w:b/>
          <w:spacing w:val="-15"/>
          <w:sz w:val="24"/>
        </w:rPr>
        <w:t xml:space="preserve"> </w:t>
      </w:r>
      <w:r>
        <w:rPr>
          <w:b/>
          <w:sz w:val="24"/>
        </w:rPr>
        <w:t>Paper</w:t>
      </w:r>
    </w:p>
    <w:p w:rsidR="00186547" w:rsidRDefault="00AB4722">
      <w:pPr>
        <w:ind w:left="3149" w:right="5170" w:hanging="29"/>
        <w:rPr>
          <w:b/>
          <w:sz w:val="24"/>
        </w:rPr>
      </w:pPr>
      <w:r>
        <w:rPr>
          <w:b/>
          <w:sz w:val="24"/>
        </w:rPr>
        <w:t xml:space="preserve"> Appendix</w:t>
      </w:r>
      <w:r>
        <w:rPr>
          <w:b/>
          <w:spacing w:val="-9"/>
          <w:sz w:val="24"/>
        </w:rPr>
        <w:t xml:space="preserve"> </w:t>
      </w:r>
      <w:r>
        <w:rPr>
          <w:b/>
          <w:sz w:val="24"/>
        </w:rPr>
        <w:t>A</w:t>
      </w:r>
    </w:p>
    <w:p w:rsidR="00186547" w:rsidRDefault="00AB4722">
      <w:pPr>
        <w:pStyle w:val="ListParagraph"/>
        <w:numPr>
          <w:ilvl w:val="0"/>
          <w:numId w:val="3"/>
        </w:numPr>
        <w:tabs>
          <w:tab w:val="left" w:pos="3792"/>
        </w:tabs>
        <w:spacing w:line="291" w:lineRule="exact"/>
        <w:ind w:left="3792" w:hanging="360"/>
        <w:rPr>
          <w:sz w:val="24"/>
        </w:rPr>
      </w:pPr>
      <w:r>
        <w:rPr>
          <w:sz w:val="24"/>
        </w:rPr>
        <w:t>Abbreviation</w:t>
      </w:r>
      <w:r>
        <w:rPr>
          <w:spacing w:val="-2"/>
          <w:sz w:val="24"/>
        </w:rPr>
        <w:t xml:space="preserve"> </w:t>
      </w:r>
      <w:r>
        <w:rPr>
          <w:sz w:val="24"/>
        </w:rPr>
        <w:t>and</w:t>
      </w:r>
      <w:r>
        <w:rPr>
          <w:spacing w:val="-1"/>
          <w:sz w:val="24"/>
        </w:rPr>
        <w:t xml:space="preserve"> </w:t>
      </w:r>
      <w:r>
        <w:rPr>
          <w:spacing w:val="-2"/>
          <w:sz w:val="24"/>
        </w:rPr>
        <w:t>symbols</w:t>
      </w:r>
    </w:p>
    <w:p w:rsidR="00186547" w:rsidRDefault="00AB4722">
      <w:pPr>
        <w:pStyle w:val="Heading4"/>
        <w:spacing w:line="275" w:lineRule="exact"/>
        <w:ind w:left="3127"/>
      </w:pPr>
      <w:r>
        <w:t>Appendix</w:t>
      </w:r>
      <w:r>
        <w:rPr>
          <w:spacing w:val="-2"/>
        </w:rPr>
        <w:t xml:space="preserve"> </w:t>
      </w:r>
      <w:r>
        <w:rPr>
          <w:spacing w:val="-10"/>
        </w:rPr>
        <w:t>B</w:t>
      </w:r>
    </w:p>
    <w:p w:rsidR="00186547" w:rsidRDefault="00AB4722">
      <w:pPr>
        <w:pStyle w:val="ListParagraph"/>
        <w:numPr>
          <w:ilvl w:val="1"/>
          <w:numId w:val="3"/>
        </w:numPr>
        <w:tabs>
          <w:tab w:val="left" w:pos="3960"/>
        </w:tabs>
        <w:spacing w:line="293" w:lineRule="exact"/>
        <w:ind w:left="3960" w:hanging="359"/>
        <w:rPr>
          <w:rFonts w:ascii="Symbol" w:hAnsi="Symbol"/>
          <w:sz w:val="24"/>
        </w:rPr>
      </w:pPr>
      <w:r>
        <w:rPr>
          <w:spacing w:val="-2"/>
          <w:sz w:val="24"/>
        </w:rPr>
        <w:t>Definitions</w:t>
      </w:r>
    </w:p>
    <w:p w:rsidR="00186547" w:rsidRDefault="00AB4722">
      <w:pPr>
        <w:pStyle w:val="Heading4"/>
        <w:spacing w:line="274" w:lineRule="exact"/>
        <w:ind w:left="3166"/>
      </w:pPr>
      <w:r>
        <w:t>Appendix</w:t>
      </w:r>
      <w:r>
        <w:rPr>
          <w:spacing w:val="-3"/>
        </w:rPr>
        <w:t xml:space="preserve"> </w:t>
      </w:r>
      <w:r>
        <w:rPr>
          <w:spacing w:val="-12"/>
        </w:rPr>
        <w:t>C</w:t>
      </w:r>
    </w:p>
    <w:p w:rsidR="00186547" w:rsidRPr="00FC0C9A" w:rsidRDefault="00AB4722">
      <w:pPr>
        <w:pStyle w:val="ListParagraph"/>
        <w:numPr>
          <w:ilvl w:val="1"/>
          <w:numId w:val="3"/>
        </w:numPr>
        <w:tabs>
          <w:tab w:val="left" w:pos="3960"/>
        </w:tabs>
        <w:spacing w:line="390" w:lineRule="exact"/>
        <w:ind w:left="3960" w:hanging="359"/>
        <w:rPr>
          <w:rFonts w:ascii="Symbol" w:hAnsi="Symbol"/>
          <w:sz w:val="32"/>
        </w:rPr>
      </w:pPr>
      <w:r>
        <w:rPr>
          <w:sz w:val="24"/>
        </w:rPr>
        <w:t>List</w:t>
      </w:r>
      <w:r>
        <w:rPr>
          <w:spacing w:val="-2"/>
          <w:sz w:val="24"/>
        </w:rPr>
        <w:t xml:space="preserve"> </w:t>
      </w:r>
      <w:r>
        <w:rPr>
          <w:sz w:val="24"/>
        </w:rPr>
        <w:t>of</w:t>
      </w:r>
      <w:r>
        <w:rPr>
          <w:spacing w:val="-1"/>
          <w:sz w:val="24"/>
        </w:rPr>
        <w:t xml:space="preserve"> </w:t>
      </w:r>
      <w:r>
        <w:rPr>
          <w:spacing w:val="-2"/>
          <w:sz w:val="24"/>
        </w:rPr>
        <w:t>Publications</w:t>
      </w:r>
    </w:p>
    <w:p w:rsidR="00FC0C9A" w:rsidRPr="00FC0C9A" w:rsidRDefault="00FC0C9A" w:rsidP="00FC0C9A">
      <w:pPr>
        <w:tabs>
          <w:tab w:val="left" w:pos="3960"/>
        </w:tabs>
        <w:spacing w:line="390" w:lineRule="exact"/>
        <w:rPr>
          <w:rFonts w:ascii="Symbol" w:hAnsi="Symbol"/>
          <w:sz w:val="32"/>
        </w:rPr>
      </w:pPr>
    </w:p>
    <w:p w:rsidR="00186547" w:rsidRDefault="00186547">
      <w:pPr>
        <w:pStyle w:val="ListParagraph"/>
        <w:spacing w:line="390" w:lineRule="exact"/>
        <w:rPr>
          <w:rFonts w:ascii="Symbol" w:hAnsi="Symbol"/>
          <w:sz w:val="32"/>
        </w:rPr>
        <w:sectPr w:rsidR="00186547">
          <w:pgSz w:w="12240" w:h="15840"/>
          <w:pgMar w:top="1680" w:right="0" w:bottom="280" w:left="360" w:header="720" w:footer="720" w:gutter="0"/>
          <w:cols w:space="720"/>
        </w:sectPr>
      </w:pPr>
    </w:p>
    <w:p w:rsidR="00186547" w:rsidRDefault="00AB4722">
      <w:pPr>
        <w:pStyle w:val="BodyText"/>
        <w:spacing w:before="72"/>
        <w:ind w:right="1281"/>
        <w:jc w:val="center"/>
      </w:pPr>
      <w:r/>
    </w:p>
    <w:p w:rsidR="00186547" w:rsidRDefault="00AB4722">
      <w:pPr>
        <w:pStyle w:val="Heading2"/>
        <w:spacing w:line="288" w:lineRule="auto"/>
      </w:pPr>
      <w:r>
        <w:rPr>
          <w:rFonts w:ascii="Times New Roman" w:hAnsi="Times New Roman"/>
          <w:sz w:val="22"/>
        </w:rPr>
        <w:t>Figure 1: Escalation of Global Financial Fraud Losses (2018–2026) ........................................ Page 4</w:t>
      </w:r>
    </w:p>
    <w:p w:rsidR="00186547" w:rsidRDefault="00AB4722">
      <w:pPr>
        <w:pStyle w:val="BodyText"/>
        <w:spacing w:line="288" w:lineRule="auto"/>
        <w:ind w:left="3661"/>
      </w:pPr>
      <w:r>
        <w:rPr>
          <w:rFonts w:ascii="Times New Roman" w:hAnsi="Times New Roman"/>
          <w:sz w:val="22"/>
        </w:rPr>
        <w:t>Figure 2: The High-Dimensional Fraud Detection Lifecycle ..................................................... Page 7</w:t>
      </w:r>
    </w:p>
    <w:p w:rsidR="00186547" w:rsidRDefault="00186547">
      <w:pPr>
        <w:pStyle w:val="BodyText"/>
        <w:spacing w:line="288" w:lineRule="auto"/>
      </w:pPr>
      <w:r>
        <w:rPr>
          <w:rFonts w:ascii="Times New Roman" w:hAnsi="Times New Roman"/>
          <w:sz w:val="22"/>
        </w:rPr>
        <w:t>Figure 3: Ishikawa (Fishbone) Root Cause Diagram of Fraud Detection Failures ..................... Page 33</w:t>
      </w:r>
    </w:p>
    <w:p w:rsidR="00186547" w:rsidRDefault="00186547">
      <w:pPr>
        <w:pStyle w:val="BodyText"/>
        <w:spacing w:line="288" w:lineRule="auto"/>
      </w:pPr>
      <w:r>
        <w:rPr>
          <w:rFonts w:ascii="Times New Roman" w:hAnsi="Times New Roman"/>
          <w:sz w:val="22"/>
        </w:rPr>
        <w:t>Figure 4: High-Level Block Diagram of FraudShield AI Proposed Architecture ........................ Page 38</w:t>
      </w:r>
    </w:p>
    <w:p w:rsidR="00186547" w:rsidRDefault="00186547">
      <w:pPr>
        <w:pStyle w:val="BodyText"/>
        <w:spacing w:before="93" w:line="288" w:lineRule="auto"/>
      </w:pPr>
      <w:r>
        <w:rPr>
          <w:rFonts w:ascii="Times New Roman" w:hAnsi="Times New Roman"/>
          <w:sz w:val="22"/>
        </w:rPr>
        <w:t>Figure 5: Domain-Specific Model Registry Routing Workflow .................................................. Page 42</w:t>
      </w:r>
    </w:p>
    <w:p w:rsidR="00186547" w:rsidRDefault="00AB4722">
      <w:pPr>
        <w:pStyle w:val="BodyText"/>
        <w:tabs>
          <w:tab w:val="left" w:pos="7561"/>
        </w:tabs>
        <w:spacing w:before="1" w:line="288" w:lineRule="auto"/>
        <w:ind w:left="1800" w:right="3498"/>
      </w:pPr>
      <w:r>
        <w:rPr>
          <w:rFonts w:ascii="Times New Roman" w:hAnsi="Times New Roman"/>
          <w:sz w:val="22"/>
        </w:rPr>
        <w:t>Figure 6: Modified CRISP-DM Framework for Real-Time Financial AI ................................... Page 61</w:t>
      </w:r>
    </w:p>
    <w:p w:rsidR="00186547" w:rsidRDefault="00AB4722">
      <w:pPr>
        <w:pStyle w:val="BodyText"/>
        <w:spacing w:line="288" w:lineRule="auto"/>
        <w:ind w:left="1800"/>
      </w:pPr>
      <w:r>
        <w:rPr>
          <w:rFonts w:ascii="Times New Roman" w:hAnsi="Times New Roman"/>
          <w:sz w:val="22"/>
        </w:rPr>
        <w:t>Figure 7: Gantt Chart Schedule Across Academic Project Milestones ..................................... Page 75</w:t>
      </w:r>
    </w:p>
    <w:p w:rsidR="00186547" w:rsidRDefault="00AB4722">
      <w:pPr>
        <w:pStyle w:val="BodyText"/>
        <w:spacing w:line="288" w:lineRule="auto"/>
        <w:ind w:left="1800"/>
      </w:pPr>
      <w:r>
        <w:rPr>
          <w:rFonts w:ascii="Times New Roman" w:hAnsi="Times New Roman"/>
          <w:sz w:val="22"/>
        </w:rPr>
        <w:t>Figure 8: Use Case Diagram of FraudShield AI Platform ........................................................... Page 79</w:t>
      </w:r>
    </w:p>
    <w:p w:rsidR="00186547" w:rsidRDefault="00AB4722">
      <w:pPr>
        <w:pStyle w:val="BodyText"/>
        <w:spacing w:line="288" w:lineRule="auto"/>
        <w:ind w:left="1800"/>
      </w:pPr>
      <w:r>
        <w:rPr>
          <w:rFonts w:ascii="Times New Roman" w:hAnsi="Times New Roman"/>
          <w:sz w:val="22"/>
        </w:rPr>
        <w:t>Figure 9: Unified Structural Class Diagram (Core Model, API, and Data Layers) .................. Page 82</w:t>
      </w:r>
    </w:p>
    <w:p w:rsidR="00186547" w:rsidRDefault="00AB4722">
      <w:pPr>
        <w:pStyle w:val="BodyText"/>
        <w:spacing w:line="288" w:lineRule="auto"/>
        <w:ind w:left="1800"/>
      </w:pPr>
      <w:r>
        <w:rPr>
          <w:rFonts w:ascii="Times New Roman" w:hAnsi="Times New Roman"/>
          <w:sz w:val="22"/>
        </w:rPr>
        <w:t>Figure 10: Sequence Diagram: Real-Time Scoring, Explainability, and Graph Lookup ............. Page 85</w:t>
      </w:r>
    </w:p>
    <w:p w:rsidR="00186547" w:rsidRDefault="00AB4722">
      <w:pPr>
        <w:pStyle w:val="BodyText"/>
        <w:spacing w:line="288" w:lineRule="auto"/>
        <w:ind w:left="1800"/>
      </w:pPr>
      <w:r>
        <w:rPr>
          <w:rFonts w:ascii="Times New Roman" w:hAnsi="Times New Roman"/>
          <w:sz w:val="22"/>
        </w:rPr>
        <w:t>Figure 11: Data Flow Diagram (DFD Level 0 — Context Diagram) .......................................... Page 90</w:t>
      </w:r>
    </w:p>
    <w:p w:rsidR="00186547" w:rsidRDefault="00AB4722">
      <w:pPr>
        <w:pStyle w:val="BodyText"/>
        <w:spacing w:line="288" w:lineRule="auto"/>
        <w:ind w:left="1800"/>
      </w:pPr>
      <w:r>
        <w:rPr>
          <w:rFonts w:ascii="Times New Roman" w:hAnsi="Times New Roman"/>
          <w:sz w:val="22"/>
        </w:rPr>
        <w:t>Figure 12: Data Flow Diagram (DFD Level 1 — Modular Decomposition) ................................ Page 92</w:t>
      </w:r>
    </w:p>
    <w:p w:rsidR="00186547" w:rsidRDefault="00AB4722">
      <w:pPr>
        <w:pStyle w:val="BodyText"/>
        <w:ind w:left="1800"/>
      </w:pPr>
      <w:r>
        <w:t>Figure</w:t>
      </w:r>
      <w:r>
        <w:rPr>
          <w:spacing w:val="-3"/>
        </w:rPr>
        <w:t xml:space="preserve"> </w:t>
      </w:r>
      <w:r>
        <w:t>9:</w:t>
      </w:r>
      <w:r>
        <w:rPr>
          <w:spacing w:val="-1"/>
        </w:rPr>
        <w:t xml:space="preserve"> </w:t>
      </w:r>
      <w:r>
        <w:rPr>
          <w:spacing w:val="-2"/>
        </w:rPr>
        <w:t>……………………………</w:t>
      </w:r>
      <w:proofErr w:type="gramStart"/>
      <w:r>
        <w:rPr>
          <w:spacing w:val="-2"/>
        </w:rPr>
        <w:t>…..</w:t>
      </w:r>
      <w:proofErr w:type="gramEnd"/>
    </w:p>
    <w:p w:rsidR="00186547" w:rsidRDefault="00AB4722">
      <w:pPr>
        <w:pStyle w:val="BodyText"/>
        <w:ind w:left="1800"/>
      </w:pPr>
      <w:r>
        <w:t>Figure</w:t>
      </w:r>
      <w:r>
        <w:rPr>
          <w:spacing w:val="-3"/>
        </w:rPr>
        <w:t xml:space="preserve"> </w:t>
      </w:r>
      <w:r>
        <w:t>10:</w:t>
      </w:r>
      <w:r>
        <w:rPr>
          <w:spacing w:val="-1"/>
        </w:rPr>
        <w:t xml:space="preserve"> </w:t>
      </w:r>
      <w:r>
        <w:rPr>
          <w:spacing w:val="-2"/>
        </w:rPr>
        <w:t>………………………………</w:t>
      </w:r>
    </w:p>
    <w:p w:rsidR="00186547" w:rsidRDefault="00AB4722">
      <w:pPr>
        <w:pStyle w:val="BodyText"/>
        <w:spacing w:before="1"/>
        <w:ind w:left="1800"/>
      </w:pPr>
      <w:r>
        <w:t>Figure</w:t>
      </w:r>
      <w:r>
        <w:rPr>
          <w:spacing w:val="-10"/>
        </w:rPr>
        <w:t xml:space="preserve"> </w:t>
      </w:r>
      <w:r>
        <w:t>11:</w:t>
      </w:r>
      <w:r>
        <w:rPr>
          <w:spacing w:val="-6"/>
        </w:rPr>
        <w:t xml:space="preserve"> </w:t>
      </w:r>
      <w:r>
        <w:rPr>
          <w:spacing w:val="-2"/>
        </w:rPr>
        <w:t>…………………………</w:t>
      </w:r>
      <w:proofErr w:type="gramStart"/>
      <w:r>
        <w:rPr>
          <w:spacing w:val="-2"/>
        </w:rPr>
        <w:t>…..</w:t>
      </w:r>
      <w:proofErr w:type="gramEnd"/>
    </w:p>
    <w:p w:rsidR="00186547" w:rsidRDefault="00AB4722">
      <w:pPr>
        <w:pStyle w:val="BodyText"/>
        <w:spacing w:before="273"/>
        <w:ind w:left="3265" w:right="2905"/>
        <w:jc w:val="center"/>
      </w:pPr>
      <w:r/>
    </w:p>
    <w:p w:rsidR="00186547" w:rsidRDefault="00186547">
      <w:pPr>
        <w:pStyle w:val="BodyText"/>
        <w:jc w:val="center"/>
        <w:sectPr w:rsidR="00186547">
          <w:pgSz w:w="12240" w:h="15840"/>
          <w:pgMar w:top="1360" w:right="0" w:bottom="280" w:left="360" w:header="720" w:footer="720" w:gutter="0"/>
          <w:cols w:space="720"/>
        </w:sectPr>
      </w:pPr>
    </w:p>
    <w:p w:rsidR="00186547" w:rsidRDefault="00AB4722">
      <w:pPr>
        <w:pStyle w:val="BodyText"/>
        <w:spacing w:before="72"/>
        <w:ind w:right="1278"/>
        <w:jc w:val="center"/>
      </w:pPr>
      <w:r/>
    </w:p>
    <w:p w:rsidR="00186547" w:rsidRDefault="00AB4722">
      <w:pPr>
        <w:pStyle w:val="Heading2"/>
        <w:spacing w:line="288" w:lineRule="auto"/>
      </w:pPr>
      <w:r>
        <w:rPr>
          <w:rFonts w:ascii="Times New Roman" w:hAnsi="Times New Roman"/>
          <w:sz w:val="22"/>
        </w:rPr>
        <w:t>Table 1: Comprehensive Literature Survey Matrix of Existing Fraud Detection Approaches ....... Page 25</w:t>
      </w:r>
    </w:p>
    <w:p w:rsidR="00186547" w:rsidRDefault="00AB4722">
      <w:pPr>
        <w:pStyle w:val="BodyText"/>
        <w:spacing w:line="288" w:lineRule="auto"/>
        <w:ind w:left="3661"/>
      </w:pPr>
      <w:r>
        <w:rPr>
          <w:rFonts w:ascii="Times New Roman" w:hAnsi="Times New Roman"/>
          <w:sz w:val="22"/>
        </w:rPr>
        <w:t>Table 2: Analytical Comparison between Legacy Rule Engines vs. Machine Learning Models ..... Page 31</w:t>
      </w:r>
    </w:p>
    <w:p w:rsidR="00186547" w:rsidRDefault="00186547">
      <w:pPr>
        <w:pStyle w:val="BodyText"/>
        <w:spacing w:line="288" w:lineRule="auto"/>
      </w:pPr>
      <w:r>
        <w:rPr>
          <w:rFonts w:ascii="Times New Roman" w:hAnsi="Times New Roman"/>
          <w:sz w:val="22"/>
        </w:rPr>
        <w:t>Table 3: Research Gap Analysis and FraudShield AI Technical Countermeasures ........................ Page 35</w:t>
      </w:r>
    </w:p>
    <w:p w:rsidR="00186547" w:rsidRDefault="00186547">
      <w:pPr>
        <w:pStyle w:val="BodyText"/>
        <w:spacing w:line="288" w:lineRule="auto"/>
      </w:pPr>
      <w:r>
        <w:rPr>
          <w:rFonts w:ascii="Times New Roman" w:hAnsi="Times New Roman"/>
          <w:sz w:val="22"/>
        </w:rPr>
        <w:t>Table 4: Functional Requirements Specifications (FR-01 to FR-12) ............................................ Page 48</w:t>
      </w:r>
    </w:p>
    <w:p w:rsidR="00186547" w:rsidRDefault="00186547">
      <w:pPr>
        <w:pStyle w:val="BodyText"/>
        <w:spacing w:before="93" w:line="288" w:lineRule="auto"/>
      </w:pPr>
      <w:r>
        <w:rPr>
          <w:rFonts w:ascii="Times New Roman" w:hAnsi="Times New Roman"/>
          <w:sz w:val="22"/>
        </w:rPr>
        <w:t>Table 5: Non-Functional Requirements Specifications (NFR-01 to NFR-08) .............................. Page 52</w:t>
      </w:r>
    </w:p>
    <w:p w:rsidR="00186547" w:rsidRDefault="00AB4722">
      <w:pPr>
        <w:pStyle w:val="BodyText"/>
        <w:tabs>
          <w:tab w:val="left" w:pos="8158"/>
        </w:tabs>
        <w:spacing w:before="1" w:line="288" w:lineRule="auto"/>
        <w:ind w:left="1800" w:right="2895"/>
      </w:pPr>
      <w:r>
        <w:rPr>
          <w:rFonts w:ascii="Times New Roman" w:hAnsi="Times New Roman"/>
          <w:sz w:val="22"/>
        </w:rPr>
        <w:t>Table 6: Role-Based Access Control (RBAC) Permission Matrix ................................................. Page 53</w:t>
      </w:r>
    </w:p>
    <w:p w:rsidR="00186547" w:rsidRDefault="00AB4722">
      <w:pPr>
        <w:pStyle w:val="BodyText"/>
        <w:spacing w:line="288" w:lineRule="auto"/>
        <w:ind w:left="1800"/>
      </w:pPr>
      <w:r>
        <w:rPr>
          <w:rFonts w:ascii="Times New Roman" w:hAnsi="Times New Roman"/>
          <w:sz w:val="22"/>
        </w:rPr>
        <w:t>Table 7: Technical Feasibility Benchmark and Platform Dependencies ......................................... Page 56</w:t>
      </w:r>
    </w:p>
    <w:p w:rsidR="00186547" w:rsidRDefault="00AB4722">
      <w:pPr>
        <w:pStyle w:val="BodyText"/>
        <w:spacing w:line="288" w:lineRule="auto"/>
        <w:ind w:left="1800"/>
      </w:pPr>
      <w:r>
        <w:rPr>
          <w:rFonts w:ascii="Times New Roman" w:hAnsi="Times New Roman"/>
          <w:sz w:val="22"/>
        </w:rPr>
        <w:t>Table 8: Comprehensive Technology Stack Specification .............................................................. Page 68</w:t>
      </w:r>
    </w:p>
    <w:p w:rsidR="00186547" w:rsidRDefault="00AB4722">
      <w:pPr>
        <w:pStyle w:val="BodyText"/>
        <w:spacing w:line="288" w:lineRule="auto"/>
        <w:ind w:left="1800"/>
      </w:pPr>
      <w:r>
        <w:rPr>
          <w:rFonts w:ascii="Times New Roman" w:hAnsi="Times New Roman"/>
          <w:sz w:val="22"/>
        </w:rPr>
        <w:t>Table 9: Agile Sprint Backlog, Story Points, and Delivery Milestones ........................................... Page 74</w:t>
      </w:r>
    </w:p>
    <w:p w:rsidR="00186547" w:rsidRDefault="00AB4722">
      <w:pPr>
        <w:pStyle w:val="BodyText"/>
        <w:spacing w:line="288" w:lineRule="auto"/>
        <w:ind w:left="1800"/>
      </w:pPr>
      <w:r>
        <w:rPr>
          <w:rFonts w:ascii="Times New Roman" w:hAnsi="Times New Roman"/>
          <w:sz w:val="22"/>
        </w:rPr>
        <w:t>Table 10: Hardware Specification for Training, Staging, and Production Deployment .................. Page 123</w:t>
      </w:r>
    </w:p>
    <w:p>
      <w:r>
        <w:br w:type="page"/>
      </w:r>
    </w:p>
    <w:p>
      <w:pPr>
        <w:spacing w:before="480" w:after="360"/>
        <w:jc w:val="center"/>
      </w:pPr>
      <w:r>
        <w:rPr>
          <w:rFonts w:ascii="Times New Roman" w:hAnsi="Times New Roman"/>
          <w:b/>
          <w:sz w:val="36"/>
        </w:rPr>
        <w:t>ABSTRACT</w:t>
      </w:r>
    </w:p>
    <w:p>
      <w:pPr>
        <w:spacing w:line="360" w:lineRule="auto" w:after="120"/>
        <w:jc w:val="both"/>
      </w:pPr>
      <w:r>
        <w:rPr>
          <w:rFonts w:ascii="Times New Roman" w:hAnsi="Times New Roman"/>
          <w:sz w:val="24"/>
        </w:rPr>
        <w:t>The astronomical surge in global digital banking, electronic fund transfers (NEFT/RTGS/IMPS), peer-to-peer (P2P) mobile wallets, and e-commerce card-not-present (CNP) transactions has triggered an unprecedented crisis in cyber financial crime. Global losses resulting from payment fraud and unauthorized account compromise exceeded $48 billion in 2025 and are projected to surpass $65 billion by 2028. Conventional banking fraud architectures remain critically deficient: legacy systems rely on rigid, manual rule engines that trigger staggering false positive rates (often exceeding 90%), inflicting severe friction on legitimate cardholders and overwhelming security operations center (SOC) analysts. Conversely, standard machine learning and deep learning solutions suffer from catastrophic failure when confronted with extreme real-world class imbalance (where fraudulent events frequently comprise less than 0.17% of total transactional volume), domain distribution shift, and model opacity. Under modern regulatory frameworks—including the European Union Artificial Intelligence Act (EU AI Act), General Data Protection Regulation (GDPR Article 22 Right to Explanation), and the U.S. Fair Credit Reporting Act (FCRA)—opaque “black-box” artificial intelligence models that deny transactions without auditable human justification are non-compliant and legally unacceptable.</w:t>
      </w:r>
    </w:p>
    <w:p>
      <w:pPr>
        <w:spacing w:line="360" w:lineRule="auto" w:after="120"/>
        <w:jc w:val="both"/>
      </w:pPr>
      <w:r>
        <w:rPr>
          <w:rFonts w:ascii="Times New Roman" w:hAnsi="Times New Roman"/>
          <w:sz w:val="24"/>
        </w:rPr>
        <w:t>To address these compounding industrial challenges, this project presents FraudShield AI: an enterprise-grade, multi-domain, explainable financial transaction and credit card fraud detection platform. FraudShield AI establishes a robust multi-tiered architecture featuring:</w:t>
      </w:r>
    </w:p>
    <w:p>
      <w:pPr>
        <w:spacing w:line="360" w:lineRule="auto" w:after="120"/>
        <w:jc w:val="both"/>
      </w:pPr>
      <w:r>
        <w:rPr>
          <w:rFonts w:ascii="Times New Roman" w:hAnsi="Times New Roman"/>
          <w:sz w:val="24"/>
        </w:rPr>
        <w:t>1. Multi-Domain Pre-Trained Model Registry: Rather than enforcing a single homogeneous classifier across incompatible payment schemas, FraudShield AI provisions four specialized, schema-adaptive model heads: PaySim Mobile Money, European Credit Card PCA Vectors, Spatial-Behavioral Haversine Geolocation, and BankSim Retail Merchant Modeling.</w:t>
      </w:r>
    </w:p>
    <w:p>
      <w:pPr>
        <w:spacing w:line="360" w:lineRule="auto" w:after="120"/>
        <w:jc w:val="both"/>
      </w:pPr>
      <w:r>
        <w:rPr>
          <w:rFonts w:ascii="Times New Roman" w:hAnsi="Times New Roman"/>
          <w:sz w:val="24"/>
        </w:rPr>
        <w:t>2. Hybrid Stacking Ensemble Engine: Each domain head leverages a heterogeneous ensemble combining Extreme Gradient Boosting (XGBoost), Light Gradient Boosting Machine (LightGBM), and Random Forest base classifiers orchestrated by a cross-validated Logistic Regression meta-learner. Dynamic class-weighting ($\text{scale\pos\weight}$) and OmniSMOTE oversampling counteract severe minority class scarcity without generating synthetic boundary distortion.</w:t>
      </w:r>
    </w:p>
    <w:p>
      <w:pPr>
        <w:spacing w:line="360" w:lineRule="auto" w:after="120"/>
        <w:jc w:val="both"/>
      </w:pPr>
      <w:r>
        <w:rPr>
          <w:rFonts w:ascii="Times New Roman" w:hAnsi="Times New Roman"/>
          <w:sz w:val="24"/>
        </w:rPr>
        <w:t>3. Calibrated Continuous Risk Engine: Tree ensemble probability outputs are dynamically calibrated to prevent binary score polarization, mapping raw predictions into a continuous 3-tier operational hierarchy: SAFE ($&lt; 45\%$), NEEDS REVIEW ($45\%-75\%$), and FRAUD ($\ge 75\%$).</w:t>
      </w:r>
    </w:p>
    <w:p>
      <w:pPr>
        <w:spacing w:line="360" w:lineRule="auto" w:after="120"/>
        <w:jc w:val="both"/>
      </w:pPr>
      <w:r>
        <w:rPr>
          <w:rFonts w:ascii="Times New Roman" w:hAnsi="Times New Roman"/>
          <w:sz w:val="24"/>
        </w:rPr>
        <w:t>4. Explainable AI (TreeSHAP &amp; FCRA Reason Codes): Mathematical game-theoretic feature attributions ($\phii$) are calculated in real time and automatically translated into plain-English regulatory Adverse Action codes (e.g., RC-BAL-02: Origin Account Liquidation Anomaly).</w:t>
      </w:r>
    </w:p>
    <w:p>
      <w:pPr>
        <w:spacing w:line="360" w:lineRule="auto" w:after="120"/>
        <w:jc w:val="both"/>
      </w:pPr>
      <w:r>
        <w:rPr>
          <w:rFonts w:ascii="Times New Roman" w:hAnsi="Times New Roman"/>
          <w:sz w:val="24"/>
        </w:rPr>
        <w:t>5. Graph Intelligence &amp; Mule Ring Detection: Real-time cycle detection and community clustering using NetworkX identify coordinated synthetic identity rings, money laundering networks, and mule accounts.</w:t>
      </w:r>
    </w:p>
    <w:p>
      <w:pPr>
        <w:spacing w:line="360" w:lineRule="auto" w:after="120"/>
        <w:jc w:val="both"/>
      </w:pPr>
      <w:r>
        <w:rPr>
          <w:rFonts w:ascii="Times New Roman" w:hAnsi="Times New Roman"/>
          <w:sz w:val="24"/>
        </w:rPr>
        <w:t>6. Continuous MLOps Drift &amp; Federated Defense: Kolmogorov-Smirnov (KS) tests and Population Stability Index (PSI) continuously audit feature distribution drift, supported by a decentralized Federated Averaging (FedAvg) collaborative learning simulator that demonstrates cross-institutional fraud defense without raw customer PII sharing.</w:t>
      </w:r>
    </w:p>
    <w:p>
      <w:pPr>
        <w:spacing w:line="360" w:lineRule="auto" w:after="120"/>
        <w:jc w:val="both"/>
      </w:pPr>
      <w:r>
        <w:rPr>
          <w:rFonts w:ascii="Times New Roman" w:hAnsi="Times New Roman"/>
          <w:sz w:val="24"/>
        </w:rPr>
        <w:t>7. Enterprise Microservices &amp; High-Performance UI: FraudShield AI is deployed via an asynchronous FastAPI REST backend providing sub-100ms inference latency, secured with JWT authentication, OWASP anti-sniffing headers, sliding-window rate limiting, and an interactive React 19 + Vite 6 dynamic dashboard.</w:t>
      </w:r>
    </w:p>
    <w:p>
      <w:pPr>
        <w:spacing w:line="360" w:lineRule="auto" w:after="120"/>
        <w:jc w:val="both"/>
      </w:pPr>
      <w:r>
        <w:rPr>
          <w:rFonts w:ascii="Times New Roman" w:hAnsi="Times New Roman"/>
          <w:sz w:val="24"/>
        </w:rPr>
        <w:t>Extensive empirical evaluations across all four benchmark datasets reveal state-of-the-art performance: on mobile money logs, FraudShield AI achieves 99.66% F1-Score with 100.0% Precision; on extreme imbalanced European credit card PCA vectors, the domain head achieves an 8.40% boost in F1-Score (89.25% F1, 94.32% Precision), outperforming standalone classifiers and published academic baselines while maintaining strict generalization gaps below 0.50%.</w:t>
      </w:r>
    </w:p>
    <w:p>
      <w:r>
        <w:br w:type="page"/>
      </w:r>
    </w:p>
    <w:p>
      <w:pPr>
        <w:keepNext/>
        <w:spacing w:before="400" w:after="200"/>
        <w:jc w:val="center"/>
      </w:pPr>
      <w:r>
        <w:rPr>
          <w:rFonts w:ascii="Times New Roman" w:hAnsi="Times New Roman"/>
          <w:b/>
          <w:sz w:val="36"/>
        </w:rPr>
        <w:t>Chapter 1: Introduction</w:t>
      </w:r>
    </w:p>
    <w:p>
      <w:pPr>
        <w:keepNext/>
        <w:spacing w:before="280" w:after="160"/>
      </w:pPr>
      <w:r>
        <w:rPr>
          <w:rFonts w:ascii="Times New Roman" w:hAnsi="Times New Roman"/>
          <w:b/>
          <w:sz w:val="32"/>
        </w:rPr>
        <w:t>1.1 Overview of the Project</w:t>
      </w:r>
    </w:p>
    <w:p>
      <w:pPr>
        <w:spacing w:line="360" w:lineRule="auto" w:after="120"/>
        <w:jc w:val="both"/>
      </w:pPr>
      <w:r>
        <w:rPr>
          <w:rFonts w:ascii="Times New Roman" w:hAnsi="Times New Roman"/>
          <w:sz w:val="24"/>
        </w:rPr>
        <w:t>In the modern digital economy, the speed and ubiquity of electronic payments have transformed commerce. Trillions of dollars navigate across high-speed settlement backbones, card payment networks (Visa, Mastercard, RuPay), mobile payment interfaces (Unified Payments Interface - UPI, Apple Pay, Google Pay, PayPal), and cross-border SWIFT wire conduits every day. However, this frictionless convenience has introduced an unprecedented vector for cyber-enabled financial crime. Malicious syndicates, state-sponsored cybercrime rings, and opportunistic fraudsters deploy automated attack scripts, credential stuffing, carding bots, account takeover (ATO) attacks, and social engineering to siphon billions of dollars out of consumer accounts and corporate treasuries.</w:t>
      </w:r>
    </w:p>
    <w:p>
      <w:pPr>
        <w:spacing w:line="360" w:lineRule="auto" w:after="120"/>
        <w:jc w:val="both"/>
      </w:pPr>
      <w:r>
        <w:rPr>
          <w:rFonts w:ascii="Times New Roman" w:hAnsi="Times New Roman"/>
          <w:sz w:val="24"/>
        </w:rPr>
        <w:t>According to annual fraud industry reports from the Federal Trade Commission (FTC), Nilson Report, and European Central Bank, payment fraud losses climbed to over $48.2 billion in 2025. Traditional banking fraud detection architectures, developed primarily in the late 1990s and early 2000s, were designed around static, deterministic rule-based engines. These legacy systems evaluate incoming payment requests against hardcoded threshold conditions—such as flagging any transaction exceeding $5,000, triggering an alert when three purchases occur in under ten minutes, or rejecting foreign billing addresses.</w:t>
      </w:r>
    </w:p>
    <w:p>
      <w:pPr>
        <w:spacing w:line="360" w:lineRule="auto" w:after="120"/>
        <w:jc w:val="both"/>
      </w:pPr>
      <w:r>
        <w:rPr>
          <w:rFonts w:ascii="Times New Roman" w:hAnsi="Times New Roman"/>
          <w:sz w:val="24"/>
        </w:rPr>
        <w:t>While straightforward to deploy and audit, static rule engines exhibit fatal operational deficiencies:</w:t>
      </w:r>
    </w:p>
    <w:p>
      <w:pPr>
        <w:spacing w:line="360" w:lineRule="auto" w:after="120"/>
        <w:ind w:left="432"/>
      </w:pPr>
      <w:r>
        <w:rPr>
          <w:rFonts w:ascii="Times New Roman" w:hAnsi="Times New Roman"/>
          <w:sz w:val="24"/>
        </w:rPr>
        <w:t>• Catastrophic False Positive Rates (FPR): Legacy rule engines typically misclassify legitimate transactions at rates exceeding 85% to 92%. In practice, up to nine out of every ten transactions flagged for manual review are completely benign. This causes massive customer frustration, cart abandonment, brand degradation, and severe operational overhead for banking Security Operations Center (SOC) teams.</w:t>
      </w:r>
    </w:p>
    <w:p>
      <w:pPr>
        <w:spacing w:line="360" w:lineRule="auto" w:after="120"/>
        <w:ind w:left="432"/>
      </w:pPr>
      <w:r>
        <w:rPr>
          <w:rFonts w:ascii="Times New Roman" w:hAnsi="Times New Roman"/>
          <w:sz w:val="24"/>
        </w:rPr>
        <w:t>• Inability to Detect Novel Fraud Patterns: Fraudulent actors continuously refine their tactics, operating just beneath static rule thresholds (e.g., executing multiple transactions of $4,990 to bypass a $5,000 threshold, a technique known as "smurfing" or structuring).</w:t>
      </w:r>
    </w:p>
    <w:p>
      <w:pPr>
        <w:spacing w:line="360" w:lineRule="auto" w:after="120"/>
        <w:ind w:left="432"/>
      </w:pPr>
      <w:r>
        <w:rPr>
          <w:rFonts w:ascii="Times New Roman" w:hAnsi="Times New Roman"/>
          <w:sz w:val="24"/>
        </w:rPr>
        <w:t>• Rule Bloat and System Rigidity: Large financial institutions frequently accumulate thousands of overlapping, contradictory rules accumulated over decades. Modifying or deprecating rules without causing unintended system-wide regressions is an engineering nightmare.</w:t>
      </w:r>
    </w:p>
    <w:p>
      <w:pPr>
        <w:spacing w:line="360" w:lineRule="auto" w:after="120"/>
        <w:jc w:val="both"/>
      </w:pPr>
      <w:r>
        <w:rPr>
          <w:rFonts w:ascii="Times New Roman" w:hAnsi="Times New Roman"/>
          <w:sz w:val="24"/>
        </w:rPr>
        <w:t>To overcome the brittle nature of static rules, financial institutions turned toward Machine Learning (ML) and Artificial Intelligence (AI). Early implementations utilized standalone algorithms such as Logistic Regression, Support Vector Machines (SVM), Decision Trees, and Multi-Layer Perceptrons (MLP). While these models succeeded in capturing non-linear relationships across transactional features, they exposed a host of new, complex challenges:</w:t>
      </w:r>
    </w:p>
    <w:p>
      <w:pPr>
        <w:spacing w:line="360" w:lineRule="auto" w:after="120"/>
        <w:ind w:left="432"/>
      </w:pPr>
      <w:r>
        <w:rPr>
          <w:rFonts w:ascii="Times New Roman" w:hAnsi="Times New Roman"/>
          <w:sz w:val="24"/>
        </w:rPr>
        <w:t>1. The Curse of Extreme Class Imbalance: In real-world banking datasets, fraudulent transactions are extraordinarily rare, frequently accounting for fewer than 1 in 1,000 transactions (a minority prevalence of $0.1\%$ to $0.17\%$). Standard classifiers trained on such unweighted distributions optimize for overall classification accuracy, learning to predict the majority non-fraudulent class for every transaction. Such a naive model can achieve $99.83\%$ accuracy while failing to detect a single fraudulent transaction (0% Recall), making the system completely useless in a production banking environment.</w:t>
      </w:r>
    </w:p>
    <w:p>
      <w:pPr>
        <w:spacing w:line="360" w:lineRule="auto" w:after="120"/>
        <w:ind w:left="432"/>
      </w:pPr>
      <w:r>
        <w:rPr>
          <w:rFonts w:ascii="Times New Roman" w:hAnsi="Times New Roman"/>
          <w:sz w:val="24"/>
        </w:rPr>
        <w:t>2. The "Black-Box" Interpretability Dilemma: Modern high-performing models—such as Deep Neural Networks and Gradient Boosted Decision Trees (XGBoost, LightGBM, CatBoost)—operate as complex mathematical black boxes. While they output a probability score indicating the likelihood of fraud, they do not explain why a transaction was flagged.</w:t>
      </w:r>
    </w:p>
    <w:p>
      <w:pPr>
        <w:spacing w:line="360" w:lineRule="auto" w:after="120"/>
        <w:ind w:left="432"/>
      </w:pPr>
      <w:r>
        <w:rPr>
          <w:rFonts w:ascii="Times New Roman" w:hAnsi="Times New Roman"/>
          <w:sz w:val="24"/>
        </w:rPr>
        <w:t>3. Regulatory and Compliance Mandates: Global regulatory frameworks have made black-box AI illegal in credit and payment decisioning:</w:t>
      </w:r>
    </w:p>
    <w:p>
      <w:pPr>
        <w:spacing w:line="360" w:lineRule="auto" w:after="120"/>
        <w:ind w:left="432"/>
      </w:pPr>
      <w:r>
        <w:rPr>
          <w:rFonts w:ascii="Times New Roman" w:hAnsi="Times New Roman"/>
          <w:sz w:val="24"/>
        </w:rPr>
        <w:t>• GDPR Article 22 (European Union): Enshrines the "Right to Explanation" for consumers subjected to automated profiling and decision-making systems.</w:t>
      </w:r>
    </w:p>
    <w:p>
      <w:pPr>
        <w:spacing w:line="360" w:lineRule="auto" w:after="120"/>
        <w:ind w:left="432"/>
      </w:pPr>
      <w:r>
        <w:rPr>
          <w:rFonts w:ascii="Times New Roman" w:hAnsi="Times New Roman"/>
          <w:sz w:val="24"/>
        </w:rPr>
        <w:t>• EU Artificial Intelligence Act (2024): Classifies financial risk assessment and credit scoring algorithms as "High-Risk AI Systems," legally obligating institutions to guarantee technical transparency, continuous human oversight, and auditable decision logging.</w:t>
      </w:r>
    </w:p>
    <w:p>
      <w:pPr>
        <w:spacing w:line="360" w:lineRule="auto" w:after="120"/>
        <w:ind w:left="432"/>
      </w:pPr>
      <w:r>
        <w:rPr>
          <w:rFonts w:ascii="Times New Roman" w:hAnsi="Times New Roman"/>
          <w:sz w:val="24"/>
        </w:rPr>
        <w:t>• Fair Credit Reporting Act (FCRA) &amp; Equal Credit Opportunity Act (ECOA) (United States): Mandates that any adverse action taken against a consumer (e.g., blocking an account or declining a transaction) must be accompanied by specific, actionable "Reason Codes" explaining the primary contributing factors.</w:t>
      </w:r>
    </w:p>
    <w:p>
      <w:pPr>
        <w:spacing w:line="360" w:lineRule="auto" w:after="120"/>
        <w:ind w:left="432"/>
      </w:pPr>
      <w:r>
        <w:rPr>
          <w:rFonts w:ascii="Times New Roman" w:hAnsi="Times New Roman"/>
          <w:sz w:val="24"/>
        </w:rPr>
        <w:t>4. Domain Heterogeneity and Schema Incompatibility: Fraud detection in modern banking does not exist within a single monolithic data format. A mobile money transaction involves sender/receiver balance deltas; a credit card payment involves high-dimensional PCA components and merchant category codes; an e-commerce checkout involves browser fingerprints and geolocation coordinates. A generic machine learning model trained on one domain fails catastrophically when applied to another.</w:t>
      </w:r>
    </w:p>
    <w:p>
      <w:pPr>
        <w:spacing w:line="360" w:lineRule="auto" w:after="120"/>
        <w:ind w:left="432"/>
      </w:pPr>
      <w:r>
        <w:rPr>
          <w:rFonts w:ascii="Times New Roman" w:hAnsi="Times New Roman"/>
          <w:sz w:val="24"/>
        </w:rPr>
        <w:t>5. Score Polarization and Queue Starvation: Standard tree-based ensemble models trained with binary cross-entropy loss produce polarized probability distributions, clustering scores at exactly $0.000$ or $1.000$. This eliminates the intermediate risk spectrum, starving the fraud analyst queue of nuanced cases that warrant secondary authentication or human review.</w:t>
      </w:r>
    </w:p>
    <w:p>
      <w:pPr>
        <w:spacing w:line="360" w:lineRule="auto" w:after="120"/>
        <w:jc w:val="both"/>
      </w:pPr>
      <w:r>
        <w:rPr>
          <w:rFonts w:ascii="Times New Roman" w:hAnsi="Times New Roman"/>
          <w:sz w:val="24"/>
        </w:rPr>
        <w:t>FraudShield AI is engineered specifically to overcome these industry-wide shortcomings. Conceived and implemented as an end-to-end, multi-domain, explainable financial fraud intelligence platform, FraudShield AI bridges the gap between state-of-the-art predictive accuracy and strict regulatory compliance.</w:t>
      </w:r>
    </w:p>
    <w:p>
      <w:pPr>
        <w:spacing w:line="360" w:lineRule="auto" w:after="120"/>
        <w:jc w:val="both"/>
      </w:pPr>
      <w:r>
        <w:rPr>
          <w:rFonts w:ascii="Times New Roman" w:hAnsi="Times New Roman"/>
          <w:sz w:val="24"/>
        </w:rPr>
        <w:t>The platform unifies:</w:t>
      </w:r>
    </w:p>
    <w:p>
      <w:pPr>
        <w:spacing w:line="360" w:lineRule="auto" w:after="120"/>
        <w:ind w:left="432"/>
      </w:pPr>
      <w:r>
        <w:rPr>
          <w:rFonts w:ascii="Times New Roman" w:hAnsi="Times New Roman"/>
          <w:sz w:val="24"/>
        </w:rPr>
        <w:t>• A Multi-Domain Pre-Trained Model Registry containing four dedicated model heads tailored for PaySim Mobile Money, European Credit Card PCA Vectors, Spatial-Behavioral Geolocation, and BankSim Retail Banking.</w:t>
      </w:r>
    </w:p>
    <w:p>
      <w:pPr>
        <w:spacing w:line="360" w:lineRule="auto" w:after="120"/>
        <w:ind w:left="432"/>
      </w:pPr>
      <w:r>
        <w:rPr>
          <w:rFonts w:ascii="Times New Roman" w:hAnsi="Times New Roman"/>
          <w:sz w:val="24"/>
        </w:rPr>
        <w:t>• A Hybrid Stacking Ensemble Engine that combines XGBoost, LightGBM, and Random Forest base classifiers with a Logistic Regression meta-learner, preprocessed with class-weighted loss functions and OmniSMOTE oversampling.</w:t>
      </w:r>
    </w:p>
    <w:p>
      <w:pPr>
        <w:spacing w:line="360" w:lineRule="auto" w:after="120"/>
        <w:ind w:left="432"/>
      </w:pPr>
      <w:r>
        <w:rPr>
          <w:rFonts w:ascii="Times New Roman" w:hAnsi="Times New Roman"/>
          <w:sz w:val="24"/>
        </w:rPr>
        <w:t>• A Calibrated Continuous Risk Engine that transforms polarized probabilities into an equitable, smooth risk spectrum categorized into three actionable decision tiers: SAFE, NEEDS REVIEW, and FRAUD.</w:t>
      </w:r>
    </w:p>
    <w:p>
      <w:pPr>
        <w:spacing w:line="360" w:lineRule="auto" w:after="120"/>
        <w:ind w:left="432"/>
      </w:pPr>
      <w:r>
        <w:rPr>
          <w:rFonts w:ascii="Times New Roman" w:hAnsi="Times New Roman"/>
          <w:sz w:val="24"/>
        </w:rPr>
        <w:t>• An Explainable AI Engine powered by TreeSHAP (SHapley Additive exPlanations) that decomposes predictions into exact feature attributions ($\phii$) and maps them to human-readable FCRA Adverse Action reason codes in real time.</w:t>
      </w:r>
    </w:p>
    <w:p>
      <w:pPr>
        <w:spacing w:line="360" w:lineRule="auto" w:after="120"/>
        <w:ind w:left="432"/>
      </w:pPr>
      <w:r>
        <w:rPr>
          <w:rFonts w:ascii="Times New Roman" w:hAnsi="Times New Roman"/>
          <w:sz w:val="24"/>
        </w:rPr>
        <w:t>• A Graph Intelligence &amp; Mule Ring Detection Engine utilizing NetworkX to uncover cyclic money laundering topologies and synthetic identity rings across account networks.</w:t>
      </w:r>
    </w:p>
    <w:p>
      <w:pPr>
        <w:spacing w:line="360" w:lineRule="auto" w:after="120"/>
        <w:ind w:left="432"/>
      </w:pPr>
      <w:r>
        <w:rPr>
          <w:rFonts w:ascii="Times New Roman" w:hAnsi="Times New Roman"/>
          <w:sz w:val="24"/>
        </w:rPr>
        <w:t>• An MLOps Concept Drift &amp; Continuous Auditing Engine utilizing two-sample Kolmogorov-Smirnov (KS) tests and Population Stability Index (PSI) to detect covariate shift and feature degradation.</w:t>
      </w:r>
    </w:p>
    <w:p>
      <w:pPr>
        <w:spacing w:line="360" w:lineRule="auto" w:after="120"/>
        <w:ind w:left="432"/>
      </w:pPr>
      <w:r>
        <w:rPr>
          <w:rFonts w:ascii="Times New Roman" w:hAnsi="Times New Roman"/>
          <w:sz w:val="24"/>
        </w:rPr>
        <w:t>• A Decentralized Federated Defense Simulator demonstrating collaborative FedAvg model training across independent financial institutions without violating data sovereignty or sharing raw customer Personally Identifiable Information (PII).</w:t>
      </w:r>
    </w:p>
    <w:p>
      <w:pPr>
        <w:spacing w:line="360" w:lineRule="auto" w:after="120"/>
        <w:ind w:left="432"/>
      </w:pPr>
      <w:r>
        <w:rPr>
          <w:rFonts w:ascii="Times New Roman" w:hAnsi="Times New Roman"/>
          <w:sz w:val="24"/>
        </w:rPr>
        <w:t>• A high-throughput, asynchronous FastAPI microservice backend coupled with a modern, responsive React 19 + Vite 6 web dashboard designed for fraud analysts and compliance auditors.</w:t>
      </w:r>
    </w:p>
    <w:p>
      <w:pPr>
        <w:keepNext/>
        <w:spacing w:before="280" w:after="160"/>
      </w:pPr>
      <w:r>
        <w:rPr>
          <w:rFonts w:ascii="Times New Roman" w:hAnsi="Times New Roman"/>
          <w:b/>
          <w:sz w:val="32"/>
        </w:rPr>
        <w:t>1.2 Motivation &amp; Application</w:t>
      </w:r>
    </w:p>
    <w:p>
      <w:pPr>
        <w:keepNext/>
        <w:spacing w:before="240" w:after="120"/>
      </w:pPr>
      <w:r>
        <w:rPr>
          <w:rFonts w:ascii="Times New Roman" w:hAnsi="Times New Roman"/>
          <w:b/>
          <w:sz w:val="28"/>
        </w:rPr>
        <w:t>1.2.1 Motivation</w:t>
      </w:r>
    </w:p>
    <w:p>
      <w:pPr>
        <w:spacing w:line="360" w:lineRule="auto" w:after="120"/>
        <w:jc w:val="both"/>
      </w:pPr>
      <w:r>
        <w:rPr>
          <w:rFonts w:ascii="Times New Roman" w:hAnsi="Times New Roman"/>
          <w:sz w:val="24"/>
        </w:rPr>
        <w:t>The motivation behind FraudShield AI stems from the urgent necessity to protect consumers, merchants, and financial institutions from systemic economic damage while ensuring that automated decision systems operate with fairness, ethical transparency, and legal accountability.</w:t>
      </w:r>
    </w:p>
    <w:p>
      <w:pPr>
        <w:spacing w:line="360" w:lineRule="auto" w:after="120"/>
        <w:ind w:left="432"/>
      </w:pPr>
      <w:r>
        <w:rPr>
          <w:rFonts w:ascii="Times New Roman" w:hAnsi="Times New Roman"/>
          <w:sz w:val="24"/>
        </w:rPr>
        <w:t>1. Economic Urgency:</w:t>
      </w:r>
    </w:p>
    <w:p>
      <w:pPr>
        <w:spacing w:line="360" w:lineRule="auto" w:after="120"/>
        <w:jc w:val="both"/>
      </w:pPr>
      <w:r>
        <w:rPr>
          <w:rFonts w:ascii="Times New Roman" w:hAnsi="Times New Roman"/>
          <w:sz w:val="24"/>
        </w:rPr>
        <w:t>Traditional fraud investigation is an expensive, manual, and reactive process. Financial institutions spend billions annually staffing fraud operations centers where human analysts spend hours manually reviewing transaction tickets, calling cardholders, and issuing dispute reconciliations. By automating high-confidence transaction approvals and blocks while intelligently routing ambiguous cases to an explainable review queue, banks can reduce operational overhead by up to 60%.</w:t>
      </w:r>
    </w:p>
    <w:p>
      <w:pPr>
        <w:spacing w:line="360" w:lineRule="auto" w:after="120"/>
        <w:ind w:left="432"/>
      </w:pPr>
      <w:r>
        <w:rPr>
          <w:rFonts w:ascii="Times New Roman" w:hAnsi="Times New Roman"/>
          <w:sz w:val="24"/>
        </w:rPr>
        <w:t>2. Customer Experience and Friction Reduction:</w:t>
      </w:r>
    </w:p>
    <w:p>
      <w:pPr>
        <w:spacing w:line="360" w:lineRule="auto" w:after="120"/>
        <w:jc w:val="both"/>
      </w:pPr>
      <w:r>
        <w:rPr>
          <w:rFonts w:ascii="Times New Roman" w:hAnsi="Times New Roman"/>
          <w:sz w:val="24"/>
        </w:rPr>
        <w:t>Every time a legitimate cardholder experiences a false transaction decline at a point-of-sale terminal or during an online checkout, consumer trust erodes. Industry studies indicate that over 30% of cardholders who suffer a false decline reduce their usage of that card, and 15% abandon the merchant entirely. A highly calibrated fraud detection system that minimizes false positives protects merchant revenue and customer loyalty.</w:t>
      </w:r>
    </w:p>
    <w:p>
      <w:pPr>
        <w:spacing w:line="360" w:lineRule="auto" w:after="120"/>
        <w:ind w:left="432"/>
      </w:pPr>
      <w:r>
        <w:rPr>
          <w:rFonts w:ascii="Times New Roman" w:hAnsi="Times New Roman"/>
          <w:sz w:val="24"/>
        </w:rPr>
        <w:t>3. Ethical AI and Algorithmic Accountability:</w:t>
      </w:r>
    </w:p>
    <w:p>
      <w:pPr>
        <w:spacing w:line="360" w:lineRule="auto" w:after="120"/>
        <w:jc w:val="both"/>
      </w:pPr>
      <w:r>
        <w:rPr>
          <w:rFonts w:ascii="Times New Roman" w:hAnsi="Times New Roman"/>
          <w:sz w:val="24"/>
        </w:rPr>
        <w:t>Machine learning models trained on historical data are prone to inheriting historical biases, regional discrepancies, and uncalibrated decision thresholds. When an automated algorithm blocks a cardholder's funds without explanation, it can strand travelers, disrupt critical medical or family purchases, and violate basic consumer rights. Providing real-time, mathematically rigorous explanations (TreeSHAP) ensures that automated decisions are fair, interpretable, and legally justifiable.</w:t>
      </w:r>
    </w:p>
    <w:p>
      <w:pPr>
        <w:spacing w:line="360" w:lineRule="auto" w:after="120"/>
        <w:ind w:left="432"/>
      </w:pPr>
      <w:r>
        <w:rPr>
          <w:rFonts w:ascii="Times New Roman" w:hAnsi="Times New Roman"/>
          <w:sz w:val="24"/>
        </w:rPr>
        <w:t>4. Bridging the Academic-to-Production Chasm:</w:t>
      </w:r>
    </w:p>
    <w:p>
      <w:pPr>
        <w:spacing w:line="360" w:lineRule="auto" w:after="120"/>
        <w:jc w:val="both"/>
      </w:pPr>
      <w:r>
        <w:rPr>
          <w:rFonts w:ascii="Times New Roman" w:hAnsi="Times New Roman"/>
          <w:sz w:val="24"/>
        </w:rPr>
        <w:t>A vast majority of published academic research in machine learning fraud detection focuses exclusively on static, offline evaluations inside Jupyter Notebooks using synthetic metrics. In real-world production environments, models must interface with high-concurrency REST APIs, handle sub-100ms latency SLAs, withstand adversarial concept drift, and provide intuitive user interfaces for non-technical risk analysts. FraudShield AI was built from the ground up to demonstrate a complete, production-grade reference architecture.</w:t>
      </w:r>
    </w:p>
    <w:p>
      <w:pPr>
        <w:keepNext/>
        <w:spacing w:before="240" w:after="120"/>
      </w:pPr>
      <w:r>
        <w:rPr>
          <w:rFonts w:ascii="Times New Roman" w:hAnsi="Times New Roman"/>
          <w:b/>
          <w:sz w:val="28"/>
        </w:rPr>
        <w:t>1.2.2 Practical Applications</w:t>
      </w:r>
    </w:p>
    <w:p>
      <w:pPr>
        <w:spacing w:line="360" w:lineRule="auto" w:after="120"/>
        <w:jc w:val="both"/>
      </w:pPr>
      <w:r>
        <w:rPr>
          <w:rFonts w:ascii="Times New Roman" w:hAnsi="Times New Roman"/>
          <w:sz w:val="24"/>
        </w:rPr>
        <w:t>FraudShield AI is architected for deployment across a broad spectrum of commercial and regulatory environments:</w:t>
      </w:r>
    </w:p>
    <w:p>
      <w:pPr>
        <w:spacing w:line="360" w:lineRule="auto" w:after="120"/>
        <w:ind w:left="432"/>
      </w:pPr>
      <w:r>
        <w:rPr>
          <w:rFonts w:ascii="Times New Roman" w:hAnsi="Times New Roman"/>
          <w:sz w:val="24"/>
        </w:rPr>
        <w:t>1. Commercial Issuing &amp; Acquiring Banks:</w:t>
      </w:r>
    </w:p>
    <w:p>
      <w:pPr>
        <w:spacing w:line="360" w:lineRule="auto" w:after="120"/>
        <w:jc w:val="both"/>
      </w:pPr>
      <w:r>
        <w:rPr>
          <w:rFonts w:ascii="Times New Roman" w:hAnsi="Times New Roman"/>
          <w:sz w:val="24"/>
        </w:rPr>
        <w:t>Core banking systems can integrate FraudShield AI as an inline authorization hook via REST webhooks. Incoming transaction payloads are evaluated in under 100ms, returning an immediate authorization flag (APPROVE, STEPUPAUTH, DECLINE) along with risk score metadata.</w:t>
      </w:r>
    </w:p>
    <w:p>
      <w:pPr>
        <w:spacing w:line="360" w:lineRule="auto" w:after="120"/>
        <w:ind w:left="432"/>
      </w:pPr>
      <w:r>
        <w:rPr>
          <w:rFonts w:ascii="Times New Roman" w:hAnsi="Times New Roman"/>
          <w:sz w:val="24"/>
        </w:rPr>
        <w:t>2. FinTech Payment Gateways &amp; E-Commerce Platforms:</w:t>
      </w:r>
    </w:p>
    <w:p>
      <w:pPr>
        <w:spacing w:line="360" w:lineRule="auto" w:after="120"/>
        <w:jc w:val="both"/>
      </w:pPr>
      <w:r>
        <w:rPr>
          <w:rFonts w:ascii="Times New Roman" w:hAnsi="Times New Roman"/>
          <w:sz w:val="24"/>
        </w:rPr>
        <w:t>Payment service providers (PSPs) handling multi-merchant checkout traffic can utilize FraudShield AI's multi-domain registry to detect card-not-present fraud, stolen card testing attacks, and synthetic identity exploitation.</w:t>
      </w:r>
    </w:p>
    <w:p>
      <w:pPr>
        <w:spacing w:line="360" w:lineRule="auto" w:after="120"/>
        <w:ind w:left="432"/>
      </w:pPr>
      <w:r>
        <w:rPr>
          <w:rFonts w:ascii="Times New Roman" w:hAnsi="Times New Roman"/>
          <w:sz w:val="24"/>
        </w:rPr>
        <w:t>3. Peer-to-Peer (P2P) Mobile Money &amp; Neo-Banks:</w:t>
      </w:r>
    </w:p>
    <w:p>
      <w:pPr>
        <w:spacing w:line="360" w:lineRule="auto" w:after="120"/>
        <w:jc w:val="both"/>
      </w:pPr>
      <w:r>
        <w:rPr>
          <w:rFonts w:ascii="Times New Roman" w:hAnsi="Times New Roman"/>
          <w:sz w:val="24"/>
        </w:rPr>
        <w:t>Digital wallet providers (such as PayTM, PhonePe, Venmo, CashApp, and M-Pesa) can deploy the PaySim-specialized engine to monitor mobile wallet transfers, detect account drain attacks, and identify mule accounts used to launder siphoned funds.</w:t>
      </w:r>
    </w:p>
    <w:p>
      <w:pPr>
        <w:spacing w:line="360" w:lineRule="auto" w:after="120"/>
        <w:ind w:left="432"/>
      </w:pPr>
      <w:r>
        <w:rPr>
          <w:rFonts w:ascii="Times New Roman" w:hAnsi="Times New Roman"/>
          <w:sz w:val="24"/>
        </w:rPr>
        <w:t>4. Regulatory Audit &amp; Compliance Oversight:</w:t>
      </w:r>
    </w:p>
    <w:p>
      <w:pPr>
        <w:spacing w:line="360" w:lineRule="auto" w:after="120"/>
        <w:jc w:val="both"/>
      </w:pPr>
      <w:r>
        <w:rPr>
          <w:rFonts w:ascii="Times New Roman" w:hAnsi="Times New Roman"/>
          <w:sz w:val="24"/>
        </w:rPr>
        <w:t>Financial compliance officers and banking regulators can leverage the platform’s immutable audit logs, FCRA Adverse Action generator, and concept drift monitors to conduct supervisory examinations and ensure compliance with the EU AI Act and GDPR.</w:t>
      </w:r>
    </w:p>
    <w:p>
      <w:pPr>
        <w:spacing w:line="360" w:lineRule="auto" w:after="120"/>
        <w:ind w:left="432"/>
      </w:pPr>
      <w:r>
        <w:rPr>
          <w:rFonts w:ascii="Times New Roman" w:hAnsi="Times New Roman"/>
          <w:sz w:val="24"/>
        </w:rPr>
        <w:t>5. Cross-Institutional Consortium Defense:</w:t>
      </w:r>
    </w:p>
    <w:p>
      <w:pPr>
        <w:spacing w:line="360" w:lineRule="auto" w:after="120"/>
        <w:jc w:val="both"/>
      </w:pPr>
      <w:r>
        <w:rPr>
          <w:rFonts w:ascii="Times New Roman" w:hAnsi="Times New Roman"/>
          <w:sz w:val="24"/>
        </w:rPr>
        <w:t>Banking syndicates can run the Federated Learning simulation module to collaboratively train shared defense models, identifying emerging multi-bank cybercrime campaigns without exposing proprietary customer account databases.</w:t>
      </w:r>
    </w:p>
    <w:p>
      <w:pPr>
        <w:keepNext/>
        <w:spacing w:before="280" w:after="160"/>
      </w:pPr>
      <w:r>
        <w:rPr>
          <w:rFonts w:ascii="Times New Roman" w:hAnsi="Times New Roman"/>
          <w:b/>
          <w:sz w:val="32"/>
        </w:rPr>
        <w:t>1.3 Problem Definition</w:t>
      </w:r>
    </w:p>
    <w:p>
      <w:pPr>
        <w:keepNext/>
        <w:spacing w:before="240" w:after="120"/>
      </w:pPr>
      <w:r>
        <w:rPr>
          <w:rFonts w:ascii="Times New Roman" w:hAnsi="Times New Roman"/>
          <w:b/>
          <w:sz w:val="28"/>
        </w:rPr>
        <w:t>1.3.1 Formal Mathematical Formulation</w:t>
      </w:r>
    </w:p>
    <w:p>
      <w:pPr>
        <w:spacing w:line="360" w:lineRule="auto" w:after="120"/>
        <w:jc w:val="both"/>
      </w:pPr>
      <w:r>
        <w:rPr>
          <w:rFonts w:ascii="Times New Roman" w:hAnsi="Times New Roman"/>
          <w:sz w:val="24"/>
        </w:rPr>
        <w:t>Let $\mathcal{X}$ represent the high-dimensional feature space of financial transactions, where each transaction $\mathbf{x} \in \mathcal{X}$ is represented as an $m$-dimensional vector:</w:t>
      </w:r>
    </w:p>
    <w:p>
      <w:pPr>
        <w:spacing w:line="360" w:lineRule="auto" w:after="120"/>
        <w:jc w:val="both"/>
      </w:pPr>
      <w:r>
        <w:rPr>
          <w:rFonts w:ascii="Times New Roman" w:hAnsi="Times New Roman"/>
          <w:sz w:val="24"/>
        </w:rPr>
        <w:t>$$\mathbf{x} = [x1, x2, \dots, xm]^T \in \mathbb{R}^m$$</w:t>
      </w:r>
    </w:p>
    <w:p>
      <w:pPr>
        <w:spacing w:line="360" w:lineRule="auto" w:after="120"/>
        <w:jc w:val="both"/>
      </w:pPr>
      <w:r>
        <w:rPr>
          <w:rFonts w:ascii="Times New Roman" w:hAnsi="Times New Roman"/>
          <w:sz w:val="24"/>
        </w:rPr>
        <w:t>Let $y \in \{0, 1\}$ denote the true ground-truth operational class label of the transaction, where:</w:t>
      </w:r>
    </w:p>
    <w:p>
      <w:pPr>
        <w:spacing w:line="360" w:lineRule="auto" w:after="120"/>
        <w:ind w:left="432"/>
      </w:pPr>
      <w:r>
        <w:rPr>
          <w:rFonts w:ascii="Times New Roman" w:hAnsi="Times New Roman"/>
          <w:sz w:val="24"/>
        </w:rPr>
        <w:t>• $y = 0$: Represents a legitimate (benign) transaction.</w:t>
      </w:r>
    </w:p>
    <w:p>
      <w:pPr>
        <w:spacing w:line="360" w:lineRule="auto" w:after="120"/>
        <w:ind w:left="432"/>
      </w:pPr>
      <w:r>
        <w:rPr>
          <w:rFonts w:ascii="Times New Roman" w:hAnsi="Times New Roman"/>
          <w:sz w:val="24"/>
        </w:rPr>
        <w:t>• $y = 1$: Represents an unauthorized (fraudulent) transaction.</w:t>
      </w:r>
    </w:p>
    <w:p>
      <w:pPr>
        <w:spacing w:line="360" w:lineRule="auto" w:after="120"/>
        <w:jc w:val="both"/>
      </w:pPr>
      <w:r>
        <w:rPr>
          <w:rFonts w:ascii="Times New Roman" w:hAnsi="Times New Roman"/>
          <w:sz w:val="24"/>
        </w:rPr>
        <w:t>The operational transaction dataset $\mathcal{D} = \{(\mathbf{x}k, yk)\}{k=1}^N$ exhibits severe class imbalance:</w:t>
      </w:r>
    </w:p>
    <w:p>
      <w:pPr>
        <w:spacing w:line="360" w:lineRule="auto" w:after="120"/>
        <w:jc w:val="both"/>
      </w:pPr>
      <w:r>
        <w:rPr>
          <w:rFonts w:ascii="Times New Roman" w:hAnsi="Times New Roman"/>
          <w:sz w:val="24"/>
        </w:rPr>
        <w:t>$$N1 = \sum{k=1}^N yk \ll N0 = \sum{k=1}^N (1 - yk)$$</w:t>
      </w:r>
    </w:p>
    <w:p>
      <w:pPr>
        <w:spacing w:line="360" w:lineRule="auto" w:after="120"/>
        <w:jc w:val="both"/>
      </w:pPr>
      <w:r>
        <w:rPr>
          <w:rFonts w:ascii="Times New Roman" w:hAnsi="Times New Roman"/>
          <w:sz w:val="24"/>
        </w:rPr>
        <w:t>such that the prior fraud prevalence ratio:</w:t>
      </w:r>
    </w:p>
    <w:p>
      <w:pPr>
        <w:spacing w:line="360" w:lineRule="auto" w:after="120"/>
        <w:jc w:val="both"/>
      </w:pPr>
      <w:r>
        <w:rPr>
          <w:rFonts w:ascii="Times New Roman" w:hAnsi="Times New Roman"/>
          <w:sz w:val="24"/>
        </w:rPr>
        <w:t>$$\pi1 = \frac{N1}{N} &lt; 0.002 \quad (\text{often } \le 0.17\%)$$</w:t>
      </w:r>
    </w:p>
    <w:p>
      <w:pPr>
        <w:spacing w:line="360" w:lineRule="auto" w:after="120"/>
        <w:jc w:val="both"/>
      </w:pPr>
      <w:r>
        <w:rPr>
          <w:rFonts w:ascii="Times New Roman" w:hAnsi="Times New Roman"/>
          <w:sz w:val="24"/>
        </w:rPr>
        <w:t>The primary objective of the classification engine is to learn a mapping hypothesis $f: \mathcal{X} \rightarrow [0, 1]$ parameterized by ensemble weights $\Theta$, outputting a continuous posterior probability:</w:t>
      </w:r>
    </w:p>
    <w:p>
      <w:pPr>
        <w:spacing w:line="360" w:lineRule="auto" w:after="120"/>
        <w:jc w:val="both"/>
      </w:pPr>
      <w:r>
        <w:rPr>
          <w:rFonts w:ascii="Times New Roman" w:hAnsi="Times New Roman"/>
          <w:sz w:val="24"/>
        </w:rPr>
        <w:t>$$\hat{p} = P(y = 1 \mid \mathbf{x}; \Theta)$$</w:t>
      </w:r>
    </w:p>
    <w:p>
      <w:pPr>
        <w:spacing w:line="360" w:lineRule="auto" w:after="120"/>
        <w:jc w:val="both"/>
      </w:pPr>
      <w:r>
        <w:rPr>
          <w:rFonts w:ascii="Times New Roman" w:hAnsi="Times New Roman"/>
          <w:sz w:val="24"/>
        </w:rPr>
        <w:t>subject to an asymmetric cost matrix $\mathcal{C}$ that penalizes False Negatives (missed fraud) significantly more severely than False Positives (customer friction):</w:t>
      </w:r>
    </w:p>
    <w:p>
      <w:pPr>
        <w:spacing w:line="360" w:lineRule="auto" w:after="120"/>
        <w:jc w:val="both"/>
      </w:pPr>
      <w:r>
        <w:rPr>
          <w:rFonts w:ascii="Times New Roman" w:hAnsi="Times New Roman"/>
          <w:sz w:val="24"/>
        </w:rPr>
        <w:t>$$\mathcal{C}(\hat{y}, y) = \begin{pmatrix}</w:t>
      </w:r>
    </w:p>
    <w:p>
      <w:pPr>
        <w:spacing w:line="360" w:lineRule="auto" w:after="120"/>
        <w:jc w:val="both"/>
      </w:pPr>
      <w:r>
        <w:rPr>
          <w:rFonts w:ascii="Times New Roman" w:hAnsi="Times New Roman"/>
          <w:sz w:val="24"/>
        </w:rPr>
        <w:t>0 &amp; C{FP} \\</w:t>
      </w:r>
    </w:p>
    <w:p>
      <w:pPr>
        <w:spacing w:line="360" w:lineRule="auto" w:after="120"/>
        <w:jc w:val="both"/>
      </w:pPr>
      <w:r>
        <w:rPr>
          <w:rFonts w:ascii="Times New Roman" w:hAnsi="Times New Roman"/>
          <w:sz w:val="24"/>
        </w:rPr>
        <w:t>C{FN} &amp; 0</w:t>
      </w:r>
    </w:p>
    <w:p>
      <w:pPr>
        <w:spacing w:line="360" w:lineRule="auto" w:after="120"/>
        <w:jc w:val="both"/>
      </w:pPr>
      <w:r>
        <w:rPr>
          <w:rFonts w:ascii="Times New Roman" w:hAnsi="Times New Roman"/>
          <w:sz w:val="24"/>
        </w:rPr>
        <w:t>\end{pmatrix}, \quad \text{where } C{FN} \gg C{FP}$$</w:t>
      </w:r>
    </w:p>
    <w:p>
      <w:pPr>
        <w:spacing w:line="360" w:lineRule="auto" w:after="120"/>
        <w:jc w:val="both"/>
      </w:pPr>
      <w:r>
        <w:rPr>
          <w:rFonts w:ascii="Times New Roman" w:hAnsi="Times New Roman"/>
          <w:sz w:val="24"/>
        </w:rPr>
        <w:t>Furthermore, for every transaction $\mathbf{x}$ evaluated by the platform, the system must compute a local explanation vector:</w:t>
      </w:r>
    </w:p>
    <w:p>
      <w:pPr>
        <w:spacing w:line="360" w:lineRule="auto" w:after="120"/>
        <w:jc w:val="both"/>
      </w:pPr>
      <w:r>
        <w:rPr>
          <w:rFonts w:ascii="Times New Roman" w:hAnsi="Times New Roman"/>
          <w:sz w:val="24"/>
        </w:rPr>
        <w:t>$$\boldsymbol{\Phi}(\mathbf{x}) = [\phi1(\mathbf{x}), \phi2(\mathbf{x}), \dots, \phim(\mathbf{x})]^T \in \mathbb{R}^m$$</w:t>
      </w:r>
    </w:p>
    <w:p>
      <w:pPr>
        <w:spacing w:line="360" w:lineRule="auto" w:after="120"/>
        <w:jc w:val="both"/>
      </w:pPr>
      <w:r>
        <w:rPr>
          <w:rFonts w:ascii="Times New Roman" w:hAnsi="Times New Roman"/>
          <w:sz w:val="24"/>
        </w:rPr>
        <w:t>satisfying the local accuracy efficiency property:</w:t>
      </w:r>
    </w:p>
    <w:p>
      <w:pPr>
        <w:spacing w:line="360" w:lineRule="auto" w:after="120"/>
        <w:jc w:val="both"/>
      </w:pPr>
      <w:r>
        <w:rPr>
          <w:rFonts w:ascii="Times New Roman" w:hAnsi="Times New Roman"/>
          <w:sz w:val="24"/>
        </w:rPr>
        <w:t>$$f(\mathbf{x}) = \phi0 + \sum{i=1}^m \phii(\mathbf{x})$$</w:t>
      </w:r>
    </w:p>
    <w:p>
      <w:pPr>
        <w:spacing w:line="360" w:lineRule="auto" w:after="120"/>
        <w:jc w:val="both"/>
      </w:pPr>
      <w:r>
        <w:rPr>
          <w:rFonts w:ascii="Times New Roman" w:hAnsi="Times New Roman"/>
          <w:sz w:val="24"/>
        </w:rPr>
        <w:t>where $\phi0 = \mathbb{E}[f(\mathbf{x})]$ is the base expected model prediction over the background reference dataset, and each $\phii(\mathbf{x})$ represents the exact marginal Shapley contribution of feature $i$ toward the fraud risk outcome.</w:t>
      </w:r>
    </w:p>
    <w:p>
      <w:pPr>
        <w:spacing w:line="360" w:lineRule="auto" w:after="120"/>
        <w:jc w:val="both"/>
      </w:pPr>
      <w:r>
        <w:rPr>
          <w:rFonts w:ascii="Times New Roman" w:hAnsi="Times New Roman"/>
          <w:sz w:val="24"/>
        </w:rPr>
        <w:t>Finally, the system must satisfy the real-time temporal latency constraint:</w:t>
      </w:r>
    </w:p>
    <w:p>
      <w:pPr>
        <w:spacing w:line="360" w:lineRule="auto" w:after="120"/>
        <w:jc w:val="both"/>
      </w:pPr>
      <w:r>
        <w:rPr>
          <w:rFonts w:ascii="Times New Roman" w:hAnsi="Times New Roman"/>
          <w:sz w:val="24"/>
        </w:rPr>
        <w:t>$$\tau{\text{total}} = \tau{\text{ingest}} + \tau{\text{preprocess}} + \tau{\text{inference}} + \tau{\text{explain}} \le \tau{\text{SLA}} = 150\,\text{ms}$$</w:t>
      </w:r>
    </w:p>
    <w:p>
      <w:pPr>
        <w:spacing w:line="360" w:lineRule="auto" w:after="120"/>
        <w:jc w:val="both"/>
      </w:pPr>
      <w:r>
        <w:rPr>
          <w:rFonts w:ascii="Times New Roman" w:hAnsi="Times New Roman"/>
          <w:sz w:val="24"/>
        </w:rPr>
        <w:t>under concurrent API query loads.</w:t>
      </w:r>
    </w:p>
    <w:p>
      <w:pPr>
        <w:keepNext/>
        <w:spacing w:before="280" w:after="160"/>
      </w:pPr>
      <w:r>
        <w:rPr>
          <w:rFonts w:ascii="Times New Roman" w:hAnsi="Times New Roman"/>
          <w:b/>
          <w:sz w:val="32"/>
        </w:rPr>
        <w:t>1.4 Objective &amp; Scope</w:t>
      </w:r>
    </w:p>
    <w:p>
      <w:pPr>
        <w:keepNext/>
        <w:spacing w:before="240" w:after="120"/>
      </w:pPr>
      <w:r>
        <w:rPr>
          <w:rFonts w:ascii="Times New Roman" w:hAnsi="Times New Roman"/>
          <w:b/>
          <w:sz w:val="28"/>
        </w:rPr>
        <w:t>1.4.1 Research and Engineering Objectives</w:t>
      </w:r>
    </w:p>
    <w:p>
      <w:pPr>
        <w:spacing w:line="360" w:lineRule="auto" w:after="120"/>
        <w:jc w:val="both"/>
      </w:pPr>
      <w:r>
        <w:rPr>
          <w:rFonts w:ascii="Times New Roman" w:hAnsi="Times New Roman"/>
          <w:sz w:val="24"/>
        </w:rPr>
        <w:t>The core objectives of the FraudShield AI project are divided into five primary pillars:</w:t>
      </w:r>
    </w:p>
    <w:p>
      <w:pPr>
        <w:spacing w:line="360" w:lineRule="auto" w:after="120"/>
        <w:ind w:left="432"/>
      </w:pPr>
      <w:r>
        <w:rPr>
          <w:rFonts w:ascii="Times New Roman" w:hAnsi="Times New Roman"/>
          <w:sz w:val="24"/>
        </w:rPr>
        <w:t>1. Design and Optimize a Multi-Domain Stacking Ensemble:</w:t>
      </w:r>
    </w:p>
    <w:p>
      <w:pPr>
        <w:spacing w:line="360" w:lineRule="auto" w:after="120"/>
        <w:ind w:left="432"/>
      </w:pPr>
      <w:r>
        <w:rPr>
          <w:rFonts w:ascii="Times New Roman" w:hAnsi="Times New Roman"/>
          <w:sz w:val="24"/>
        </w:rPr>
        <w:t>• Construct four specialized model heads: PaySim Mobile Money, European Credit Card PCA Vectors, Spatial-Behavioral Geolocation, and BankSim Retail.</w:t>
      </w:r>
    </w:p>
    <w:p>
      <w:pPr>
        <w:spacing w:line="360" w:lineRule="auto" w:after="120"/>
        <w:ind w:left="432"/>
      </w:pPr>
      <w:r>
        <w:rPr>
          <w:rFonts w:ascii="Times New Roman" w:hAnsi="Times New Roman"/>
          <w:sz w:val="24"/>
        </w:rPr>
        <w:t>• Combine XGBoost, LightGBM, and Random Forest base classifiers with a 5-fold cross-validated Logistic Regression meta-learner.</w:t>
      </w:r>
    </w:p>
    <w:p>
      <w:pPr>
        <w:spacing w:line="360" w:lineRule="auto" w:after="120"/>
        <w:ind w:left="432"/>
      </w:pPr>
      <w:r>
        <w:rPr>
          <w:rFonts w:ascii="Times New Roman" w:hAnsi="Times New Roman"/>
          <w:sz w:val="24"/>
        </w:rPr>
        <w:t>• Implement dynamic class-weighting ($\text{scale\pos\weight} = N0 / N1$) and OmniSMOTE synthetic oversampling to eliminate majority-class bias.</w:t>
      </w:r>
    </w:p>
    <w:p>
      <w:pPr>
        <w:spacing w:line="360" w:lineRule="auto" w:after="120"/>
        <w:ind w:left="432"/>
      </w:pPr>
      <w:r>
        <w:rPr>
          <w:rFonts w:ascii="Times New Roman" w:hAnsi="Times New Roman"/>
          <w:sz w:val="24"/>
        </w:rPr>
        <w:t>2. Formulate a Calibrated Continuous Risk Engine:</w:t>
      </w:r>
    </w:p>
    <w:p>
      <w:pPr>
        <w:spacing w:line="360" w:lineRule="auto" w:after="120"/>
        <w:ind w:left="432"/>
      </w:pPr>
      <w:r>
        <w:rPr>
          <w:rFonts w:ascii="Times New Roman" w:hAnsi="Times New Roman"/>
          <w:sz w:val="24"/>
        </w:rPr>
        <w:t>• Overcome tree ensemble score polarization by mapping raw model probabilities into a smooth, equitable risk score spectrum from $0.0\%$ to $100.0\%$.</w:t>
      </w:r>
    </w:p>
    <w:p>
      <w:pPr>
        <w:spacing w:line="360" w:lineRule="auto" w:after="120"/>
        <w:ind w:left="432"/>
      </w:pPr>
      <w:r>
        <w:rPr>
          <w:rFonts w:ascii="Times New Roman" w:hAnsi="Times New Roman"/>
          <w:sz w:val="24"/>
        </w:rPr>
        <w:t>• Establish a 3-tier operational decision hierarchy (SAFE $&lt; 45\%$, NEEDS REVIEW $45\%-75\%$, FRAUD $\ge 75\%$) to provide automated straight-through processing while preserving a human-in-the-loop analyst triage queue.</w:t>
      </w:r>
    </w:p>
    <w:p>
      <w:pPr>
        <w:spacing w:line="360" w:lineRule="auto" w:after="120"/>
        <w:ind w:left="432"/>
      </w:pPr>
      <w:r>
        <w:rPr>
          <w:rFonts w:ascii="Times New Roman" w:hAnsi="Times New Roman"/>
          <w:sz w:val="24"/>
        </w:rPr>
        <w:t>3. Integrate Real-Time Explainable AI (XAI) &amp; Regulatory Reason Codes:</w:t>
      </w:r>
    </w:p>
    <w:p>
      <w:pPr>
        <w:spacing w:line="360" w:lineRule="auto" w:after="120"/>
        <w:ind w:left="432"/>
      </w:pPr>
      <w:r>
        <w:rPr>
          <w:rFonts w:ascii="Times New Roman" w:hAnsi="Times New Roman"/>
          <w:sz w:val="24"/>
        </w:rPr>
        <w:t>• Implement TreeSHAP to compute exact additive feature attributions ($\phii$) for tree ensembles in sub-100ms latency.</w:t>
      </w:r>
    </w:p>
    <w:p>
      <w:pPr>
        <w:spacing w:line="360" w:lineRule="auto" w:after="120"/>
        <w:ind w:left="432"/>
      </w:pPr>
      <w:r>
        <w:rPr>
          <w:rFonts w:ascii="Times New Roman" w:hAnsi="Times New Roman"/>
          <w:sz w:val="24"/>
        </w:rPr>
        <w:t>• Map quantitative Shapley feature weights into human-understandable Fair Credit Reporting Act (FCRA) Adverse Action Reason Codes (e.g., RC-BAL-02: Account Liquidation Anomaly, RC-GEO-01: Haversine Geolocation Distance Discrepancy).</w:t>
      </w:r>
    </w:p>
    <w:p>
      <w:pPr>
        <w:spacing w:line="360" w:lineRule="auto" w:after="120"/>
        <w:ind w:left="432"/>
      </w:pPr>
      <w:r>
        <w:rPr>
          <w:rFonts w:ascii="Times New Roman" w:hAnsi="Times New Roman"/>
          <w:sz w:val="24"/>
        </w:rPr>
        <w:t>• Generate automated, downloadable Adverse Action disclosure documentation for compliance auditing.</w:t>
      </w:r>
    </w:p>
    <w:p>
      <w:pPr>
        <w:spacing w:line="360" w:lineRule="auto" w:after="120"/>
        <w:ind w:left="432"/>
      </w:pPr>
      <w:r>
        <w:rPr>
          <w:rFonts w:ascii="Times New Roman" w:hAnsi="Times New Roman"/>
          <w:sz w:val="24"/>
        </w:rPr>
        <w:t>4. Develop Graph Intelligence for Syndicate &amp; Mule Ring Detection:</w:t>
      </w:r>
    </w:p>
    <w:p>
      <w:pPr>
        <w:spacing w:line="360" w:lineRule="auto" w:after="120"/>
        <w:ind w:left="432"/>
      </w:pPr>
      <w:r>
        <w:rPr>
          <w:rFonts w:ascii="Times New Roman" w:hAnsi="Times New Roman"/>
          <w:sz w:val="24"/>
        </w:rPr>
        <w:t>• Construct an in-memory transactional graph using NetworkX where nodes represent accounts/merchants and directed edges represent fund flows.</w:t>
      </w:r>
    </w:p>
    <w:p>
      <w:pPr>
        <w:spacing w:line="360" w:lineRule="auto" w:after="120"/>
        <w:ind w:left="432"/>
      </w:pPr>
      <w:r>
        <w:rPr>
          <w:rFonts w:ascii="Times New Roman" w:hAnsi="Times New Roman"/>
          <w:sz w:val="24"/>
        </w:rPr>
        <w:t>• Implement depth-first cycle detection algorithms ($k$-hop cycles) and community clustering (Louvain / Greedy Modularity) to detect money laundering rings, smurfing networks, and mule accounts in real time.</w:t>
      </w:r>
    </w:p>
    <w:p>
      <w:pPr>
        <w:spacing w:line="360" w:lineRule="auto" w:after="120"/>
        <w:ind w:left="432"/>
      </w:pPr>
      <w:r>
        <w:rPr>
          <w:rFonts w:ascii="Times New Roman" w:hAnsi="Times New Roman"/>
          <w:sz w:val="24"/>
        </w:rPr>
        <w:t>5. Build an MLOps Concept Drift and Federated Defense Framework:</w:t>
      </w:r>
    </w:p>
    <w:p>
      <w:pPr>
        <w:spacing w:line="360" w:lineRule="auto" w:after="120"/>
        <w:ind w:left="432"/>
      </w:pPr>
      <w:r>
        <w:rPr>
          <w:rFonts w:ascii="Times New Roman" w:hAnsi="Times New Roman"/>
          <w:sz w:val="24"/>
        </w:rPr>
        <w:t>• Implement automated two-sample Kolmogorov-Smirnov (KS) tests and Population Stability Index (PSI) algorithms to track transactional feature distribution shifts.</w:t>
      </w:r>
    </w:p>
    <w:p>
      <w:pPr>
        <w:spacing w:line="360" w:lineRule="auto" w:after="120"/>
        <w:ind w:left="432"/>
      </w:pPr>
      <w:r>
        <w:rPr>
          <w:rFonts w:ascii="Times New Roman" w:hAnsi="Times New Roman"/>
          <w:sz w:val="24"/>
        </w:rPr>
        <w:t>• Provide an adversarial drift injection sandbox allowing administrators to simulate emerging fraud attacks.</w:t>
      </w:r>
    </w:p>
    <w:p>
      <w:pPr>
        <w:spacing w:line="360" w:lineRule="auto" w:after="120"/>
        <w:ind w:left="432"/>
      </w:pPr>
      <w:r>
        <w:rPr>
          <w:rFonts w:ascii="Times New Roman" w:hAnsi="Times New Roman"/>
          <w:sz w:val="24"/>
        </w:rPr>
        <w:t>• Construct a Federated Learning simulator utilizing Federated Averaging (FedAvg) to demonstrate decentralized, multi-bank model aggregation without raw data sharing.</w:t>
      </w:r>
    </w:p>
    <w:p>
      <w:pPr>
        <w:spacing w:line="360" w:lineRule="auto" w:after="120"/>
        <w:ind w:left="432"/>
      </w:pPr>
      <w:r>
        <w:rPr>
          <w:rFonts w:ascii="Times New Roman" w:hAnsi="Times New Roman"/>
          <w:sz w:val="24"/>
        </w:rPr>
        <w:t>6. Deliver an Enterprise-Grade, Low-Latency Web Platform:</w:t>
      </w:r>
    </w:p>
    <w:p>
      <w:pPr>
        <w:spacing w:line="360" w:lineRule="auto" w:after="120"/>
        <w:ind w:left="432"/>
      </w:pPr>
      <w:r>
        <w:rPr>
          <w:rFonts w:ascii="Times New Roman" w:hAnsi="Times New Roman"/>
          <w:sz w:val="24"/>
        </w:rPr>
        <w:t>• Build a production-ready asynchronous microservice backend using FastAPI, Pydantic, and Uvicorn.</w:t>
      </w:r>
    </w:p>
    <w:p>
      <w:pPr>
        <w:spacing w:line="360" w:lineRule="auto" w:after="120"/>
        <w:ind w:left="432"/>
      </w:pPr>
      <w:r>
        <w:rPr>
          <w:rFonts w:ascii="Times New Roman" w:hAnsi="Times New Roman"/>
          <w:sz w:val="24"/>
        </w:rPr>
        <w:t>• Enforce enterprise security standards: JWT role-based access control (RBAC), sliding-window rate limiting, OWASP security headers, and an append-only audit log.</w:t>
      </w:r>
    </w:p>
    <w:p>
      <w:pPr>
        <w:spacing w:line="360" w:lineRule="auto" w:after="120"/>
        <w:ind w:left="432"/>
      </w:pPr>
      <w:r>
        <w:rPr>
          <w:rFonts w:ascii="Times New Roman" w:hAnsi="Times New Roman"/>
          <w:sz w:val="24"/>
        </w:rPr>
        <w:t>• Develop an interactive, visually stunning single-page application (SPA) dashboard using React 19, Vite 6, Tailwind CSS, and Framer Motion.</w:t>
      </w:r>
    </w:p>
    <w:p>
      <w:pPr>
        <w:keepNext/>
        <w:spacing w:before="240" w:after="120"/>
      </w:pPr>
      <w:r>
        <w:rPr>
          <w:rFonts w:ascii="Times New Roman" w:hAnsi="Times New Roman"/>
          <w:b/>
          <w:sz w:val="28"/>
        </w:rPr>
        <w:t>1.4.2 Scope of the Project</w:t>
      </w:r>
    </w:p>
    <w:p>
      <w:pPr>
        <w:spacing w:line="360" w:lineRule="auto" w:after="120"/>
        <w:jc w:val="both"/>
      </w:pPr>
      <w:r>
        <w:rPr>
          <w:rFonts w:ascii="Times New Roman" w:hAnsi="Times New Roman"/>
          <w:sz w:val="24"/>
        </w:rPr>
        <w:t>In Scope:</w:t>
      </w:r>
    </w:p>
    <w:p>
      <w:pPr>
        <w:spacing w:line="360" w:lineRule="auto" w:after="120"/>
        <w:ind w:left="432"/>
      </w:pPr>
      <w:r>
        <w:rPr>
          <w:rFonts w:ascii="Times New Roman" w:hAnsi="Times New Roman"/>
          <w:sz w:val="24"/>
        </w:rPr>
        <w:t>• Comprehensive offline training and hyperparameter optimization across four public benchmark financial fraud datasets.</w:t>
      </w:r>
    </w:p>
    <w:p>
      <w:pPr>
        <w:spacing w:line="360" w:lineRule="auto" w:after="120"/>
        <w:ind w:left="432"/>
      </w:pPr>
      <w:r>
        <w:rPr>
          <w:rFonts w:ascii="Times New Roman" w:hAnsi="Times New Roman"/>
          <w:sz w:val="24"/>
        </w:rPr>
        <w:t>• Schema detection and dynamic routing of transaction payloads to dedicated domain model heads.</w:t>
      </w:r>
    </w:p>
    <w:p>
      <w:pPr>
        <w:spacing w:line="360" w:lineRule="auto" w:after="120"/>
        <w:ind w:left="432"/>
      </w:pPr>
      <w:r>
        <w:rPr>
          <w:rFonts w:ascii="Times New Roman" w:hAnsi="Times New Roman"/>
          <w:sz w:val="24"/>
        </w:rPr>
        <w:t>• Real-time scoring, risk tier assignment, and TreeSHAP attribution computation.</w:t>
      </w:r>
    </w:p>
    <w:p>
      <w:pPr>
        <w:spacing w:line="360" w:lineRule="auto" w:after="120"/>
        <w:ind w:left="432"/>
      </w:pPr>
      <w:r>
        <w:rPr>
          <w:rFonts w:ascii="Times New Roman" w:hAnsi="Times New Roman"/>
          <w:sz w:val="24"/>
        </w:rPr>
        <w:t>• Graphical visualization of transaction flows and circular mule networks.</w:t>
      </w:r>
    </w:p>
    <w:p>
      <w:pPr>
        <w:spacing w:line="360" w:lineRule="auto" w:after="120"/>
        <w:ind w:left="432"/>
      </w:pPr>
      <w:r>
        <w:rPr>
          <w:rFonts w:ascii="Times New Roman" w:hAnsi="Times New Roman"/>
          <w:sz w:val="24"/>
        </w:rPr>
        <w:t>• Synthetic adversarial drift simulation and monitoring.</w:t>
      </w:r>
    </w:p>
    <w:p>
      <w:pPr>
        <w:spacing w:line="360" w:lineRule="auto" w:after="120"/>
        <w:ind w:left="432"/>
      </w:pPr>
      <w:r>
        <w:rPr>
          <w:rFonts w:ascii="Times New Roman" w:hAnsi="Times New Roman"/>
          <w:sz w:val="24"/>
        </w:rPr>
        <w:t>• Interactive web portal supporting three pre-configured role personas (SOC Analyst, Compliance Officer, System Administrator) and custom self-registration.</w:t>
      </w:r>
    </w:p>
    <w:p>
      <w:pPr>
        <w:spacing w:line="360" w:lineRule="auto" w:after="120"/>
        <w:ind w:left="432"/>
      </w:pPr>
      <w:r>
        <w:rPr>
          <w:rFonts w:ascii="Times New Roman" w:hAnsi="Times New Roman"/>
          <w:sz w:val="24"/>
        </w:rPr>
        <w:t>• Containerized deployment using Docker and Docker Compose.</w:t>
      </w:r>
    </w:p>
    <w:p>
      <w:pPr>
        <w:spacing w:line="360" w:lineRule="auto" w:after="120"/>
        <w:jc w:val="both"/>
      </w:pPr>
      <w:r>
        <w:rPr>
          <w:rFonts w:ascii="Times New Roman" w:hAnsi="Times New Roman"/>
          <w:sz w:val="24"/>
        </w:rPr>
        <w:t>Out of Scope (Current Release):</w:t>
      </w:r>
    </w:p>
    <w:p>
      <w:pPr>
        <w:spacing w:line="360" w:lineRule="auto" w:after="120"/>
        <w:ind w:left="432"/>
      </w:pPr>
      <w:r>
        <w:rPr>
          <w:rFonts w:ascii="Times New Roman" w:hAnsi="Times New Roman"/>
          <w:sz w:val="24"/>
        </w:rPr>
        <w:t>• Direct hardware integration with physical automated teller machines (ATMs) or magnetic stripe point-of-sale (POS) terminal firmware.</w:t>
      </w:r>
    </w:p>
    <w:p>
      <w:pPr>
        <w:spacing w:line="360" w:lineRule="auto" w:after="120"/>
        <w:ind w:left="432"/>
      </w:pPr>
      <w:r>
        <w:rPr>
          <w:rFonts w:ascii="Times New Roman" w:hAnsi="Times New Roman"/>
          <w:sz w:val="24"/>
        </w:rPr>
        <w:t>• Processing uncompressed, petabyte-scale historical banking ledgers (the system currently operates in streaming microservice mode).</w:t>
      </w:r>
    </w:p>
    <w:p>
      <w:pPr>
        <w:spacing w:line="360" w:lineRule="auto" w:after="120"/>
        <w:ind w:left="432"/>
      </w:pPr>
      <w:r>
        <w:rPr>
          <w:rFonts w:ascii="Times New Roman" w:hAnsi="Times New Roman"/>
          <w:sz w:val="24"/>
        </w:rPr>
        <w:t>• Real-time execution of live financial wire settlement transactions (the platform acts as a decision intelligence layer, not a financial clearinghouse).</w:t>
      </w:r>
    </w:p>
    <w:p>
      <w:pPr>
        <w:keepNext/>
        <w:spacing w:before="280" w:after="160"/>
      </w:pPr>
      <w:r>
        <w:rPr>
          <w:rFonts w:ascii="Times New Roman" w:hAnsi="Times New Roman"/>
          <w:b/>
          <w:sz w:val="32"/>
        </w:rPr>
        <w:t>1.5 Expected Outcome</w:t>
      </w:r>
    </w:p>
    <w:p>
      <w:pPr>
        <w:spacing w:line="360" w:lineRule="auto" w:after="120"/>
        <w:jc w:val="both"/>
      </w:pPr>
      <w:r>
        <w:rPr>
          <w:rFonts w:ascii="Times New Roman" w:hAnsi="Times New Roman"/>
          <w:sz w:val="24"/>
        </w:rPr>
        <w:t>Upon successful execution, the FraudShield AI project is expected to deliver:</w:t>
      </w:r>
    </w:p>
    <w:p>
      <w:pPr>
        <w:spacing w:line="360" w:lineRule="auto" w:after="120"/>
        <w:ind w:left="432"/>
      </w:pPr>
      <w:r>
        <w:rPr>
          <w:rFonts w:ascii="Times New Roman" w:hAnsi="Times New Roman"/>
          <w:sz w:val="24"/>
        </w:rPr>
        <w:t>1. A State-of-the-Art Machine Learning Engine:</w:t>
      </w:r>
    </w:p>
    <w:p>
      <w:pPr>
        <w:spacing w:line="360" w:lineRule="auto" w:after="120"/>
        <w:ind w:left="432"/>
      </w:pPr>
      <w:r>
        <w:rPr>
          <w:rFonts w:ascii="Times New Roman" w:hAnsi="Times New Roman"/>
          <w:sz w:val="24"/>
        </w:rPr>
        <w:t>• Achieving $&gt; 99.5\%$ F1-Score on Mobile Money transactions with $100\%$ Precision.</w:t>
      </w:r>
    </w:p>
    <w:p>
      <w:pPr>
        <w:spacing w:line="360" w:lineRule="auto" w:after="120"/>
        <w:ind w:left="432"/>
      </w:pPr>
      <w:r>
        <w:rPr>
          <w:rFonts w:ascii="Times New Roman" w:hAnsi="Times New Roman"/>
          <w:sz w:val="24"/>
        </w:rPr>
        <w:t>• Delivering an $8.40\%$ boost in F1-Score (to $89.25\%$) on severe imbalanced PCA vector credit card transactions compared to standard baseline models.</w:t>
      </w:r>
    </w:p>
    <w:p>
      <w:pPr>
        <w:spacing w:line="360" w:lineRule="auto" w:after="120"/>
        <w:ind w:left="432"/>
      </w:pPr>
      <w:r>
        <w:rPr>
          <w:rFonts w:ascii="Times New Roman" w:hAnsi="Times New Roman"/>
          <w:sz w:val="24"/>
        </w:rPr>
        <w:t>• Maintaining cross-validation generalization gaps strictly below $0.50\%$, confirming the absence of overfitting.</w:t>
      </w:r>
    </w:p>
    <w:p>
      <w:pPr>
        <w:spacing w:line="360" w:lineRule="auto" w:after="120"/>
        <w:ind w:left="432"/>
      </w:pPr>
      <w:r>
        <w:rPr>
          <w:rFonts w:ascii="Times New Roman" w:hAnsi="Times New Roman"/>
          <w:sz w:val="24"/>
        </w:rPr>
        <w:t>2. A Production-Ready Asynchronous API Microservice:</w:t>
      </w:r>
    </w:p>
    <w:p>
      <w:pPr>
        <w:spacing w:line="360" w:lineRule="auto" w:after="120"/>
        <w:ind w:left="432"/>
      </w:pPr>
      <w:r>
        <w:rPr>
          <w:rFonts w:ascii="Times New Roman" w:hAnsi="Times New Roman"/>
          <w:sz w:val="24"/>
        </w:rPr>
        <w:t>• Sub-100ms average response latency for single transaction scoring and explainability.</w:t>
      </w:r>
    </w:p>
    <w:p>
      <w:pPr>
        <w:spacing w:line="360" w:lineRule="auto" w:after="120"/>
        <w:ind w:left="432"/>
      </w:pPr>
      <w:r>
        <w:rPr>
          <w:rFonts w:ascii="Times New Roman" w:hAnsi="Times New Roman"/>
          <w:sz w:val="24"/>
        </w:rPr>
        <w:t>• Resilient handling of high-concurrency transaction bursts via non-blocking asynchronous Python coroutines.</w:t>
      </w:r>
    </w:p>
    <w:p>
      <w:pPr>
        <w:spacing w:line="360" w:lineRule="auto" w:after="120"/>
        <w:ind w:left="432"/>
      </w:pPr>
      <w:r>
        <w:rPr>
          <w:rFonts w:ascii="Times New Roman" w:hAnsi="Times New Roman"/>
          <w:sz w:val="24"/>
        </w:rPr>
        <w:t>• Interactive OpenAPI (Swagger) documentation available at /docs.</w:t>
      </w:r>
    </w:p>
    <w:p>
      <w:pPr>
        <w:spacing w:line="360" w:lineRule="auto" w:after="120"/>
        <w:ind w:left="432"/>
      </w:pPr>
      <w:r>
        <w:rPr>
          <w:rFonts w:ascii="Times New Roman" w:hAnsi="Times New Roman"/>
          <w:sz w:val="24"/>
        </w:rPr>
        <w:t>3. Regulatory-Grade Transparency:</w:t>
      </w:r>
    </w:p>
    <w:p>
      <w:pPr>
        <w:spacing w:line="360" w:lineRule="auto" w:after="120"/>
        <w:ind w:left="432"/>
      </w:pPr>
      <w:r>
        <w:rPr>
          <w:rFonts w:ascii="Times New Roman" w:hAnsi="Times New Roman"/>
          <w:sz w:val="24"/>
        </w:rPr>
        <w:t>• Real-time generation of TreeSHAP waterfall and summary plots for every transaction.</w:t>
      </w:r>
    </w:p>
    <w:p>
      <w:pPr>
        <w:spacing w:line="360" w:lineRule="auto" w:after="120"/>
        <w:ind w:left="432"/>
      </w:pPr>
      <w:r>
        <w:rPr>
          <w:rFonts w:ascii="Times New Roman" w:hAnsi="Times New Roman"/>
          <w:sz w:val="24"/>
        </w:rPr>
        <w:t>• Automated conversion of top negative and positive feature attributions into FCRA-compliant Adverse Action letters with downloadable audit records.</w:t>
      </w:r>
    </w:p>
    <w:p>
      <w:pPr>
        <w:spacing w:line="360" w:lineRule="auto" w:after="120"/>
        <w:ind w:left="432"/>
      </w:pPr>
      <w:r>
        <w:rPr>
          <w:rFonts w:ascii="Times New Roman" w:hAnsi="Times New Roman"/>
          <w:sz w:val="24"/>
        </w:rPr>
        <w:t>4. Network and Graph Forensics:</w:t>
      </w:r>
    </w:p>
    <w:p>
      <w:pPr>
        <w:spacing w:line="360" w:lineRule="auto" w:after="120"/>
        <w:ind w:left="432"/>
      </w:pPr>
      <w:r>
        <w:rPr>
          <w:rFonts w:ascii="Times New Roman" w:hAnsi="Times New Roman"/>
          <w:sz w:val="24"/>
        </w:rPr>
        <w:t>• Immediate visual identification of multi-hop cyclic fund transfers (e.g., $A \rightarrow B \rightarrow C \rightarrow A$).</w:t>
      </w:r>
    </w:p>
    <w:p>
      <w:pPr>
        <w:spacing w:line="360" w:lineRule="auto" w:after="120"/>
        <w:ind w:left="432"/>
      </w:pPr>
      <w:r>
        <w:rPr>
          <w:rFonts w:ascii="Times New Roman" w:hAnsi="Times New Roman"/>
          <w:sz w:val="24"/>
        </w:rPr>
        <w:t>• Calculation of composite account mule risk scores based on graph degree centrality, transaction velocity, and balance anomalies.</w:t>
      </w:r>
    </w:p>
    <w:p>
      <w:pPr>
        <w:spacing w:line="360" w:lineRule="auto" w:after="120"/>
        <w:ind w:left="432"/>
      </w:pPr>
      <w:r>
        <w:rPr>
          <w:rFonts w:ascii="Times New Roman" w:hAnsi="Times New Roman"/>
          <w:sz w:val="24"/>
        </w:rPr>
        <w:t>5. An Interactive, Enterprise-Grade Analyst Dashboard:</w:t>
      </w:r>
    </w:p>
    <w:p>
      <w:pPr>
        <w:spacing w:line="360" w:lineRule="auto" w:after="120"/>
        <w:ind w:left="432"/>
      </w:pPr>
      <w:r>
        <w:rPr>
          <w:rFonts w:ascii="Times New Roman" w:hAnsi="Times New Roman"/>
          <w:sz w:val="24"/>
        </w:rPr>
        <w:t>• A single-page web dashboard providing live transaction monitoring, dynamic dataset switching, one-click persona switching, single-transaction parameter manipulation, and visual concept drift monitoring.</w:t>
      </w:r>
    </w:p>
    <w:p>
      <w:pPr>
        <w:keepNext/>
        <w:spacing w:before="280" w:after="160"/>
      </w:pPr>
      <w:r>
        <w:rPr>
          <w:rFonts w:ascii="Times New Roman" w:hAnsi="Times New Roman"/>
          <w:b/>
          <w:sz w:val="32"/>
        </w:rPr>
        <w:t>1.6 Organization of the Report</w:t>
      </w:r>
    </w:p>
    <w:p>
      <w:pPr>
        <w:spacing w:line="360" w:lineRule="auto" w:after="120"/>
        <w:jc w:val="both"/>
      </w:pPr>
      <w:r>
        <w:rPr>
          <w:rFonts w:ascii="Times New Roman" w:hAnsi="Times New Roman"/>
          <w:sz w:val="24"/>
        </w:rPr>
        <w:t>The remainder of this Project Report is organized into the following chapters:</w:t>
      </w:r>
    </w:p>
    <w:p>
      <w:pPr>
        <w:spacing w:line="360" w:lineRule="auto" w:after="120"/>
        <w:ind w:left="432"/>
      </w:pPr>
      <w:r>
        <w:rPr>
          <w:rFonts w:ascii="Times New Roman" w:hAnsi="Times New Roman"/>
          <w:sz w:val="24"/>
        </w:rPr>
        <w:t>• Chapter 2: Literature Survey &amp; Proposed System: Reviews existing academic research, commercial fraud detection architectures, class imbalance techniques, and explainability frameworks. Details the limitations of prior works, presents an Ishikawa fishbone root cause analysis, outlines identified research gaps, and introduces the proposed FraudShield AI architecture.</w:t>
      </w:r>
    </w:p>
    <w:p>
      <w:pPr>
        <w:spacing w:line="360" w:lineRule="auto" w:after="120"/>
        <w:ind w:left="432"/>
      </w:pPr>
      <w:r>
        <w:rPr>
          <w:rFonts w:ascii="Times New Roman" w:hAnsi="Times New Roman"/>
          <w:sz w:val="24"/>
        </w:rPr>
        <w:t>• Chapter 3: Requirement Gathering, Analysis and Planning: Specifies comprehensive Functional and Non-Functional Requirements, details Role-Based Access Control (RBAC) policies, conducts technical and economic feasibility studies, outlines the CRISP-DM engineering methodology, details the complete technology stack, presents the project Gantt chart, and formalizes structural, functional, and behavioral UML system models.</w:t>
      </w:r>
    </w:p>
    <w:p>
      <w:pPr>
        <w:spacing w:line="360" w:lineRule="auto" w:after="120"/>
        <w:ind w:left="432"/>
      </w:pPr>
      <w:r>
        <w:rPr>
          <w:rFonts w:ascii="Times New Roman" w:hAnsi="Times New Roman"/>
          <w:sz w:val="24"/>
        </w:rPr>
        <w:t>• Chapter 4: System Design and Experimental Set up: Details the complete system architecture across Data Flow Diagrams (DFD Levels 0, 1, and 2), modular component topologies, and containerized deployment. Presents complete flowcharts and pseudocode algorithms for Stacking Ensemble training, OmniSMOTE, calibrated risk scoring, TreeSHAP, NetworkX mule ring detection, and FedAvg. Describes the user interface design, experimental hardware/software setup, dataset distributions, automated testing suites, and performance evaluation metrics.</w:t>
      </w:r>
    </w:p>
    <w:p>
      <w:pPr>
        <w:spacing w:line="360" w:lineRule="auto" w:after="120"/>
        <w:ind w:left="432"/>
      </w:pPr>
      <w:r>
        <w:rPr>
          <w:rFonts w:ascii="Times New Roman" w:hAnsi="Times New Roman"/>
          <w:sz w:val="24"/>
        </w:rPr>
        <w:t>• Chapter 5: Results &amp; Discussion: Presents master empirical results and benchmark performance tables across all four domain datasets before and after optimization. Analyzes confusion matrices, ROC-AUC and PR-AUC curves, TreeSHAP feature attributions, graph clustering outcomes, and concept drift metrics. Discusses cost-sensitive optimization, operational trade-offs, and system limitations.</w:t>
      </w:r>
    </w:p>
    <w:p>
      <w:pPr>
        <w:spacing w:line="360" w:lineRule="auto" w:after="120"/>
        <w:ind w:left="432"/>
      </w:pPr>
      <w:r>
        <w:rPr>
          <w:rFonts w:ascii="Times New Roman" w:hAnsi="Times New Roman"/>
          <w:sz w:val="24"/>
        </w:rPr>
        <w:t>• Chapter 6: Conclusion &amp; Future Scope: Summarizes the completed engineering contributions, reviews empirical validation against formulated hypotheses, and outlines future research trajectories including Graph Neural Networks (GNNs) and homomorphic encrypted federated learning.</w:t>
      </w:r>
    </w:p>
    <w:p>
      <w:pPr>
        <w:spacing w:line="360" w:lineRule="auto" w:after="120"/>
        <w:ind w:left="432"/>
      </w:pPr>
      <w:r>
        <w:rPr>
          <w:rFonts w:ascii="Times New Roman" w:hAnsi="Times New Roman"/>
          <w:sz w:val="24"/>
        </w:rPr>
        <w:t>• References: Comprehensive bibliography of academic and industrial literature cited in standard IEEE format.</w:t>
      </w:r>
    </w:p>
    <w:p>
      <w:pPr>
        <w:spacing w:line="360" w:lineRule="auto" w:after="120"/>
        <w:ind w:left="432"/>
      </w:pPr>
      <w:r>
        <w:rPr>
          <w:rFonts w:ascii="Times New Roman" w:hAnsi="Times New Roman"/>
          <w:sz w:val="24"/>
        </w:rPr>
        <w:t>• Research Paper: Full academic whitepaper of FraudShield AI in publication-ready IEEE format.</w:t>
      </w:r>
    </w:p>
    <w:p>
      <w:pPr>
        <w:spacing w:line="360" w:lineRule="auto" w:after="120"/>
        <w:ind w:left="432"/>
      </w:pPr>
      <w:r>
        <w:rPr>
          <w:rFonts w:ascii="Times New Roman" w:hAnsi="Times New Roman"/>
          <w:sz w:val="24"/>
        </w:rPr>
        <w:t>• Appendices: Includes Appendix A (Abbreviations and Symbols), Appendix B (Domain Definitions), and Appendix C (List of Publications).</w:t>
      </w:r>
    </w:p>
    <w:p>
      <w:r>
        <w:br w:type="page"/>
      </w:r>
    </w:p>
    <w:p>
      <w:pPr>
        <w:keepNext/>
        <w:spacing w:before="400" w:after="200"/>
        <w:jc w:val="center"/>
      </w:pPr>
      <w:r>
        <w:rPr>
          <w:rFonts w:ascii="Times New Roman" w:hAnsi="Times New Roman"/>
          <w:b/>
          <w:sz w:val="36"/>
        </w:rPr>
        <w:t>Chapter 2: Literature Survey &amp; Proposed System</w:t>
      </w:r>
    </w:p>
    <w:p>
      <w:pPr>
        <w:keepNext/>
        <w:spacing w:before="280" w:after="160"/>
      </w:pPr>
      <w:r>
        <w:rPr>
          <w:rFonts w:ascii="Times New Roman" w:hAnsi="Times New Roman"/>
          <w:b/>
          <w:sz w:val="32"/>
        </w:rPr>
        <w:t>2.1 Literature Review of Existing System</w:t>
      </w:r>
    </w:p>
    <w:p>
      <w:pPr>
        <w:spacing w:line="360" w:lineRule="auto" w:after="120"/>
        <w:jc w:val="both"/>
      </w:pPr>
      <w:r>
        <w:rPr>
          <w:rFonts w:ascii="Times New Roman" w:hAnsi="Times New Roman"/>
          <w:sz w:val="24"/>
        </w:rPr>
        <w:t>Financial fraud detection has been a vibrant domain of computer science and financial engineering research for over three decades. This section conducts an exhaustive, systematic review of foundational and contemporary literature spanning statistical anomaly detection, supervised machine learning, class imbalance mitigation, ensemble learning, graph intelligence, Explainable AI (XAI), and distributed federated defense.</w:t>
      </w:r>
    </w:p>
    <w:p>
      <w:pPr>
        <w:keepNext/>
        <w:spacing w:before="240" w:after="120"/>
      </w:pPr>
      <w:r>
        <w:rPr>
          <w:rFonts w:ascii="Times New Roman" w:hAnsi="Times New Roman"/>
          <w:b/>
          <w:sz w:val="28"/>
        </w:rPr>
        <w:t>2.1.1 Evolution of Fraud Detection Methodologies</w:t>
      </w:r>
    </w:p>
    <w:p>
      <w:pPr>
        <w:spacing w:line="360" w:lineRule="auto" w:after="120"/>
        <w:jc w:val="both"/>
      </w:pPr>
      <w:r>
        <w:rPr>
          <w:rFonts w:ascii="Times New Roman" w:hAnsi="Times New Roman"/>
          <w:sz w:val="24"/>
        </w:rPr>
        <w:t>Early fraud management systems developed in the 1990s relied on deterministic Expert Rule Engines. Leonard (1995) and Ghosh and Reilly (1994) documented early automated credit card fraud detection frameworks deployed at major payment processors. These systems executed static Boolean rules (e.g., $\text{IF Amount} &gt; \$1000 \land \text{Distance} &gt; 500\,\text{miles} \rightarrow \text{FLAG}$). While computationally inexpensive and easily interpretable, these systems suffered from severe rule decay, inability to recognize non-linear multivariate interactions, and staggering False Positive Rates (FPR) exceeding 90%.</w:t>
      </w:r>
    </w:p>
    <w:p>
      <w:pPr>
        <w:spacing w:line="360" w:lineRule="auto" w:after="120"/>
        <w:jc w:val="both"/>
      </w:pPr>
      <w:r>
        <w:rPr>
          <w:rFonts w:ascii="Times New Roman" w:hAnsi="Times New Roman"/>
          <w:sz w:val="24"/>
        </w:rPr>
        <w:t>With the advent of statistical learning, researchers turned to supervised probabilistic classifiers. Aleskerov et al. (1997) introduced CARDWATCH, one of the earliest neural network architectures applied to credit card fraud, demonstrating that multi-layer perceptrons could detect non-linear transaction anomalies. Bolton and Hand (2002) pioneered statistical fraud detection principles, emphasizing the distinction between supervised learning (classifying known fraud topologies) and unsupervised learning (detecting novel behavioral outliers through peer-group analysis and break-point analysis).</w:t>
      </w:r>
    </w:p>
    <w:p>
      <w:pPr>
        <w:spacing w:line="360" w:lineRule="auto" w:after="120"/>
        <w:jc w:val="both"/>
      </w:pPr>
      <w:r>
        <w:rPr>
          <w:rFonts w:ascii="Times New Roman" w:hAnsi="Times New Roman"/>
          <w:sz w:val="24"/>
        </w:rPr>
        <w:t>In the benchmark study by Dal Pozzolo et al. (2015), the authors conducted an extensive empirical analysis of real-world European credit card transaction data comprising 284,807 transactions. They analyzed the dual phenomena of extreme class imbalance (0.17% fraud prevalence) and concept drift—the temporal shift in legitimate cardholder spending behavior and fraudulent attack strategies over time. Their findings demonstrated that standalone classifiers (such as Logistic Regression, Support Vector Machines, and single Decision Trees) degrade rapidly over time unless continuously recalibrated with fresh feedback loops.</w:t>
      </w:r>
    </w:p>
    <w:p>
      <w:pPr>
        <w:spacing w:line="360" w:lineRule="auto" w:after="120"/>
        <w:jc w:val="both"/>
      </w:pPr>
      <w:r>
        <w:rPr>
          <w:rFonts w:ascii="Times New Roman" w:hAnsi="Times New Roman"/>
          <w:sz w:val="24"/>
        </w:rPr>
        <w:t>Carcillo et al. (2018) extended this paradigm by proposing streaming fraud detection pipelines combining supervised and active learning. They highlighted the "verification latency" challenge in banking operations: when a fraud alert is triggered, human confirmation or cardholder dispute feedback may be delayed by days or weeks, depriving automated models of timely ground-truth labels.</w:t>
      </w:r>
    </w:p>
    <w:p>
      <w:pPr>
        <w:keepNext/>
        <w:spacing w:before="240" w:after="120"/>
      </w:pPr>
      <w:r>
        <w:rPr>
          <w:rFonts w:ascii="Times New Roman" w:hAnsi="Times New Roman"/>
          <w:b/>
          <w:sz w:val="28"/>
        </w:rPr>
        <w:t>2.1.2 Class Imbalance Mitigation Strategies</w:t>
      </w:r>
    </w:p>
    <w:p>
      <w:pPr>
        <w:spacing w:line="360" w:lineRule="auto" w:after="120"/>
        <w:jc w:val="both"/>
      </w:pPr>
      <w:r>
        <w:rPr>
          <w:rFonts w:ascii="Times New Roman" w:hAnsi="Times New Roman"/>
          <w:sz w:val="24"/>
        </w:rPr>
        <w:t>A central obstacle in fraud detection is the extreme scarcity of positive fraud instances. In financial transaction streams, legitimate transactions outnumber fraudulent events by ratios ranging from 500:1 to over 5,000:1. Naive minimization of standard cross-entropy loss causes machine learning models to converge toward the trivial majority-class solution, predicting all transactions as non-fraudulent.</w:t>
      </w:r>
    </w:p>
    <w:p>
      <w:pPr>
        <w:spacing w:line="360" w:lineRule="auto" w:after="120"/>
        <w:jc w:val="both"/>
      </w:pPr>
      <w:r>
        <w:rPr>
          <w:rFonts w:ascii="Times New Roman" w:hAnsi="Times New Roman"/>
          <w:sz w:val="24"/>
        </w:rPr>
        <w:t>To counteract class imbalance, academic literature bifurcates into data-level resampling techniques and algorithm-level cost-sensitive adjustments:</w:t>
      </w:r>
    </w:p>
    <w:p>
      <w:pPr>
        <w:spacing w:line="360" w:lineRule="auto" w:after="120"/>
        <w:ind w:left="432"/>
      </w:pPr>
      <w:r>
        <w:rPr>
          <w:rFonts w:ascii="Times New Roman" w:hAnsi="Times New Roman"/>
          <w:sz w:val="24"/>
        </w:rPr>
        <w:t>1. Data-Level Resampling:</w:t>
      </w:r>
    </w:p>
    <w:p>
      <w:pPr>
        <w:spacing w:line="360" w:lineRule="auto" w:after="120"/>
        <w:ind w:left="432"/>
      </w:pPr>
      <w:r>
        <w:rPr>
          <w:rFonts w:ascii="Times New Roman" w:hAnsi="Times New Roman"/>
          <w:sz w:val="24"/>
        </w:rPr>
        <w:t>• Random Undersampling (RUS): Randomly discards majority-class instances to balance class proportions. While computationally efficient, RUS discards potentially vital information regarding legitimate spending variance, inflating false positive rates.</w:t>
      </w:r>
    </w:p>
    <w:p>
      <w:pPr>
        <w:spacing w:line="360" w:lineRule="auto" w:after="120"/>
        <w:ind w:left="432"/>
      </w:pPr>
      <w:r>
        <w:rPr>
          <w:rFonts w:ascii="Times New Roman" w:hAnsi="Times New Roman"/>
          <w:sz w:val="24"/>
        </w:rPr>
        <w:t>• Random Oversampling (ROS): Duplicates minority-class instances. ROS frequently leads to severe model overfitting, as classifiers memorize individual fraud examples rather than learning generalized boundaries.</w:t>
      </w:r>
    </w:p>
    <w:p>
      <w:pPr>
        <w:spacing w:line="360" w:lineRule="auto" w:after="120"/>
        <w:ind w:left="432"/>
      </w:pPr>
      <w:r>
        <w:rPr>
          <w:rFonts w:ascii="Times New Roman" w:hAnsi="Times New Roman"/>
          <w:sz w:val="24"/>
        </w:rPr>
        <w:t>• Synthetic Minority Over-sampling Technique (SMOTE): Introduced by Chawla et al. (2002), SMOTE synthesizes artificial minority examples along the line segments joining $k$-nearest minority neighbors:</w:t>
      </w:r>
    </w:p>
    <w:p>
      <w:pPr>
        <w:spacing w:line="360" w:lineRule="auto" w:after="120"/>
        <w:jc w:val="both"/>
      </w:pPr>
      <w:r>
        <w:rPr>
          <w:rFonts w:ascii="Times New Roman" w:hAnsi="Times New Roman"/>
          <w:sz w:val="24"/>
        </w:rPr>
        <w:t>$$\mathbf{x}{\text{new}} = \mathbf{x}i + \lambda (\mathbf{x}{zi} - \mathbf{x}i), \quad \lambda \sim U(0, 1)$$</w:t>
      </w:r>
    </w:p>
    <w:p>
      <w:pPr>
        <w:spacing w:line="360" w:lineRule="auto" w:after="120"/>
        <w:jc w:val="both"/>
      </w:pPr>
      <w:r>
        <w:rPr>
          <w:rFonts w:ascii="Times New Roman" w:hAnsi="Times New Roman"/>
          <w:sz w:val="24"/>
        </w:rPr>
        <w:t>While groundbreaking, standard SMOTE generates synthetic samples indiscriminately across feature space, often bridging the gap between legitimate and fraudulent clusters and introducing noise along complex decision boundaries.</w:t>
      </w:r>
    </w:p>
    <w:p>
      <w:pPr>
        <w:spacing w:line="360" w:lineRule="auto" w:after="120"/>
        <w:ind w:left="432"/>
      </w:pPr>
      <w:r>
        <w:rPr>
          <w:rFonts w:ascii="Times New Roman" w:hAnsi="Times New Roman"/>
          <w:sz w:val="24"/>
        </w:rPr>
        <w:t>• Borderline-SMOTE and ADASYN: Han et al. (2005) proposed Borderline-SMOTE, which restricts synthetic generation exclusively to minority instances located near the decision boundary (instances whose $k$-nearest neighbors are predominantly majority class). He et al. (2008) formulated ADASYN (Adaptive Synthetic Sampling), which uses a density distribution $\Gammai$ to dynamically generate more synthetic samples for minority instances that are harder to learn.</w:t>
      </w:r>
    </w:p>
    <w:p>
      <w:pPr>
        <w:spacing w:line="360" w:lineRule="auto" w:after="120"/>
        <w:ind w:left="432"/>
      </w:pPr>
      <w:r>
        <w:rPr>
          <w:rFonts w:ascii="Times New Roman" w:hAnsi="Times New Roman"/>
          <w:sz w:val="24"/>
        </w:rPr>
        <w:t>• OmniSMOTE: In contemporary imbalanced learning, OmniSMOTE combines geometric boundary analysis with topological data analysis, ensuring that synthesized points respect multi-modal manifold geometry and do not violate convex hull bounds of legitimate transactions.</w:t>
      </w:r>
    </w:p>
    <w:p>
      <w:pPr>
        <w:spacing w:line="360" w:lineRule="auto" w:after="120"/>
        <w:ind w:left="432"/>
      </w:pPr>
      <w:r>
        <w:rPr>
          <w:rFonts w:ascii="Times New Roman" w:hAnsi="Times New Roman"/>
          <w:sz w:val="24"/>
        </w:rPr>
        <w:t>2. Algorithm-Level Cost-Sensitive Learning:</w:t>
      </w:r>
    </w:p>
    <w:p>
      <w:pPr>
        <w:spacing w:line="360" w:lineRule="auto" w:after="120"/>
        <w:ind w:left="432"/>
      </w:pPr>
      <w:r>
        <w:rPr>
          <w:rFonts w:ascii="Times New Roman" w:hAnsi="Times New Roman"/>
          <w:sz w:val="24"/>
        </w:rPr>
        <w:t>• Elkan (2001) established the theoretical foundations of cost-sensitive learning, proving that altering the loss function's penalty weights is functionally equivalent to re-weighting class priors.</w:t>
      </w:r>
    </w:p>
    <w:p>
      <w:pPr>
        <w:spacing w:line="360" w:lineRule="auto" w:after="120"/>
        <w:ind w:left="432"/>
      </w:pPr>
      <w:r>
        <w:rPr>
          <w:rFonts w:ascii="Times New Roman" w:hAnsi="Times New Roman"/>
          <w:sz w:val="24"/>
        </w:rPr>
        <w:t>• In modern gradient-boosted decision trees, Chen and Guestrin (2016) integrated the scaleposweight hyperparameter into XGBoost:</w:t>
      </w:r>
    </w:p>
    <w:p>
      <w:pPr>
        <w:spacing w:line="360" w:lineRule="auto" w:after="120"/>
        <w:jc w:val="both"/>
      </w:pPr>
      <w:r>
        <w:rPr>
          <w:rFonts w:ascii="Times New Roman" w:hAnsi="Times New Roman"/>
          <w:sz w:val="24"/>
        </w:rPr>
        <w:t>$$\text{scale\pos\weight} = \frac{\sum{i=1}^N \mathbb{I}(yi = 0)}{\sum{i=1}^N \mathbb{I}(yi = 1)}$$</w:t>
      </w:r>
    </w:p>
    <w:p>
      <w:pPr>
        <w:spacing w:line="360" w:lineRule="auto" w:after="120"/>
        <w:jc w:val="both"/>
      </w:pPr>
      <w:r>
        <w:rPr>
          <w:rFonts w:ascii="Times New Roman" w:hAnsi="Times New Roman"/>
          <w:sz w:val="24"/>
        </w:rPr>
        <w:t>This dynamically scales the gradient and hessian updates for positive instances, compelling the tree split optimizer to prioritize minority class separation without altering input data distributions.</w:t>
      </w:r>
    </w:p>
    <w:p>
      <w:pPr>
        <w:keepNext/>
        <w:spacing w:before="240" w:after="120"/>
      </w:pPr>
      <w:r>
        <w:rPr>
          <w:rFonts w:ascii="Times New Roman" w:hAnsi="Times New Roman"/>
          <w:b/>
          <w:sz w:val="28"/>
        </w:rPr>
        <w:t>2.1.3 Stacking Ensembles and Tree-Based Gradient Boosting</w:t>
      </w:r>
    </w:p>
    <w:p>
      <w:pPr>
        <w:spacing w:line="360" w:lineRule="auto" w:after="120"/>
        <w:jc w:val="both"/>
      </w:pPr>
      <w:r>
        <w:rPr>
          <w:rFonts w:ascii="Times New Roman" w:hAnsi="Times New Roman"/>
          <w:sz w:val="24"/>
        </w:rPr>
        <w:t>Ensemble learning combines predictions from multiple heterogeneous or homogeneous base models to achieve superior predictive generalization and variance reduction compared to any individual constituent classifier.</w:t>
      </w:r>
    </w:p>
    <w:p>
      <w:pPr>
        <w:spacing w:line="360" w:lineRule="auto" w:after="120"/>
        <w:ind w:left="432"/>
      </w:pPr>
      <w:r>
        <w:rPr>
          <w:rFonts w:ascii="Times New Roman" w:hAnsi="Times New Roman"/>
          <w:sz w:val="24"/>
        </w:rPr>
        <w:t>• Bagging (Bootstrap Aggregating): Breiman (1996) formulated Bagging, leading directly to the development of Random Forests (Breiman, 2001). By constructing hundreds of de-correlated decision trees trained on bootstrap samples with random feature sub-selection, Random Forests dramatically reduce model variance while resisting noise.</w:t>
      </w:r>
    </w:p>
    <w:p>
      <w:pPr>
        <w:spacing w:line="360" w:lineRule="auto" w:after="120"/>
        <w:ind w:left="432"/>
      </w:pPr>
      <w:r>
        <w:rPr>
          <w:rFonts w:ascii="Times New Roman" w:hAnsi="Times New Roman"/>
          <w:sz w:val="24"/>
        </w:rPr>
        <w:t>• Gradient Boosting: Friedman (2001) introduced Gradient Boosting Machines (GBM), building additive trees sequentially by fitting each successive tree to the negative gradient (pseudo-residuals) of the loss function.</w:t>
      </w:r>
    </w:p>
    <w:p>
      <w:pPr>
        <w:spacing w:line="360" w:lineRule="auto" w:after="120"/>
        <w:ind w:left="432"/>
      </w:pPr>
      <w:r>
        <w:rPr>
          <w:rFonts w:ascii="Times New Roman" w:hAnsi="Times New Roman"/>
          <w:sz w:val="24"/>
        </w:rPr>
        <w:t>• Modern Gradient Boosted Trees:</w:t>
      </w:r>
    </w:p>
    <w:p>
      <w:pPr>
        <w:spacing w:line="360" w:lineRule="auto" w:after="120"/>
        <w:ind w:left="432"/>
      </w:pPr>
      <w:r>
        <w:rPr>
          <w:rFonts w:ascii="Times New Roman" w:hAnsi="Times New Roman"/>
          <w:sz w:val="24"/>
        </w:rPr>
        <w:t>• XGBoost (Extreme Gradient Boosting): Developed by Chen and Guestrin (2016), XGBoost introduces second-order Taylor expansion approximations of the loss function, sparsity-aware split finding, cache-aware memory access, and built-in $L1$ (Lasso) and $L2$ (Ridge) regularization to prevent overfitting on structured tabular data.</w:t>
      </w:r>
    </w:p>
    <w:p>
      <w:pPr>
        <w:spacing w:line="360" w:lineRule="auto" w:after="120"/>
        <w:ind w:left="432"/>
      </w:pPr>
      <w:r>
        <w:rPr>
          <w:rFonts w:ascii="Times New Roman" w:hAnsi="Times New Roman"/>
          <w:sz w:val="24"/>
        </w:rPr>
        <w:t>• LightGBM: Formulated by Ke et al. (2017), LightGBM introduces Gradient-based One-Side Sampling (GOSS) and Exclusive Feature Bundling (EFB). Unlike traditional level-wise tree growth, LightGBM utilizes leaf-wise (best-first) tree growth with depth constraints, achieving orders-of-magnitude faster training speeds and superior memory efficiency on massive transaction datasets.</w:t>
      </w:r>
    </w:p>
    <w:p>
      <w:pPr>
        <w:spacing w:line="360" w:lineRule="auto" w:after="120"/>
        <w:ind w:left="432"/>
      </w:pPr>
      <w:r>
        <w:rPr>
          <w:rFonts w:ascii="Times New Roman" w:hAnsi="Times New Roman"/>
          <w:sz w:val="24"/>
        </w:rPr>
        <w:t>• Stacking Generalization: Wolpert (1992) formalized Stacking (Stacked Generalization). Unlike bagging (which averages predictions) or boosting (which trains sequential corrections), Stacking trains an ensemble of diverse base classifiers (Level-0), collects their out-of-fold probability predictions to form a meta-feature matrix, and trains a meta-learner (Level-1, typically Logistic Regression or an Elastic Net) to optimize the final decision boundary. In fraud detection, combining structurally diverse algorithms (gradient-boosted trees, bagged forests, and linear meta-learners) produces robust decision boundaries capable of capturing both local non-linear feature splits and global linear trends.</w:t>
      </w:r>
    </w:p>
    <w:p>
      <w:pPr>
        <w:keepNext/>
        <w:spacing w:before="240" w:after="120"/>
      </w:pPr>
      <w:r>
        <w:rPr>
          <w:rFonts w:ascii="Times New Roman" w:hAnsi="Times New Roman"/>
          <w:b/>
          <w:sz w:val="28"/>
        </w:rPr>
        <w:t>2.1.4 Explainable Artificial Intelligence (XAI) in FinTech</w:t>
      </w:r>
    </w:p>
    <w:p>
      <w:pPr>
        <w:spacing w:line="360" w:lineRule="auto" w:after="120"/>
        <w:jc w:val="both"/>
      </w:pPr>
      <w:r>
        <w:rPr>
          <w:rFonts w:ascii="Times New Roman" w:hAnsi="Times New Roman"/>
          <w:sz w:val="24"/>
        </w:rPr>
        <w:t>The deployment of complex non-linear ensemble models in banking operations created the urgent challenge of model opacity. When an algorithm blocks a cardholder's wire transfer or denies a merchant authorization, risk analysts must know the underlying rationale to prevent unfair discrimination, satisfy regulatory inquiries, and combat false positives.</w:t>
      </w:r>
    </w:p>
    <w:p>
      <w:pPr>
        <w:spacing w:line="360" w:lineRule="auto" w:after="120"/>
        <w:ind w:left="432"/>
      </w:pPr>
      <w:r>
        <w:rPr>
          <w:rFonts w:ascii="Times New Roman" w:hAnsi="Times New Roman"/>
          <w:sz w:val="24"/>
        </w:rPr>
        <w:t>1. LIME (Local Interpretable Model-Agnostic Explanations):</w:t>
      </w:r>
    </w:p>
    <w:p>
      <w:pPr>
        <w:spacing w:line="360" w:lineRule="auto" w:after="120"/>
        <w:jc w:val="both"/>
      </w:pPr>
      <w:r>
        <w:rPr>
          <w:rFonts w:ascii="Times New Roman" w:hAnsi="Times New Roman"/>
          <w:sz w:val="24"/>
        </w:rPr>
        <w:t>Ribeiro, Singh, and Guestrin (2016) introduced LIME. For a given complex model $f$ and an instance $\mathbf{x}$, LIME perturbs $\mathbf{x}$ in feature space, queries $f$ to obtain prediction labels for the perturbed points, weights the samples by their exponential proximity kernel $\pi{\mathbf{x}}(\mathbf{z}) = \exp(-D(\mathbf{x}, \mathbf{z})^2 / \sigma^2)$, and trains an interpretable sparse linear surrogate model $g \in G$:</w:t>
      </w:r>
    </w:p>
    <w:p>
      <w:pPr>
        <w:spacing w:line="360" w:lineRule="auto" w:after="120"/>
        <w:jc w:val="both"/>
      </w:pPr>
      <w:r>
        <w:rPr>
          <w:rFonts w:ascii="Times New Roman" w:hAnsi="Times New Roman"/>
          <w:sz w:val="24"/>
        </w:rPr>
        <w:t>$$\xi(\mathbf{x}) = \arg\min{g \in G} \mathcal{L}(f, g, \pi{\mathbf{x}}) + \Omega(g)$$</w:t>
      </w:r>
    </w:p>
    <w:p>
      <w:pPr>
        <w:spacing w:line="360" w:lineRule="auto" w:after="120"/>
        <w:jc w:val="both"/>
      </w:pPr>
      <w:r>
        <w:rPr>
          <w:rFonts w:ascii="Times New Roman" w:hAnsi="Times New Roman"/>
          <w:sz w:val="24"/>
        </w:rPr>
        <w:t>While highly intuitive, LIME suffers from sampling instability (explanations can vary slightly across repeated runs) and high runtime overhead due to runtime Monte Carlo perturbation sampling.</w:t>
      </w:r>
    </w:p>
    <w:p>
      <w:pPr>
        <w:spacing w:line="360" w:lineRule="auto" w:after="120"/>
        <w:ind w:left="432"/>
      </w:pPr>
      <w:r>
        <w:rPr>
          <w:rFonts w:ascii="Times New Roman" w:hAnsi="Times New Roman"/>
          <w:sz w:val="24"/>
        </w:rPr>
        <w:t>2. SHAP (SHapley Additive exPlanations):</w:t>
      </w:r>
    </w:p>
    <w:p>
      <w:pPr>
        <w:spacing w:line="360" w:lineRule="auto" w:after="120"/>
        <w:jc w:val="both"/>
      </w:pPr>
      <w:r>
        <w:rPr>
          <w:rFonts w:ascii="Times New Roman" w:hAnsi="Times New Roman"/>
          <w:sz w:val="24"/>
        </w:rPr>
        <w:t>Lundberg and Lee (2017) unified cooperative game theory and machine learning interpretability by introducing SHAP, rooted in Lloyd Shapley's (1953) axiomatic game theory. SHAP assigns each feature an attribution value representing its contribution to the displacement of the model prediction from the base expected value. SHAP is uniquely grounded in four desirable theoretical properties:</w:t>
      </w:r>
    </w:p>
    <w:p>
      <w:pPr>
        <w:spacing w:line="360" w:lineRule="auto" w:after="120"/>
        <w:ind w:left="432"/>
      </w:pPr>
      <w:r>
        <w:rPr>
          <w:rFonts w:ascii="Times New Roman" w:hAnsi="Times New Roman"/>
          <w:sz w:val="24"/>
        </w:rPr>
        <w:t>• Local Accuracy (Efficiency): $\sum{i=1}^m \phii(\mathbf{x}) = f(\mathbf{x}) - \phi0$.</w:t>
      </w:r>
    </w:p>
    <w:p>
      <w:pPr>
        <w:spacing w:line="360" w:lineRule="auto" w:after="120"/>
        <w:ind w:left="432"/>
      </w:pPr>
      <w:r>
        <w:rPr>
          <w:rFonts w:ascii="Times New Roman" w:hAnsi="Times New Roman"/>
          <w:sz w:val="24"/>
        </w:rPr>
        <w:t>• Missingness: A feature with no impact receives zero attribution.</w:t>
      </w:r>
    </w:p>
    <w:p>
      <w:pPr>
        <w:spacing w:line="360" w:lineRule="auto" w:after="120"/>
        <w:ind w:left="432"/>
      </w:pPr>
      <w:r>
        <w:rPr>
          <w:rFonts w:ascii="Times New Roman" w:hAnsi="Times New Roman"/>
          <w:sz w:val="24"/>
        </w:rPr>
        <w:t>• Consistency (Monotonicity): If a model changes such that a feature's marginal contribution increases or stays the same, its attribution value cannot decrease.</w:t>
      </w:r>
    </w:p>
    <w:p>
      <w:pPr>
        <w:spacing w:line="360" w:lineRule="auto" w:after="120"/>
        <w:ind w:left="432"/>
      </w:pPr>
      <w:r>
        <w:rPr>
          <w:rFonts w:ascii="Times New Roman" w:hAnsi="Times New Roman"/>
          <w:sz w:val="24"/>
        </w:rPr>
        <w:t>• Symmetry: Identical features receive identical attributions.</w:t>
      </w:r>
    </w:p>
    <w:p>
      <w:pPr>
        <w:spacing w:line="360" w:lineRule="auto" w:after="120"/>
        <w:ind w:left="432"/>
      </w:pPr>
      <w:r>
        <w:rPr>
          <w:rFonts w:ascii="Times New Roman" w:hAnsi="Times New Roman"/>
          <w:sz w:val="24"/>
        </w:rPr>
        <w:t>3. TreeSHAP:</w:t>
      </w:r>
    </w:p>
    <w:p>
      <w:pPr>
        <w:spacing w:line="360" w:lineRule="auto" w:after="120"/>
        <w:jc w:val="both"/>
      </w:pPr>
      <w:r>
        <w:rPr>
          <w:rFonts w:ascii="Times New Roman" w:hAnsi="Times New Roman"/>
          <w:sz w:val="24"/>
        </w:rPr>
        <w:t>In 2020, Lundberg et al. formulated TreeSHAP, an exact algorithm optimized specifically for tree ensembles. While general KernelSHAP scales exponentially with feature dimension ($\mathcal{O}(M 2^{|F|})$), TreeSHAP exploits the internal graph topology of decision trees, evaluating all feature subsets simultaneously in polynomial time:</w:t>
      </w:r>
    </w:p>
    <w:p>
      <w:pPr>
        <w:spacing w:line="360" w:lineRule="auto" w:after="120"/>
        <w:jc w:val="both"/>
      </w:pPr>
      <w:r>
        <w:rPr>
          <w:rFonts w:ascii="Times New Roman" w:hAnsi="Times New Roman"/>
          <w:sz w:val="24"/>
        </w:rPr>
        <w:t>$$\mathcal{O}(T L D^2)$$</w:t>
      </w:r>
    </w:p>
    <w:p>
      <w:pPr>
        <w:spacing w:line="360" w:lineRule="auto" w:after="120"/>
        <w:jc w:val="both"/>
      </w:pPr>
      <w:r>
        <w:rPr>
          <w:rFonts w:ascii="Times New Roman" w:hAnsi="Times New Roman"/>
          <w:sz w:val="24"/>
        </w:rPr>
        <w:t>where $T$ is the number of trees, $L$ is the maximum number of leaves, and $D$ is the maximum tree depth. This algorithmic breakthrough enables real-time, sub-50ms exact feature attribution for production transaction scoring.</w:t>
      </w:r>
    </w:p>
    <w:p>
      <w:pPr>
        <w:keepNext/>
        <w:spacing w:before="240" w:after="120"/>
      </w:pPr>
      <w:r>
        <w:rPr>
          <w:rFonts w:ascii="Times New Roman" w:hAnsi="Times New Roman"/>
          <w:b/>
          <w:sz w:val="28"/>
        </w:rPr>
        <w:t>2.1.5 Graph Analytics and Syndicate Ring Detection</w:t>
      </w:r>
    </w:p>
    <w:p>
      <w:pPr>
        <w:spacing w:line="360" w:lineRule="auto" w:after="120"/>
        <w:jc w:val="both"/>
      </w:pPr>
      <w:r>
        <w:rPr>
          <w:rFonts w:ascii="Times New Roman" w:hAnsi="Times New Roman"/>
          <w:sz w:val="24"/>
        </w:rPr>
        <w:t>While tabular machine learning analyzes individual transactions in isolation, modern organized cybercrime relies on collaborative networks: mule accounts, smurfing rings, and synthetic identity clusters.</w:t>
      </w:r>
    </w:p>
    <w:p>
      <w:pPr>
        <w:spacing w:line="360" w:lineRule="auto" w:after="120"/>
        <w:jc w:val="both"/>
      </w:pPr>
      <w:r>
        <w:rPr>
          <w:rFonts w:ascii="Times New Roman" w:hAnsi="Times New Roman"/>
          <w:sz w:val="24"/>
        </w:rPr>
        <w:t>Akoglu, Chandy, and Faloutsos (2015) conducted an exhaustive survey on graph-based anomaly detection, demonstrating that financial transactions naturally map to directed, weighted multi-graphs:</w:t>
      </w:r>
    </w:p>
    <w:p>
      <w:pPr>
        <w:spacing w:line="360" w:lineRule="auto" w:after="120"/>
        <w:jc w:val="both"/>
      </w:pPr>
      <w:r>
        <w:rPr>
          <w:rFonts w:ascii="Times New Roman" w:hAnsi="Times New Roman"/>
          <w:sz w:val="24"/>
        </w:rPr>
        <w:t>$$\mathcal{G} = (\mathcal{V}, \mathcal{E}, \mathcal{W})$$</w:t>
      </w:r>
    </w:p>
    <w:p>
      <w:pPr>
        <w:spacing w:line="360" w:lineRule="auto" w:after="120"/>
        <w:jc w:val="both"/>
      </w:pPr>
      <w:r>
        <w:rPr>
          <w:rFonts w:ascii="Times New Roman" w:hAnsi="Times New Roman"/>
          <w:sz w:val="24"/>
        </w:rPr>
        <w:t>where vertices $\mathcal{V}$ represent account entities (cardholders, merchants, bank accounts), directed edges $\mathcal{E} \subseteq \mathcal{V} \times \mathcal{V}$ represent fund transfers, and edge weights $\mathcal{W}$ denote transaction amounts and timestamps.</w:t>
      </w:r>
    </w:p>
    <w:p>
      <w:pPr>
        <w:spacing w:line="360" w:lineRule="auto" w:after="120"/>
        <w:jc w:val="both"/>
      </w:pPr>
      <w:r>
        <w:rPr>
          <w:rFonts w:ascii="Times New Roman" w:hAnsi="Times New Roman"/>
          <w:sz w:val="24"/>
        </w:rPr>
        <w:t>In financial money laundering, circular routing ($A \rightarrow B \rightarrow C \rightarrow A$) is a classic evasion topology used to obfuscate the illicit origin of stolen funds. Traditional relational databases cannot query multi-hop cyclic paths efficiently. By applying Tarjan’s Strongly Connected Components algorithm and Johnson’s elementary cycle-finding algorithm via in-memory graph engines (such as NetworkX), detection systems can uncover complex money laundering loops in real time.</w:t>
      </w:r>
    </w:p>
    <w:p>
      <w:pPr>
        <w:keepNext/>
        <w:spacing w:before="240" w:after="120"/>
      </w:pPr>
      <w:r>
        <w:rPr>
          <w:rFonts w:ascii="Times New Roman" w:hAnsi="Times New Roman"/>
          <w:b/>
          <w:sz w:val="28"/>
        </w:rPr>
        <w:t>2.1.6 Federated Learning in Financial Systems</w:t>
      </w:r>
    </w:p>
    <w:p>
      <w:pPr>
        <w:spacing w:line="360" w:lineRule="auto" w:after="120"/>
        <w:jc w:val="both"/>
      </w:pPr>
      <w:r>
        <w:rPr>
          <w:rFonts w:ascii="Times New Roman" w:hAnsi="Times New Roman"/>
          <w:sz w:val="24"/>
        </w:rPr>
        <w:t>Financial institutions are legally restricted by data privacy regulations (e.g., GDPR, PCI-DSS, Bank Secrecy Act) from sharing raw transaction records and cardholder PII with external competitors. However, fraudsters frequently exploit this information silo by launching coordinated, multi-bank card testing and account takeover campaigns across several institutions simultaneously.</w:t>
      </w:r>
    </w:p>
    <w:p>
      <w:pPr>
        <w:spacing w:line="360" w:lineRule="auto" w:after="120"/>
        <w:jc w:val="both"/>
      </w:pPr>
      <w:r>
        <w:rPr>
          <w:rFonts w:ascii="Times New Roman" w:hAnsi="Times New Roman"/>
          <w:sz w:val="24"/>
        </w:rPr>
        <w:t>McMahan et al. (2017) pioneered Federated Learning (FL) with the Federated Averaging (FedAvg) algorithm. In a federated ecosystem, $K$ distinct banking nodes train local models on their proprietary internal transaction data $\mathcal{D}k$. Rather than transmitting raw transactions to a centralized repository, each bank computes local gradient parameter updates $\mathbf{w}t^k$ and transmits only encrypted model weights to a central coordinator. The coordinator aggregates the weights:</w:t>
      </w:r>
    </w:p>
    <w:p>
      <w:pPr>
        <w:spacing w:line="360" w:lineRule="auto" w:after="120"/>
        <w:jc w:val="both"/>
      </w:pPr>
      <w:r>
        <w:rPr>
          <w:rFonts w:ascii="Times New Roman" w:hAnsi="Times New Roman"/>
          <w:sz w:val="24"/>
        </w:rPr>
        <w:t>$$\mathbf{w}{t+1} = \sum{k=1}^K \frac{nk}{N} \mathbf{w}t^k$$</w:t>
      </w:r>
    </w:p>
    <w:p>
      <w:pPr>
        <w:spacing w:line="360" w:lineRule="auto" w:after="120"/>
        <w:jc w:val="both"/>
      </w:pPr>
      <w:r>
        <w:rPr>
          <w:rFonts w:ascii="Times New Roman" w:hAnsi="Times New Roman"/>
          <w:sz w:val="24"/>
        </w:rPr>
        <w:t>and broadcasts the updated global model back to participating institutions. Yang et al. (2019) formalized Federated Machine Learning concepts, showing that Horizontal Federated Learning enables banking consortiums to collaboratively train robust fraud classifiers that detect cross-bank attack campaigns while strictly preserving customer privacy and regulatory compliance.</w:t>
      </w:r>
    </w:p>
    <w:p>
      <w:pPr>
        <w:keepNext/>
        <w:spacing w:before="240" w:after="120"/>
      </w:pPr>
      <w:r>
        <w:rPr>
          <w:rFonts w:ascii="Times New Roman" w:hAnsi="Times New Roman"/>
          <w:b/>
          <w:sz w:val="28"/>
        </w:rPr>
        <w:t>2.1.7 Comprehensive Literature Survey Matrix</w:t>
      </w:r>
    </w:p>
    <w:p>
      <w:pPr>
        <w:spacing w:line="360" w:lineRule="auto" w:after="120"/>
        <w:jc w:val="both"/>
      </w:pPr>
      <w:r>
        <w:rPr>
          <w:rFonts w:ascii="Times New Roman" w:hAnsi="Times New Roman"/>
          <w:sz w:val="24"/>
        </w:rPr>
        <w:t>The following matrix synthesizes fifteen benchmark academic studies across fraud detection methodologies, highlighting their key contributions, datasets utilized, algorithms deployed, and identified engineering gaps: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305"/>
        <w:gridCol w:w="1305"/>
        <w:gridCol w:w="1305"/>
        <w:gridCol w:w="1305"/>
        <w:gridCol w:w="1305"/>
        <w:gridCol w:w="1305"/>
        <w:gridCol w:w="1305"/>
        <w:gridCol w:w="1305"/>
      </w:tblGrid>
      <w:tr>
        <w:tc>
          <w:tcPr>
            <w:tcW w:type="dxa" w:w="1305"/>
            <w:shd w:fill="E5E7EB"/>
            <w:tcMar>
              <w:top w:w="120" w:type="dxa"/>
              <w:bottom w:w="120" w:type="dxa"/>
              <w:left w:w="140" w:type="dxa"/>
              <w:right w:w="140" w:type="dxa"/>
            </w:tcMar>
          </w:tcPr>
          <w:p>
            <w:pPr>
              <w:spacing w:line="276" w:lineRule="auto" w:after="40"/>
            </w:pPr>
            <w:r>
              <w:rPr>
                <w:rFonts w:ascii="Times New Roman" w:hAnsi="Times New Roman"/>
                <w:b/>
                <w:sz w:val="21"/>
              </w:rPr>
              <w:t>Ref.</w:t>
            </w:r>
          </w:p>
        </w:tc>
        <w:tc>
          <w:tcPr>
            <w:tcW w:type="dxa" w:w="1305"/>
            <w:shd w:fill="E5E7EB"/>
            <w:tcMar>
              <w:top w:w="120" w:type="dxa"/>
              <w:bottom w:w="120" w:type="dxa"/>
              <w:left w:w="140" w:type="dxa"/>
              <w:right w:w="140" w:type="dxa"/>
            </w:tcMar>
          </w:tcPr>
          <w:p>
            <w:pPr>
              <w:spacing w:line="276" w:lineRule="auto" w:after="40"/>
            </w:pPr>
            <w:r>
              <w:rPr>
                <w:rFonts w:ascii="Times New Roman" w:hAnsi="Times New Roman"/>
                <w:b/>
                <w:sz w:val="21"/>
              </w:rPr>
              <w:t>Authors &amp; Year</w:t>
            </w:r>
          </w:p>
        </w:tc>
        <w:tc>
          <w:tcPr>
            <w:tcW w:type="dxa" w:w="1305"/>
            <w:shd w:fill="E5E7EB"/>
            <w:tcMar>
              <w:top w:w="120" w:type="dxa"/>
              <w:bottom w:w="120" w:type="dxa"/>
              <w:left w:w="140" w:type="dxa"/>
              <w:right w:w="140" w:type="dxa"/>
            </w:tcMar>
          </w:tcPr>
          <w:p>
            <w:pPr>
              <w:spacing w:line="276" w:lineRule="auto" w:after="40"/>
            </w:pPr>
            <w:r>
              <w:rPr>
                <w:rFonts w:ascii="Times New Roman" w:hAnsi="Times New Roman"/>
                <w:b/>
                <w:sz w:val="21"/>
              </w:rPr>
              <w:t>Publication Venue</w:t>
            </w:r>
          </w:p>
        </w:tc>
        <w:tc>
          <w:tcPr>
            <w:tcW w:type="dxa" w:w="1305"/>
            <w:shd w:fill="E5E7EB"/>
            <w:tcMar>
              <w:top w:w="120" w:type="dxa"/>
              <w:bottom w:w="120" w:type="dxa"/>
              <w:left w:w="140" w:type="dxa"/>
              <w:right w:w="140" w:type="dxa"/>
            </w:tcMar>
          </w:tcPr>
          <w:p>
            <w:pPr>
              <w:spacing w:line="276" w:lineRule="auto" w:after="40"/>
            </w:pPr>
            <w:r>
              <w:rPr>
                <w:rFonts w:ascii="Times New Roman" w:hAnsi="Times New Roman"/>
                <w:b/>
                <w:sz w:val="21"/>
              </w:rPr>
              <w:t>Core Contribution</w:t>
            </w:r>
          </w:p>
        </w:tc>
        <w:tc>
          <w:tcPr>
            <w:tcW w:type="dxa" w:w="1305"/>
            <w:shd w:fill="E5E7EB"/>
            <w:tcMar>
              <w:top w:w="120" w:type="dxa"/>
              <w:bottom w:w="120" w:type="dxa"/>
              <w:left w:w="140" w:type="dxa"/>
              <w:right w:w="140" w:type="dxa"/>
            </w:tcMar>
          </w:tcPr>
          <w:p>
            <w:pPr>
              <w:spacing w:line="276" w:lineRule="auto" w:after="40"/>
            </w:pPr>
            <w:r>
              <w:rPr>
                <w:rFonts w:ascii="Times New Roman" w:hAnsi="Times New Roman"/>
                <w:b/>
                <w:sz w:val="21"/>
              </w:rPr>
              <w:t>Datasets Used</w:t>
            </w:r>
          </w:p>
        </w:tc>
        <w:tc>
          <w:tcPr>
            <w:tcW w:type="dxa" w:w="1305"/>
            <w:shd w:fill="E5E7EB"/>
            <w:tcMar>
              <w:top w:w="120" w:type="dxa"/>
              <w:bottom w:w="120" w:type="dxa"/>
              <w:left w:w="140" w:type="dxa"/>
              <w:right w:w="140" w:type="dxa"/>
            </w:tcMar>
          </w:tcPr>
          <w:p>
            <w:pPr>
              <w:spacing w:line="276" w:lineRule="auto" w:after="40"/>
            </w:pPr>
            <w:r>
              <w:rPr>
                <w:rFonts w:ascii="Times New Roman" w:hAnsi="Times New Roman"/>
                <w:b/>
                <w:sz w:val="21"/>
              </w:rPr>
              <w:t>Algorithms Evaluated</w:t>
            </w:r>
          </w:p>
        </w:tc>
        <w:tc>
          <w:tcPr>
            <w:tcW w:type="dxa" w:w="1305"/>
            <w:shd w:fill="E5E7EB"/>
            <w:tcMar>
              <w:top w:w="120" w:type="dxa"/>
              <w:bottom w:w="120" w:type="dxa"/>
              <w:left w:w="140" w:type="dxa"/>
              <w:right w:w="140" w:type="dxa"/>
            </w:tcMar>
          </w:tcPr>
          <w:p>
            <w:pPr>
              <w:spacing w:line="276" w:lineRule="auto" w:after="40"/>
            </w:pPr>
            <w:r>
              <w:rPr>
                <w:rFonts w:ascii="Times New Roman" w:hAnsi="Times New Roman"/>
                <w:b/>
                <w:sz w:val="21"/>
              </w:rPr>
              <w:t>Performance Achieved</w:t>
            </w:r>
          </w:p>
        </w:tc>
        <w:tc>
          <w:tcPr>
            <w:tcW w:type="dxa" w:w="1305"/>
            <w:shd w:fill="E5E7EB"/>
            <w:tcMar>
              <w:top w:w="120" w:type="dxa"/>
              <w:bottom w:w="120" w:type="dxa"/>
              <w:left w:w="140" w:type="dxa"/>
              <w:right w:w="140" w:type="dxa"/>
            </w:tcMar>
          </w:tcPr>
          <w:p>
            <w:pPr>
              <w:spacing w:line="276" w:lineRule="auto" w:after="40"/>
            </w:pPr>
            <w:r>
              <w:rPr>
                <w:rFonts w:ascii="Times New Roman" w:hAnsi="Times New Roman"/>
                <w:b/>
                <w:sz w:val="21"/>
              </w:rPr>
              <w:t>Critical Limitations &amp; Research Gaps</w:t>
            </w:r>
          </w:p>
        </w:tc>
      </w:tr>
      <w:tr>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[1]</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Dal Pozzolo et al. (2015)</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IEEE CIM</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Investigated concept drift and class imbalance in credit card streams.</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European Credit Card (284k txn)</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Random Forest, SVM, Logistic Regression</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PR-AUC: 0.74, ROC-AUC: 0.94</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No real-time explainability; single classifiers without stacking meta-learner.</w:t>
            </w:r>
          </w:p>
        </w:tc>
      </w:tr>
      <w:tr>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[2]</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Carcillo et al. (2018)</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Information Sciences</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Combined active learning and semi-supervised streaming fraud detection.</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Real Banking Streams (45M txn)</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Ensemble Random Forest, Active Sampling</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Recall: 78.4%, FPR: 1.2%</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Heavy computational latency; opaque black-box predictions; no regulatory reason codes.</w:t>
            </w:r>
          </w:p>
        </w:tc>
      </w:tr>
      <w:tr>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[3]</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Chawla et al. (2002)</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JAIR</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Introduced SMOTE synthetic oversampling for imbalanced data.</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Synthetic &amp; Public Benchmarks</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C4.5 Decision Trees, Naive Bayes</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Significant ROC-AUC improvement</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Overgeneralizes across boundary noise; lacks calibration for tree gradient boosters.</w:t>
            </w:r>
          </w:p>
        </w:tc>
      </w:tr>
      <w:tr>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[4]</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He et al. (2008)</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IEEE IJCNN</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Formulated ADASYN adaptive synthetic sampling.</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UCI Benchmark Datasets</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Decision Trees, SVM</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G-Mean: 84.2%</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Can synthesize extreme outliers in high-dimensional PCA financial spaces.</w:t>
            </w:r>
          </w:p>
        </w:tc>
      </w:tr>
      <w:tr>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[5]</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Chen &amp; Guestrin (2016)</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ACM KDD</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Introduced XGBoost gradient boosting framework.</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Higgs, Yahoo, Tabular Benchmarks</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XGBoost, LightGBM, Random Forest</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State-of-the-art tabular accuracy</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Lacks integrated XAI explanations; raw scores suffer from extreme probability polarization.</w:t>
            </w:r>
          </w:p>
        </w:tc>
      </w:tr>
      <w:tr>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[6]</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Ke et al. (2017)</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NeurIPS</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Developed LightGBM with GOSS and EFB algorithms.</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Flight, Yahoo, Microsoft LETOR</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LightGBM, XGBoost</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20x speedup over standard GBM</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Leaf-wise growth can overfit small minority fraud classes if unweighted.</w:t>
            </w:r>
          </w:p>
        </w:tc>
      </w:tr>
      <w:tr>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[7]</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Wolpert (1992)</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Neural Networks</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Formulated Stacking Generalization principles.</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Theoretical &amp; Multi-Task</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Heterogeneous Multi-Classifiers</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Superior meta-generalization</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High architectural complexity; requires specialized microservices for fast inference.</w:t>
            </w:r>
          </w:p>
        </w:tc>
      </w:tr>
      <w:tr>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[8]</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Lundberg &amp; Lee (2017)</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NeurIPS</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Formulated SHAP game-theoretic unified framework.</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Tabular, Image, Text</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KernelSHAP, DeepSHAP</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Exact axiomatic attribution</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KernelSHAP is computationally prohibitive for real-time sub-100ms API inference.</w:t>
            </w:r>
          </w:p>
        </w:tc>
      </w:tr>
      <w:tr>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[9]</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Lundberg et al. (2020)</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Nature Machine Intelligence</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Developed TreeSHAP for polynomial-time tree interpretability.</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Medical &amp; Financial Tabular Data</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TreeSHAP with XGBoost/LGBM</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Exact local explanations in ms</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Focused strictly on static offline analysis; no translation to FCRA reason codes.</w:t>
            </w:r>
          </w:p>
        </w:tc>
      </w:tr>
      <w:tr>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[10]</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Ribeiro et al. (2016)</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ACM KDD</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Developed LIME local surrogate explanations.</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Image, Text, Tabular</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Sparse Linear Surrogates</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Interpretable local weights</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High sampling instability; sensitive to perturbation kernel width $\sigma$.</w:t>
            </w:r>
          </w:p>
        </w:tc>
      </w:tr>
      <w:tr>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[11]</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Lopez-Rojas et al. (2016)</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EMSS</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Developed PaySim synthetic mobile money simulator.</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PaySim Mobile Logs (6.3M txn)</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Baseline Decision Trees</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Accuracy: 98.2%</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Initial baseline models omitted balance delta equations and stacking ensembles.</w:t>
            </w:r>
          </w:p>
        </w:tc>
      </w:tr>
      <w:tr>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[12]</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Akoglu et al. (2015)</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ACM TKDD</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Comprehensive survey of graph-based anomaly detection.</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Social &amp; Financial Graphs</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PageRank, HITS, Graph Walk</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High detection of network rings</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Relational graph databases incur massive query latency under live streaming loads.</w:t>
            </w:r>
          </w:p>
        </w:tc>
      </w:tr>
      <w:tr>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[13]</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McMahan et al. (2017)</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AISTATS</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Formulated Federated Averaging (FedAvg) distributed learning.</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MNIST, CIFAR, Language Models</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Distributed SGD, FedAvg</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Robust global convergence</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Did not address extreme financial class imbalance across non-IID bank nodes.</w:t>
            </w:r>
          </w:p>
        </w:tc>
      </w:tr>
      <w:tr>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[14]</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Yang et al. (2019)</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ACM TIST</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Established Horizontal &amp; Vertical Federated Learning taxonomy.</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FinTech &amp; Enterprise Systems</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Secure Aggregation, Split Learning</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High privacy preservation</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Theoretical framework; lacks complete open-source microservice reference implementation.</w:t>
            </w:r>
          </w:p>
        </w:tc>
      </w:tr>
      <w:tr>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[15]</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European Commission (2024)</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Official EU Journal</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Promulgated the EU Artificial Intelligence Act.</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Regulatory Compliance Document</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Legal &amp; Compliance Standards</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Mandated transparency</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Establishes strict legal mandates but provides no engineering code implementation.</w:t>
            </w:r>
          </w:p>
        </w:tc>
      </w:tr>
    </w:tbl>
    <w:p>
      <w:pPr>
        <w:spacing w:after="120"/>
      </w:pPr>
    </w:p>
    <w:p>
      <w:pPr>
        <w:keepNext/>
        <w:spacing w:before="280" w:after="160"/>
      </w:pPr>
      <w:r>
        <w:rPr>
          <w:rFonts w:ascii="Times New Roman" w:hAnsi="Times New Roman"/>
          <w:b/>
          <w:sz w:val="32"/>
        </w:rPr>
        <w:t>2.2 Limitations of Existing System &amp; Gap Analysis</w:t>
      </w:r>
    </w:p>
    <w:p>
      <w:pPr>
        <w:keepNext/>
        <w:spacing w:before="240" w:after="120"/>
      </w:pPr>
      <w:r>
        <w:rPr>
          <w:rFonts w:ascii="Times New Roman" w:hAnsi="Times New Roman"/>
          <w:b/>
          <w:sz w:val="28"/>
        </w:rPr>
        <w:t>2.2.1 Critical Review of Contemporary Production Architectures</w:t>
      </w:r>
    </w:p>
    <w:p>
      <w:pPr>
        <w:spacing w:line="360" w:lineRule="auto" w:after="120"/>
        <w:jc w:val="both"/>
      </w:pPr>
      <w:r>
        <w:rPr>
          <w:rFonts w:ascii="Times New Roman" w:hAnsi="Times New Roman"/>
          <w:sz w:val="24"/>
        </w:rPr>
        <w:t>Current industrial fraud detection solutions deployed across tier-1 banks and payment gateways are characterized by fractured, siloed architectures. Organizations typically run a patchwork of legacy rule engines (e.g., FICO Falcon, Actimize) coupled with disconnected, offline analytical models developed in isolation by data science teams.</w:t>
      </w:r>
    </w:p>
    <w:p>
      <w:pPr>
        <w:spacing w:line="360" w:lineRule="auto" w:after="120"/>
        <w:jc w:val="both"/>
      </w:pPr>
      <w:r>
        <w:rPr>
          <w:rFonts w:ascii="Times New Roman" w:hAnsi="Times New Roman"/>
          <w:sz w:val="24"/>
        </w:rPr>
        <w:t>An objective examination of these architectures exposes several fundamental vulnerabilities:</w:t>
      </w:r>
    </w:p>
    <w:p>
      <w:pPr>
        <w:spacing w:line="360" w:lineRule="auto" w:after="120"/>
        <w:ind w:left="432"/>
      </w:pPr>
      <w:r>
        <w:rPr>
          <w:rFonts w:ascii="Times New Roman" w:hAnsi="Times New Roman"/>
          <w:sz w:val="24"/>
        </w:rPr>
        <w:t>1. The Dichotomy Between Rules and Machine Learning:</w:t>
      </w:r>
    </w:p>
    <w:p>
      <w:pPr>
        <w:spacing w:line="360" w:lineRule="auto" w:after="120"/>
        <w:jc w:val="both"/>
      </w:pPr>
      <w:r>
        <w:rPr>
          <w:rFonts w:ascii="Times New Roman" w:hAnsi="Times New Roman"/>
          <w:sz w:val="24"/>
        </w:rPr>
        <w:t>Traditional banks force a binary separation: transaction traffic passes first through a legacy rule engine; if a transaction passes without triggering a rule, it is either authorized immediately or sent to an asynchronous offline batch queue for machine learning scoring. This disjointed architecture fails because:</w:t>
      </w:r>
    </w:p>
    <w:p>
      <w:pPr>
        <w:spacing w:line="360" w:lineRule="auto" w:after="120"/>
        <w:ind w:left="432"/>
      </w:pPr>
      <w:r>
        <w:rPr>
          <w:rFonts w:ascii="Times New Roman" w:hAnsi="Times New Roman"/>
          <w:sz w:val="24"/>
        </w:rPr>
        <w:t>• Modern complex attacks easily bypass simplistic rule thresholds.</w:t>
      </w:r>
    </w:p>
    <w:p>
      <w:pPr>
        <w:spacing w:line="360" w:lineRule="auto" w:after="120"/>
        <w:ind w:left="432"/>
      </w:pPr>
      <w:r>
        <w:rPr>
          <w:rFonts w:ascii="Times New Roman" w:hAnsi="Times New Roman"/>
          <w:sz w:val="24"/>
        </w:rPr>
        <w:t>• Batch ML scoring happens after funds have already cleared, turning fraud prevention into a reactive loss-recovery effort.</w:t>
      </w:r>
    </w:p>
    <w:p>
      <w:pPr>
        <w:spacing w:line="360" w:lineRule="auto" w:after="120"/>
        <w:ind w:left="432"/>
      </w:pPr>
      <w:r>
        <w:rPr>
          <w:rFonts w:ascii="Times New Roman" w:hAnsi="Times New Roman"/>
          <w:sz w:val="24"/>
        </w:rPr>
        <w:t>• Updating rule tables requires manual sign-offs and extensive regression testing, taking weeks to respond to emerging attack vectors.</w:t>
      </w:r>
    </w:p>
    <w:p>
      <w:pPr>
        <w:spacing w:line="360" w:lineRule="auto" w:after="120"/>
        <w:ind w:left="432"/>
      </w:pPr>
      <w:r>
        <w:rPr>
          <w:rFonts w:ascii="Times New Roman" w:hAnsi="Times New Roman"/>
          <w:sz w:val="24"/>
        </w:rPr>
        <w:t>2. Extreme Score Polarization and Analyst Queue Starvation:</w:t>
      </w:r>
    </w:p>
    <w:p>
      <w:pPr>
        <w:spacing w:line="360" w:lineRule="auto" w:after="120"/>
        <w:jc w:val="both"/>
      </w:pPr>
      <w:r>
        <w:rPr>
          <w:rFonts w:ascii="Times New Roman" w:hAnsi="Times New Roman"/>
          <w:sz w:val="24"/>
        </w:rPr>
        <w:t>Standard gradient boosted models trained on imbalanced data yield raw probabilities clustered tightly at $0.000$ and $1.000$. Consequently, transactions are classified as either definitely safe or definitely fraudulent. In reality, modern attacks operate in grey zones: an authenticated cardholder making an unusually large purchase from a new device while traveling. By polarizing scores, standard models eliminate the intermediate risk tier, depriving banks of the opportunity to trigger step-up two-factor authentication (2FA) or route borderline transactions to specialized fraud analysts.</w:t>
      </w:r>
    </w:p>
    <w:p>
      <w:pPr>
        <w:spacing w:line="360" w:lineRule="auto" w:after="120"/>
        <w:ind w:left="432"/>
      </w:pPr>
      <w:r>
        <w:rPr>
          <w:rFonts w:ascii="Times New Roman" w:hAnsi="Times New Roman"/>
          <w:sz w:val="24"/>
        </w:rPr>
        <w:t>3. Total Absence of Inline Regulatory Transparency:</w:t>
      </w:r>
    </w:p>
    <w:p>
      <w:pPr>
        <w:spacing w:line="360" w:lineRule="auto" w:after="120"/>
        <w:jc w:val="both"/>
      </w:pPr>
      <w:r>
        <w:rPr>
          <w:rFonts w:ascii="Times New Roman" w:hAnsi="Times New Roman"/>
          <w:sz w:val="24"/>
        </w:rPr>
        <w:t>When a black-box model blocks a customer's transaction, current production platforms return a generic error code (e.g., DECLINE: ERRORCODE51). Under GDPR Article 22, California Consumer Privacy Act (CCPA), and FCRA Section 615(a), consumers have the legal right to receive specific reasons explaining why an adverse decision was rendered. Banking support staff are currently unable to answer customer inquiries because the underlying AI provides no feature attribution.</w:t>
      </w:r>
    </w:p>
    <w:p>
      <w:pPr>
        <w:spacing w:line="360" w:lineRule="auto" w:after="120"/>
        <w:ind w:left="432"/>
      </w:pPr>
      <w:r>
        <w:rPr>
          <w:rFonts w:ascii="Times New Roman" w:hAnsi="Times New Roman"/>
          <w:sz w:val="24"/>
        </w:rPr>
        <w:t>4. Vulnerability to Coordinated Syndicate Rings:</w:t>
      </w:r>
    </w:p>
    <w:p>
      <w:pPr>
        <w:spacing w:line="360" w:lineRule="auto" w:after="120"/>
        <w:jc w:val="both"/>
      </w:pPr>
      <w:r>
        <w:rPr>
          <w:rFonts w:ascii="Times New Roman" w:hAnsi="Times New Roman"/>
          <w:sz w:val="24"/>
        </w:rPr>
        <w:t>Tabular machine learning models treat each transaction as an independent, identically distributed ($i.i.d.$) point in vector space. They evaluate a transaction based solely on its immediate attributes (e.g., amount, time, user ID). They are completely blind to topological graph structures: such as an account receiving twenty $500 transfers from diverse sources and immediately aggregating them into a single $10,000 transfer to an offshore entity (classic money mule structuring).</w:t>
      </w:r>
    </w:p>
    <w:p>
      <w:pPr>
        <w:spacing w:line="360" w:lineRule="auto" w:after="120"/>
        <w:ind w:left="432"/>
      </w:pPr>
      <w:r>
        <w:rPr>
          <w:rFonts w:ascii="Times New Roman" w:hAnsi="Times New Roman"/>
          <w:sz w:val="24"/>
        </w:rPr>
        <w:t>5. Inability to Withstand Covariate Concept Drift:</w:t>
      </w:r>
    </w:p>
    <w:p>
      <w:pPr>
        <w:spacing w:line="360" w:lineRule="auto" w:after="120"/>
        <w:jc w:val="both"/>
      </w:pPr>
      <w:r>
        <w:rPr>
          <w:rFonts w:ascii="Times New Roman" w:hAnsi="Times New Roman"/>
          <w:sz w:val="24"/>
        </w:rPr>
        <w:t>Financial data distributions are inherently non-stationary. Consumer purchasing patterns change dramatically during holiday shopping seasons, macroeconomic inflation, or promotional events. Simultaneously, cybercriminals constantly alter their evasion tactics once an existing vector is closed. Standard production systems have no automated mechanism to measure feature distribution divergence, leading to silent model performance degradation.</w:t>
      </w:r>
    </w:p>
    <w:p>
      <w:pPr>
        <w:keepNext/>
        <w:spacing w:before="240" w:after="120"/>
      </w:pPr>
      <w:r>
        <w:rPr>
          <w:rFonts w:ascii="Times New Roman" w:hAnsi="Times New Roman"/>
          <w:b/>
          <w:sz w:val="28"/>
        </w:rPr>
        <w:t>2.2.2 Comparative Analysis: Legacy vs. Current ML vs. FraudShield AI</w:t>
      </w:r>
    </w:p>
    <w:p>
      <w:pPr>
        <w:spacing w:line="360" w:lineRule="auto" w:after="120"/>
        <w:jc w:val="both"/>
      </w:pPr>
      <w:r>
        <w:rPr>
          <w:rFonts w:ascii="Times New Roman" w:hAnsi="Times New Roman"/>
          <w:sz w:val="24"/>
        </w:rPr>
        <w:t>The following table provides a comprehensive multi-dimensional comparison contrasting traditional legacy rule engines, conventional machine learning models, and the proposed FraudShield AI architecture: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2610"/>
        <w:gridCol w:w="2610"/>
        <w:gridCol w:w="2610"/>
        <w:gridCol w:w="2610"/>
      </w:tblGrid>
      <w:tr>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Architectural Dimension</w:t>
            </w:r>
          </w:p>
        </w:tc>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Legacy Rule-Based Systems (e.g., Falcon v1)</w:t>
            </w:r>
          </w:p>
        </w:tc>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Conventional Black-Box ML (e.g., Standalone XGBoost)</w:t>
            </w:r>
          </w:p>
        </w:tc>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Proposed FraudShield AI Platform</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Detection Methodology</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Hardcoded Boolean threshold conditions.</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Single-classifier statistical probability learning.</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Multi-Domain Hybrid Stacking Ensemble (XGB+LGBM+RF+Meta).</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Handling of Imbalance</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Manual threshold tuning; unweighted.</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Basic undersampling or unweighted cost function.</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Dynamic scaleposweight + OmniSMOTE oversampling.</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False Positive Rate (FPR)</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Extremely high ($85\% - 95\%$).</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Moderate ($15\% - 25\%$).</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Ultra-low ($&lt; 5.7\%$ on complex PCA vectors; $0\%$ on mobile money).</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Decision Spectrum</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Binary (PASS or FAIL).</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Highly polarized raw probabilities ($0.0$ or $1.0$).</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Continuous Calibrated Risk Score ($0\%-100\%$) across 3 Tiers.</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Triage &amp; Human-in-the-Loop</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Rigid alert queues without context.</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Queue starved due to probability polarization.</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Nuanced NEEDS REVIEW Tier ($45\%-75\%$) for targeted 2FA/Analyst review.</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Model Interpretability</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Transparent but simplistic (shows rule).</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Completely opaque "black box".</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Real-Time TreeSHAP feature attributions + Local Waterfall Plots.</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Regulatory Compliance</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Partial (auditable rules, but brittle).</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Non-Compliant (Violates GDPR Art 22 &amp; FCRA).</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100% Compliant (Automated FCRA Adverse Action Reason Codes).</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Graph Syndicate Detection</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None (evaluates individual records).</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None (treats data as isolated vectors).</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In-Memory NetworkX Cycle Detection &amp; Mule Ring Clustering.</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Drift &amp; Degradation Audit</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Manual rule inspection after loss spikes.</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None (requires periodic manual retraining).</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Automated 2-Sample KS-Tests &amp; Population Stability Index (PSI).</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Inter-Bank Collaboration</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Centralized fraud lists (blacklist sharing).</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None (data privacy prevents model sharing).</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Decentralized Federated Learning (FedAvg) Collaborative Defense.</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Inference Latency SLA</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Sub-10ms (simplistic lookups).</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50ms - 200ms (unoptimized Python).</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$&lt; 100\text{ms}$ (Asynchronous FastAPI microservices with caching).</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User &amp; Analyst Interface</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Clunky legacy green-screen terminal.</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Static Jupyter Notebooks or basic tables.</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Interactive Modern SPA (React 19 + Vite 6 + Tailwind CSS).</w:t>
            </w:r>
          </w:p>
        </w:tc>
      </w:tr>
    </w:tbl>
    <w:p>
      <w:pPr>
        <w:spacing w:after="120"/>
      </w:pPr>
    </w:p>
    <w:p>
      <w:pPr>
        <w:keepNext/>
        <w:spacing w:before="240" w:after="120"/>
      </w:pPr>
      <w:r>
        <w:rPr>
          <w:rFonts w:ascii="Times New Roman" w:hAnsi="Times New Roman"/>
          <w:b/>
          <w:sz w:val="28"/>
        </w:rPr>
        <w:t>2.2.3 Root Cause Analysis: 5-Why and Ishikawa (Fishbone) Analysis</w:t>
      </w:r>
    </w:p>
    <w:p>
      <w:pPr>
        <w:spacing w:line="360" w:lineRule="auto" w:after="120"/>
        <w:jc w:val="both"/>
      </w:pPr>
      <w:r>
        <w:rPr>
          <w:rFonts w:ascii="Times New Roman" w:hAnsi="Times New Roman"/>
          <w:sz w:val="24"/>
        </w:rPr>
        <w:t>To trace operational failures in modern fraud management down to their fundamental architectural root causes, two systematic engineering methodologies were conducted: 5-Why Analysis and Ishikawa (Fishbone) Diagram Formulation.</w:t>
      </w:r>
    </w:p>
    <w:p>
      <w:pPr>
        <w:keepNext/>
        <w:spacing w:before="200" w:after="80"/>
      </w:pPr>
      <w:r>
        <w:rPr>
          <w:rFonts w:ascii="Times New Roman" w:hAnsi="Times New Roman"/>
          <w:b/>
          <w:sz w:val="24"/>
        </w:rPr>
        <w:t>2.2.3.1 5-Why Root Cause Analysis</w:t>
      </w:r>
    </w:p>
    <w:p>
      <w:pPr>
        <w:spacing w:line="360" w:lineRule="auto" w:after="120"/>
        <w:ind w:left="432"/>
      </w:pPr>
      <w:r>
        <w:rPr>
          <w:rFonts w:ascii="Times New Roman" w:hAnsi="Times New Roman"/>
          <w:sz w:val="24"/>
        </w:rPr>
        <w:t>• Why 1: Why do financial institutions continue to experience tens of billions of dollars in annual unrecovered fraud losses?</w:t>
      </w:r>
    </w:p>
    <w:p>
      <w:pPr>
        <w:spacing w:line="360" w:lineRule="auto" w:after="120"/>
        <w:jc w:val="both"/>
      </w:pPr>
      <w:r>
        <w:rPr>
          <w:rFonts w:ascii="Times New Roman" w:hAnsi="Times New Roman"/>
          <w:sz w:val="24"/>
        </w:rPr>
        <w:t>Because existing production platforms fail to block sophisticated, non-linear, multi-channel fraud patterns in real time.</w:t>
      </w:r>
    </w:p>
    <w:p>
      <w:pPr>
        <w:spacing w:line="360" w:lineRule="auto" w:after="120"/>
        <w:ind w:left="432"/>
      </w:pPr>
      <w:r>
        <w:rPr>
          <w:rFonts w:ascii="Times New Roman" w:hAnsi="Times New Roman"/>
          <w:sz w:val="24"/>
        </w:rPr>
        <w:t>• Why 2: Why do production platforms fail to detect these dynamic fraud patterns?</w:t>
      </w:r>
    </w:p>
    <w:p>
      <w:pPr>
        <w:spacing w:line="360" w:lineRule="auto" w:after="120"/>
        <w:jc w:val="both"/>
      </w:pPr>
      <w:r>
        <w:rPr>
          <w:rFonts w:ascii="Times New Roman" w:hAnsi="Times New Roman"/>
          <w:sz w:val="24"/>
        </w:rPr>
        <w:t>Because they rely heavily on static rule-based thresholds and standalone single-model classifiers that cannot adapt to non-stationary fraud strategies.</w:t>
      </w:r>
    </w:p>
    <w:p>
      <w:pPr>
        <w:spacing w:line="360" w:lineRule="auto" w:after="120"/>
        <w:ind w:left="432"/>
      </w:pPr>
      <w:r>
        <w:rPr>
          <w:rFonts w:ascii="Times New Roman" w:hAnsi="Times New Roman"/>
          <w:sz w:val="24"/>
        </w:rPr>
        <w:t>• Why 3: Why do standard machine learning classifiers fail to generalize effectively in live banking streams?</w:t>
      </w:r>
    </w:p>
    <w:p>
      <w:pPr>
        <w:spacing w:line="360" w:lineRule="auto" w:after="120"/>
        <w:jc w:val="both"/>
      </w:pPr>
      <w:r>
        <w:rPr>
          <w:rFonts w:ascii="Times New Roman" w:hAnsi="Times New Roman"/>
          <w:sz w:val="24"/>
        </w:rPr>
        <w:t>Because extreme class imbalance causes models to heavily prioritize the majority non-fraud class, resulting in missed fraud (low recall) and high false positive rates.</w:t>
      </w:r>
    </w:p>
    <w:p>
      <w:pPr>
        <w:spacing w:line="360" w:lineRule="auto" w:after="120"/>
        <w:ind w:left="432"/>
      </w:pPr>
      <w:r>
        <w:rPr>
          <w:rFonts w:ascii="Times New Roman" w:hAnsi="Times New Roman"/>
          <w:sz w:val="24"/>
        </w:rPr>
        <w:t>• Why 4: Why are banking fraud analysts unable to promptly verify, explain, or override automated fraud classifications?</w:t>
      </w:r>
    </w:p>
    <w:p>
      <w:pPr>
        <w:spacing w:line="360" w:lineRule="auto" w:after="120"/>
        <w:jc w:val="both"/>
      </w:pPr>
      <w:r>
        <w:rPr>
          <w:rFonts w:ascii="Times New Roman" w:hAnsi="Times New Roman"/>
          <w:sz w:val="24"/>
        </w:rPr>
        <w:t>Because advanced gradient boosted models and deep neural networks operate as opaque black boxes that emit uncalibrated probabilities without human-understandable feature attributions.</w:t>
      </w:r>
    </w:p>
    <w:p>
      <w:pPr>
        <w:spacing w:line="360" w:lineRule="auto" w:after="120"/>
        <w:ind w:left="432"/>
      </w:pPr>
      <w:r>
        <w:rPr>
          <w:rFonts w:ascii="Times New Roman" w:hAnsi="Times New Roman"/>
          <w:sz w:val="24"/>
        </w:rPr>
        <w:t>• Why 5: Why has the financial sector not unified calibrated stacking ensembles, explainable AI, graph intelligence, and real-time streaming interfaces?</w:t>
      </w:r>
    </w:p>
    <w:p>
      <w:pPr>
        <w:spacing w:line="360" w:lineRule="auto" w:after="120"/>
        <w:jc w:val="both"/>
      </w:pPr>
      <w:r>
        <w:rPr>
          <w:rFonts w:ascii="Times New Roman" w:hAnsi="Times New Roman"/>
          <w:sz w:val="24"/>
        </w:rPr>
        <w:t>Because existing software solutions are developed in isolated silos—data scientists train models in offline notebooks, network engineers maintain separate relational databases, and compliance officers manage manual regulatory paperwork—lacking a unified, full-stack microservice reference architecture.</w:t>
      </w:r>
    </w:p>
    <w:p>
      <w:pPr>
        <w:keepNext/>
        <w:spacing w:before="200" w:after="80"/>
      </w:pPr>
      <w:r>
        <w:rPr>
          <w:rFonts w:ascii="Times New Roman" w:hAnsi="Times New Roman"/>
          <w:b/>
          <w:sz w:val="24"/>
        </w:rPr>
        <w:t>2.2.3.2 Ishikawa (Fishbone) Root Cause Diagram</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 xml:space="preserve">                 ISHIKAWA (FISHBONE) DIAGRAM: CAUSES OF INEFFECTIVE FRAUD DEFENSE</w:t>
              <w:br/>
              <w:br/>
              <w:t xml:space="preserve">    METHOD (Detection Pipeline)           MATERIAL (Transaction Data)           MACHINE (Compute &amp; Infra)</w:t>
              <w:br/>
              <w:t xml:space="preserve">    ───────────────────────────           ───────────────────────────           ─────────────────────────</w:t>
              <w:br/>
              <w:t xml:space="preserve">    • Static hardcoded rules              • Extreme class imbalance             • High inference latency</w:t>
              <w:br/>
              <w:t xml:space="preserve">    • Single classifier reliance          • High-dimensional anonymized PCA      • Legacy batch architectures</w:t>
              <w:br/>
              <w:t xml:space="preserve">    • Lack of ensemble diversity          • Non-stationary concept drift        • Lack of async streaming APIs</w:t>
              <w:br/>
              <w:t xml:space="preserve">    • Uncalibrated decision limits        • Multi-schema domain heterogeneity   • Heavy unoptimized XAI models</w:t>
              <w:br/>
              <w:t xml:space="preserve">                                   \                   │                   /</w:t>
              <w:br/>
              <w:t xml:space="preserve">                                    \                  │                  /</w:t>
              <w:br/>
              <w:t xml:space="preserve">                                     \                 │                 /</w:t>
              <w:br/>
              <w:t xml:space="preserve">                                      ═══════════════════════════════════►  INEFFICIENT REAL-TIME</w:t>
              <w:br/>
              <w:t xml:space="preserve">                                     /                 │                 \  FRAUD DETECTION, HIGH</w:t>
              <w:br/>
              <w:t xml:space="preserve">                                    /                  │                  \ FPR &amp; REGULATORY OPACITY</w:t>
              <w:br/>
              <w:t xml:space="preserve">                                   /                   │                   \</w:t>
              <w:br/>
              <w:t xml:space="preserve">    ───────────────────────────           ───────────────────────────           ─────────────────────────</w:t>
              <w:br/>
              <w:t xml:space="preserve">    • Severe analyst alert fatigue        • Exponential surge in e-commerce     • Evaluation on accuracy alone</w:t>
              <w:br/>
              <w:t xml:space="preserve">    • Lack of XAI decision clarity        • Cross-border cyber syndicates       • Neglect of PR-AUC &amp; F1-Score</w:t>
              <w:br/>
              <w:t xml:space="preserve">    • Manual review backlogs              • Sophisticated money mule rings      • Absence of real-time KS/PSI</w:t>
              <w:br/>
              <w:t xml:space="preserve">    • Inability to meet FCRA rules        • Coordinated card-testing attacks     drift metric tracking</w:t>
              <w:br/>
              <w:t xml:space="preserve">       MAN (Human Factors)                   ENVIRONMENT (Threat Landscape)        MEASUREMENT (Metrics &amp; KPI)</w:t>
            </w:r>
          </w:p>
        </w:tc>
      </w:tr>
    </w:tbl>
    <w:p>
      <w:pPr>
        <w:spacing w:after="120"/>
      </w:pPr>
    </w:p>
    <w:p>
      <w:pPr>
        <w:spacing w:line="360" w:lineRule="auto" w:after="120"/>
        <w:jc w:val="both"/>
      </w:pPr>
      <w:r>
        <w:rPr>
          <w:rFonts w:ascii="Times New Roman" w:hAnsi="Times New Roman"/>
          <w:sz w:val="24"/>
        </w:rPr>
        <w:t>As illustrated in Figure 2.1, the breakdown of financial fraud detection stems from intersecting factors:</w:t>
      </w:r>
    </w:p>
    <w:p>
      <w:pPr>
        <w:spacing w:line="360" w:lineRule="auto" w:after="120"/>
        <w:ind w:left="432"/>
      </w:pPr>
      <w:r>
        <w:rPr>
          <w:rFonts w:ascii="Times New Roman" w:hAnsi="Times New Roman"/>
          <w:sz w:val="24"/>
        </w:rPr>
        <w:t>1. Method: Outdated heuristics, absence of stacking ensemble diversity, and uncalibrated decision thresholds.</w:t>
      </w:r>
    </w:p>
    <w:p>
      <w:pPr>
        <w:spacing w:line="360" w:lineRule="auto" w:after="120"/>
        <w:ind w:left="432"/>
      </w:pPr>
      <w:r>
        <w:rPr>
          <w:rFonts w:ascii="Times New Roman" w:hAnsi="Times New Roman"/>
          <w:sz w:val="24"/>
        </w:rPr>
        <w:t>2. Material: Extreme class imbalance (0.17% fraud prevalence), high dimensionality ($V1-V{28}$ PCA components), and rapid behavioral distribution shifts.</w:t>
      </w:r>
    </w:p>
    <w:p>
      <w:pPr>
        <w:spacing w:line="360" w:lineRule="auto" w:after="120"/>
        <w:ind w:left="432"/>
      </w:pPr>
      <w:r>
        <w:rPr>
          <w:rFonts w:ascii="Times New Roman" w:hAnsi="Times New Roman"/>
          <w:sz w:val="24"/>
        </w:rPr>
        <w:t>3. Machine: Legacy batch-processing architectures that introduce unacceptable latency and unoptimized XAI pipelines.</w:t>
      </w:r>
    </w:p>
    <w:p>
      <w:pPr>
        <w:spacing w:line="360" w:lineRule="auto" w:after="120"/>
        <w:ind w:left="432"/>
      </w:pPr>
      <w:r>
        <w:rPr>
          <w:rFonts w:ascii="Times New Roman" w:hAnsi="Times New Roman"/>
          <w:sz w:val="24"/>
        </w:rPr>
        <w:t>4. Man: Fraud analyst fatigue caused by thousands of false alerts and opaque probability outputs that cannot be explained to cardholders.</w:t>
      </w:r>
    </w:p>
    <w:p>
      <w:pPr>
        <w:spacing w:line="360" w:lineRule="auto" w:after="120"/>
        <w:ind w:left="432"/>
      </w:pPr>
      <w:r>
        <w:rPr>
          <w:rFonts w:ascii="Times New Roman" w:hAnsi="Times New Roman"/>
          <w:sz w:val="24"/>
        </w:rPr>
        <w:t>5. Environment: Rapid escalation of global card-not-present fraud, automated botnets, and organized money laundering syndicates.</w:t>
      </w:r>
    </w:p>
    <w:p>
      <w:pPr>
        <w:spacing w:line="360" w:lineRule="auto" w:after="120"/>
        <w:ind w:left="432"/>
      </w:pPr>
      <w:r>
        <w:rPr>
          <w:rFonts w:ascii="Times New Roman" w:hAnsi="Times New Roman"/>
          <w:sz w:val="24"/>
        </w:rPr>
        <w:t>6. Measurement: Misleading evaluation of machine learning models on overall accuracy rather than cost-sensitive F1-score, Precision-Recall AUC, and calibrated risk tiers.</w:t>
      </w:r>
    </w:p>
    <w:p>
      <w:pPr>
        <w:keepNext/>
        <w:spacing w:before="240" w:after="120"/>
      </w:pPr>
      <w:r>
        <w:rPr>
          <w:rFonts w:ascii="Times New Roman" w:hAnsi="Times New Roman"/>
          <w:b/>
          <w:sz w:val="28"/>
        </w:rPr>
        <w:t>2.2.4 Research Gap Analysis and Proposed Countermeasures</w:t>
      </w:r>
    </w:p>
    <w:p>
      <w:pPr>
        <w:spacing w:line="360" w:lineRule="auto" w:after="120"/>
        <w:jc w:val="both"/>
      </w:pPr>
      <w:r>
        <w:rPr>
          <w:rFonts w:ascii="Times New Roman" w:hAnsi="Times New Roman"/>
          <w:sz w:val="24"/>
        </w:rPr>
        <w:t>Based on the systematic literature survey and root cause diagnostics, four primary research and engineering gaps were identified. Table 2.3 details these gaps alongside the specific engineering countermeasures implemented in FraudShield AI:</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2610"/>
        <w:gridCol w:w="2610"/>
        <w:gridCol w:w="2610"/>
        <w:gridCol w:w="2610"/>
      </w:tblGrid>
      <w:tr>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Research Gap Identifier</w:t>
            </w:r>
          </w:p>
        </w:tc>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Identified Academic &amp; Industrial Gap</w:t>
            </w:r>
          </w:p>
        </w:tc>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Current State of the Art</w:t>
            </w:r>
          </w:p>
        </w:tc>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FraudShield AI Engineering Countermeasure</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GAP 1: Disjointed Imbalance Resampling and Stacking Ensembles</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Most studies evaluate basic SMOTE or random undersampling on single models (Logistic Regression or Random Forest).</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Single models fail to capture multi-scale non-linear interactions; basic SMOTE generates boundary distortion in PCA spaces.</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Coupled OmniSMOTE boundary-aware oversampling with dynamic algorithmic class-weighting (scaleposweight) and a multi-model Stacking Ensemble (XGBoost + LightGBM + Random Forest + Logistic Regression meta-learner).</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GAP 2: Regulatory Black-Box Opacity in High-Performing Tree Ensembles</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Gradient boosted ensembles achieve superior predictive accuracy but provide no human-interpretable rationale for transaction flags.</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Models output raw probabilities ($0.0$ to $1.0$); financial institutions violate GDPR Article 22 and FCRA disclosure mandates.</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Embedded an optimized TreeSHAP engine that evaluates polynomial-time feature attributions ($\phii$) in under 50ms, dynamically translating Shapley values into standardized FCRA Adverse Action Reason Codes.</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GAP 3: Score Polarization and Absence of Continuous Risk Calibration</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Tree ensemble loss functions produce polarized probability outputs ($p \in \{0.0001, 0.9999\}$), leaving the middle-tier review queue empty.</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Triage is forced into a binary pass/fail; cardholders suffer abrupt transaction declines without step-up authentication.</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Engineered a Calibrated Continuous Risk Engine that synthesizes raw probabilities, transaction velocity, balance liquidation heuristics, and geolocation deltas into a smooth 3-tier risk hierarchy (SAFE, NEEDS REVIEW, FRAUD).</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GAP 4: Siloed Tabular Models Blind to Coordinated Mule Rings and Drift</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Tabular classifiers evaluate transactions in complete isolation, failing to detect multi-account circular money laundering or feature distribution shift.</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Network analysis and concept drift monitoring exist only as disconnected, offline academic prototypes.</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Integrated an in-memory NetworkX Graph Intelligence Engine for real-time cyclic path and community detection, paired with an MLOps Concept Drift Engine tracking Kolmogorov-Smirnov and PSI metrics.</w:t>
            </w:r>
          </w:p>
        </w:tc>
      </w:tr>
    </w:tbl>
    <w:p>
      <w:pPr>
        <w:spacing w:after="120"/>
      </w:pPr>
    </w:p>
    <w:p>
      <w:pPr>
        <w:keepNext/>
        <w:spacing w:before="280" w:after="160"/>
      </w:pPr>
      <w:r>
        <w:rPr>
          <w:rFonts w:ascii="Times New Roman" w:hAnsi="Times New Roman"/>
          <w:b/>
          <w:sz w:val="32"/>
        </w:rPr>
        <w:t>2.3 Proposed System</w:t>
      </w:r>
    </w:p>
    <w:p>
      <w:pPr>
        <w:keepNext/>
        <w:spacing w:before="240" w:after="120"/>
      </w:pPr>
      <w:r>
        <w:rPr>
          <w:rFonts w:ascii="Times New Roman" w:hAnsi="Times New Roman"/>
          <w:b/>
          <w:sz w:val="28"/>
        </w:rPr>
        <w:t>2.3.1 Architectural Paradigm and Design Philosophy</w:t>
      </w:r>
    </w:p>
    <w:p>
      <w:pPr>
        <w:spacing w:line="360" w:lineRule="auto" w:after="120"/>
        <w:jc w:val="both"/>
      </w:pPr>
      <w:r>
        <w:rPr>
          <w:rFonts w:ascii="Times New Roman" w:hAnsi="Times New Roman"/>
          <w:sz w:val="24"/>
        </w:rPr>
        <w:t>FraudShield AI addresses the compounding failures of traditional fraud detection by introducing a unified, modular, enterprise-grade architecture. Rather than treating machine learning, explainability, graph intelligence, and user presentation as disconnected silos, FraudShield AI unifies these capabilities into an asynchronous microservice ecosystem designed around five core engineering principles:</w:t>
      </w:r>
    </w:p>
    <w:p>
      <w:pPr>
        <w:spacing w:line="360" w:lineRule="auto" w:after="120"/>
        <w:ind w:left="432"/>
      </w:pPr>
      <w:r>
        <w:rPr>
          <w:rFonts w:ascii="Times New Roman" w:hAnsi="Times New Roman"/>
          <w:sz w:val="24"/>
        </w:rPr>
        <w:t>1. Domain-Specialized Modularity:</w:t>
      </w:r>
    </w:p>
    <w:p>
      <w:pPr>
        <w:spacing w:line="360" w:lineRule="auto" w:after="120"/>
        <w:jc w:val="both"/>
      </w:pPr>
      <w:r>
        <w:rPr>
          <w:rFonts w:ascii="Times New Roman" w:hAnsi="Times New Roman"/>
          <w:sz w:val="24"/>
        </w:rPr>
        <w:t>Acknowledging that no single classifier can effectively process heterogeneous financial schemas, FraudShield AI maintains a dynamic Domain Model Registry. Incoming payloads are automatically classified by schema and routed to specialized model heads (PaySim, Credit Card PCA, Spatial Behavioral, or BankSim).</w:t>
      </w:r>
    </w:p>
    <w:p>
      <w:pPr>
        <w:spacing w:line="360" w:lineRule="auto" w:after="120"/>
        <w:ind w:left="432"/>
      </w:pPr>
      <w:r>
        <w:rPr>
          <w:rFonts w:ascii="Times New Roman" w:hAnsi="Times New Roman"/>
          <w:sz w:val="24"/>
        </w:rPr>
        <w:t>2. Heterogeneous Stacking Diversity:</w:t>
      </w:r>
    </w:p>
    <w:p>
      <w:pPr>
        <w:spacing w:line="360" w:lineRule="auto" w:after="120"/>
        <w:jc w:val="both"/>
      </w:pPr>
      <w:r>
        <w:rPr>
          <w:rFonts w:ascii="Times New Roman" w:hAnsi="Times New Roman"/>
          <w:sz w:val="24"/>
        </w:rPr>
        <w:t>Each domain head deploys a two-tier Stacking Ensemble combining structurally diverse base learners: XGBoost (depth-optimized gradient boosting), LightGBM (leaf-wise gradient boosting), and Random Forest (bagged variance reduction), synthesized by a cross-validated Logistic Regression meta-learner.</w:t>
      </w:r>
    </w:p>
    <w:p>
      <w:pPr>
        <w:spacing w:line="360" w:lineRule="auto" w:after="120"/>
        <w:ind w:left="432"/>
      </w:pPr>
      <w:r>
        <w:rPr>
          <w:rFonts w:ascii="Times New Roman" w:hAnsi="Times New Roman"/>
          <w:sz w:val="24"/>
        </w:rPr>
        <w:t>3. Equitable Continuous Risk Scoring:</w:t>
      </w:r>
    </w:p>
    <w:p>
      <w:pPr>
        <w:spacing w:line="360" w:lineRule="auto" w:after="120"/>
        <w:jc w:val="both"/>
      </w:pPr>
      <w:r>
        <w:rPr>
          <w:rFonts w:ascii="Times New Roman" w:hAnsi="Times New Roman"/>
          <w:sz w:val="24"/>
        </w:rPr>
        <w:t>The platform eliminates binary probability polarization through a calibrated scoring function that produces a smooth, continuous risk metric ($0.0\%$ to $100.0\%$), establishing an actionable NEEDS REVIEW tier ($45\%-75\%$) for step-up multi-factor authentication or manual analyst triage.</w:t>
      </w:r>
    </w:p>
    <w:p>
      <w:pPr>
        <w:spacing w:line="360" w:lineRule="auto" w:after="120"/>
        <w:ind w:left="432"/>
      </w:pPr>
      <w:r>
        <w:rPr>
          <w:rFonts w:ascii="Times New Roman" w:hAnsi="Times New Roman"/>
          <w:sz w:val="24"/>
        </w:rPr>
        <w:t>4. Sub-100ms Explainability as a First-Class Citizen:</w:t>
      </w:r>
    </w:p>
    <w:p>
      <w:pPr>
        <w:spacing w:line="360" w:lineRule="auto" w:after="120"/>
        <w:jc w:val="both"/>
      </w:pPr>
      <w:r>
        <w:rPr>
          <w:rFonts w:ascii="Times New Roman" w:hAnsi="Times New Roman"/>
          <w:sz w:val="24"/>
        </w:rPr>
        <w:t>Model interpretability is not an afterthought or offline batch script. Exact TreeSHAP feature attributions and FCRA Adverse Action reason codes are generated synchronously within the sub-100ms API inference lifecycle.</w:t>
      </w:r>
    </w:p>
    <w:p>
      <w:pPr>
        <w:spacing w:line="360" w:lineRule="auto" w:after="120"/>
        <w:ind w:left="432"/>
      </w:pPr>
      <w:r>
        <w:rPr>
          <w:rFonts w:ascii="Times New Roman" w:hAnsi="Times New Roman"/>
          <w:sz w:val="24"/>
        </w:rPr>
        <w:t>5. Decentralized and Graph-Aware Defense:</w:t>
      </w:r>
    </w:p>
    <w:p>
      <w:pPr>
        <w:spacing w:line="360" w:lineRule="auto" w:after="120"/>
        <w:jc w:val="both"/>
      </w:pPr>
      <w:r>
        <w:rPr>
          <w:rFonts w:ascii="Times New Roman" w:hAnsi="Times New Roman"/>
          <w:sz w:val="24"/>
        </w:rPr>
        <w:t>The system uncovers organized cybercrime syndicates via real-time cyclic graph traversal and enables cross-institutional consortium model training via Federated Learning (FedAvg) without exposing customer PII.</w:t>
      </w:r>
    </w:p>
    <w:p>
      <w:pPr>
        <w:keepNext/>
        <w:spacing w:before="240" w:after="120"/>
      </w:pPr>
      <w:r>
        <w:rPr>
          <w:rFonts w:ascii="Times New Roman" w:hAnsi="Times New Roman"/>
          <w:b/>
          <w:sz w:val="28"/>
        </w:rPr>
        <w:t>2.3.2 High-Level System Architecture</w:t>
      </w:r>
    </w:p>
    <w:p>
      <w:pPr>
        <w:spacing w:line="360" w:lineRule="auto" w:after="120"/>
        <w:jc w:val="both"/>
      </w:pPr>
      <w:r>
        <w:rPr>
          <w:rFonts w:ascii="Times New Roman" w:hAnsi="Times New Roman"/>
          <w:sz w:val="24"/>
        </w:rPr>
        <w:t>The following ASCII diagram illustrates the end-to-end architectural topology of FraudShield AI, detailing data flows from external ingestion through security gateways, analytical engines, and presentation layers:</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w:t>
              <w:br/>
              <w:t>│                                 PRESENTATION LAYER                                          │</w:t>
              <w:br/>
              <w:t>│                          React 19 + Vite 6 + Tailwind CSS SPA                               │</w:t>
              <w:br/>
              <w:t>│  ┌───────────────────────┐  ┌────────────────────────┐  ┌────────────────────────────────┐  │</w:t>
              <w:br/>
              <w:t>│  │ Threat Executive View │  │ Live Monitoring Stream │  │ Transaction Analysis Inspector │  │</w:t>
              <w:br/>
              <w:t>│  └───────────────────────┘  └────────────────────────┘  └────────────────────────────────┘  │</w:t>
              <w:br/>
              <w:t>│  ┌───────────────────────┐  ┌────────────────────────┐  ┌────────────────────────────────┐  │</w:t>
              <w:br/>
              <w:t>│  │ TreeSHAP XAI &amp; FCRA   │  │ Graph Intelligence UI  │  │ MLOps Drift &amp; Federated Portal │  │</w:t>
              <w:br/>
              <w:t>│  └───────────────────────┘  └────────────────────────┘  └────────────────────────────────┘  │</w:t>
              <w:br/>
              <w:t>└──────────────────────────────────────────────┬──────────────────────────────────────────────┘</w:t>
              <w:br/>
              <w:t xml:space="preserve">                                               │ HTTPS / JSON REST API (Port 8008)</w:t>
              <w:br/>
              <w:t xml:space="preserve">                                               ▼</w:t>
              <w:br/>
              <w:t>┌─────────────────────────────────────────────────────────────────────────────────────────────┐</w:t>
              <w:br/>
              <w:t>│                             ENTERPRISE API GATEWAY (FastAPI)                                │</w:t>
              <w:br/>
              <w:t>│  ┌────────────────────────┐  ┌────────────────────────┐  ┌────────────────────────────────┐  │</w:t>
              <w:br/>
              <w:t>│  │ OWASP Security Headers │  │ Sliding-Window Rate-Lim│  │ JWT Role-Based Access (RBAC)   │  │</w:t>
              <w:br/>
              <w:t>│  └────────────────────────┘  └────────────────────────┘  └────────────────────────────────┘  │</w:t>
              <w:br/>
              <w:t>└──────────────────────────────────────────────┬──────────────────────────────────────────────┘</w:t>
              <w:br/>
              <w:t xml:space="preserve">                                               │ Validated Ingestion Payload</w:t>
              <w:br/>
              <w:t xml:space="preserve">                                               ▼</w:t>
              <w:br/>
              <w:t>┌─────────────────────────────────────────────────────────────────────────────────────────────┐</w:t>
              <w:br/>
              <w:t>│                          SCHEMA DETECTION &amp; DOMAIN REGISTRY ROUTER                          │</w:t>
              <w:br/>
              <w:t>│                                (backend/app/core/model_engine.py)                           │</w:t>
              <w:br/>
              <w:t>│     ┌───────────────────┬───────────────────┬───────────────────┬─────────────────────┐     │</w:t>
              <w:br/>
              <w:t>│     ▼                   ▼                   ▼                   ▼                     ▼     │</w:t>
              <w:br/>
              <w:t>│  ┌───────────────┐   ┌───────────────┐   ┌───────────────┐   ┌───────────────┐   ┌───────────┐  │</w:t>
              <w:br/>
              <w:t>│  │ PaySim Head   │   │ CC PCA Head   │   │ Spatial Head  │   │ BankSim Head  │   │ Fallback  │  │</w:t>
              <w:br/>
              <w:t>│  │ Mobile Money  │   │ 28 PCA Vectors│   │ Haversine Geo │   │ Retail Trans  │   │ Heuristic │  │</w:t>
              <w:br/>
              <w:t>│  └───────┬───────┘   └───────┬───────┘   └───────┬───────┘   └───────┬───────┘   └─────┬─────┘  │</w:t>
              <w:br/>
              <w:t>└──────────┼───────────────────┼───────────────────┼───────────────────┼─────────────────┼────────┘</w:t>
              <w:br/>
              <w:t xml:space="preserve">           └───────────────────┴─────────┬─────────┴───────────────────┘                 │</w:t>
              <w:br/>
              <w:t xml:space="preserve">                                         ▼                                               │</w:t>
              <w:br/>
              <w:t>┌────────────────────────────────────────────────────────────────────────────────────────┴────┐</w:t>
              <w:br/>
              <w:t>│                              ANALYTICS &amp; INFERENCE PIPELINE                                 │</w:t>
              <w:br/>
              <w:t>│                                                                                             │</w:t>
              <w:br/>
              <w:t>│  ┌─────────────────────────────────────┐         ┌───────────────────────────────────────┐  │</w:t>
              <w:br/>
              <w:t>│  │       STACKING ENSEMBLE ENGINE      │         │         EXPLAINABLE AI ENGINE         │  │</w:t>
              <w:br/>
              <w:t>│  │  Level-0: XGBoost + LightGBM + RF   │ ◄─────► │  Exact TreeSHAP Attribution Engine    │  │</w:t>
              <w:br/>
              <w:t>│  │  Level-1: Logistic Regression Meta  │         │  FCRA Adverse Action Code Generator   │  │</w:t>
              <w:br/>
              <w:t>│  └──────────────────┬──────────────────┘         └───────────────────────────────────────┘  │</w:t>
              <w:br/>
              <w:t>│                     │ Raw Probability (p)                                                   │</w:t>
              <w:br/>
              <w:t>│                     ▼                                                                       │</w:t>
              <w:br/>
              <w:t>│  ┌───────────────────────────────────────────────────────────────────────────────────────┐  │</w:t>
              <w:br/>
              <w:t>│  │                         CALIBRATED CONTINUOUS RISK ENGINE                             │  │</w:t>
              <w:br/>
              <w:t>│  │      Composite Risk Score: SAFE (&lt;45%) | NEEDS REVIEW (45-75%) | FRAUD (&gt;=75%)       │  │</w:t>
              <w:br/>
              <w:t>│  └──────────────────┬────────────────────────────────────────────────────────────────────┘  │</w:t>
              <w:br/>
              <w:t>│                     │ Calibrated Score + Decision Metadata                                  │</w:t>
              <w:br/>
              <w:t>│                     ▼                                                                       │</w:t>
              <w:br/>
              <w:t>│  ┌─────────────────────────────────────┐         ┌───────────────────────────────────────┐  │</w:t>
              <w:br/>
              <w:t>│  │      GRAPH INTELLIGENCE ENGINE      │         │          MLOPS DRIFT MONITOR          │  │</w:t>
              <w:br/>
              <w:t>│  │  NetworkX In-Memory Transaction Net │         │  Two-Sample Kolmogorov-Smirnov Tests  │  │</w:t>
              <w:br/>
              <w:t>│  │  Cycles, Communities, Mule Scores   │         │  Population Stability Index (PSI)     │  │</w:t>
              <w:br/>
              <w:t>│  └─────────────────────────────────────┘         └───────────────────────────────────────┘  │</w:t>
              <w:br/>
              <w:t>└──────────────────────────────────────────────┬──────────────────────────────────────────────┘</w:t>
              <w:br/>
              <w:t xml:space="preserve">                                               │</w:t>
              <w:br/>
              <w:t xml:space="preserve">                                               ▼</w:t>
              <w:br/>
              <w:t>┌─────────────────────────────────────────────────────────────────────────────────────────────┐</w:t>
              <w:br/>
              <w:t>│                              STORAGE &amp; AUDITING INFRASTRUCTURE                              │</w:t>
              <w:br/>
              <w:t>│  ┌────────────────────────┐  ┌────────────────────────┐  ┌────────────────────────────────┐  │</w:t>
              <w:br/>
              <w:t>│  │ Append-Only Audit Log  │  │ Serialized .pkl Models │  │ Background Reference Samples   │  │</w:t>
              <w:br/>
              <w:t>│  └────────────────────────┘  └────────────────────────┘  └────────────────────────────────┘  │</w:t>
              <w:br/>
              <w:t>└─────────────────────────────────────────────────────────────────────────────────────────────┘</w:t>
            </w:r>
          </w:p>
        </w:tc>
      </w:tr>
    </w:tbl>
    <w:p>
      <w:pPr>
        <w:spacing w:after="120"/>
      </w:pPr>
    </w:p>
    <w:p>
      <w:pPr>
        <w:keepNext/>
        <w:spacing w:before="240" w:after="120"/>
      </w:pPr>
      <w:r>
        <w:rPr>
          <w:rFonts w:ascii="Times New Roman" w:hAnsi="Times New Roman"/>
          <w:b/>
          <w:sz w:val="28"/>
        </w:rPr>
        <w:t>2.3.3 Core Subsystems and Modular Breakdown</w:t>
      </w:r>
    </w:p>
    <w:p>
      <w:pPr>
        <w:spacing w:line="360" w:lineRule="auto" w:after="120"/>
        <w:jc w:val="both"/>
      </w:pPr>
      <w:r>
        <w:rPr>
          <w:rFonts w:ascii="Times New Roman" w:hAnsi="Times New Roman"/>
          <w:sz w:val="24"/>
        </w:rPr>
        <w:t>The FraudShield AI platform is partitioned into seven distinct, highly cohesive functional subsystems:</w:t>
      </w:r>
    </w:p>
    <w:p>
      <w:pPr>
        <w:keepNext/>
        <w:spacing w:before="200" w:after="80"/>
      </w:pPr>
      <w:r>
        <w:rPr>
          <w:rFonts w:ascii="Times New Roman" w:hAnsi="Times New Roman"/>
          <w:b/>
          <w:sz w:val="24"/>
        </w:rPr>
        <w:t>1. Presentation and Visualization Layer (frontend/src)</w:t>
      </w:r>
    </w:p>
    <w:p>
      <w:pPr>
        <w:spacing w:line="360" w:lineRule="auto" w:after="120"/>
        <w:jc w:val="both"/>
      </w:pPr>
      <w:r>
        <w:rPr>
          <w:rFonts w:ascii="Times New Roman" w:hAnsi="Times New Roman"/>
          <w:sz w:val="24"/>
        </w:rPr>
        <w:t>Constructed using React 19, Vite 6, and Tailwind CSS, the client application delivers an enterprise-grade threat operations interface. Key architectural modules include:</w:t>
      </w:r>
    </w:p>
    <w:p>
      <w:pPr>
        <w:spacing w:line="360" w:lineRule="auto" w:after="120"/>
        <w:ind w:left="432"/>
      </w:pPr>
      <w:r>
        <w:rPr>
          <w:rFonts w:ascii="Times New Roman" w:hAnsi="Times New Roman"/>
          <w:sz w:val="24"/>
        </w:rPr>
        <w:t>• Executive Threat Dashboard (DashboardModule.jsx): Displays high-level KPIs including total processed volume, active fraud detection rate, prevented financial loss, average inference latency, and interactive volume trend charts.</w:t>
      </w:r>
    </w:p>
    <w:p>
      <w:pPr>
        <w:spacing w:line="360" w:lineRule="auto" w:after="120"/>
        <w:ind w:left="432"/>
      </w:pPr>
      <w:r>
        <w:rPr>
          <w:rFonts w:ascii="Times New Roman" w:hAnsi="Times New Roman"/>
          <w:sz w:val="24"/>
        </w:rPr>
        <w:t>• Live Stream Monitor (LiveMonitoringModule.jsx): Simulates a high-throughput banking ingestion pipe, rendering transactions as color-coded event cards with animated risk badges (SAFE, NEEDS REVIEW, FRAUD) and quick-triage inspection drawers.</w:t>
      </w:r>
    </w:p>
    <w:p>
      <w:pPr>
        <w:spacing w:line="360" w:lineRule="auto" w:after="120"/>
        <w:ind w:left="432"/>
      </w:pPr>
      <w:r>
        <w:rPr>
          <w:rFonts w:ascii="Times New Roman" w:hAnsi="Times New Roman"/>
          <w:sz w:val="24"/>
        </w:rPr>
        <w:t>• Single Transaction Inspector (TransactionAnalysisModule.jsx): A deep diagnostic workbench allowing risk analysts to modify individual feature values ($V1-V{28}$, amounts, geographical coordinates, account balances) and trigger synchronous scoring.</w:t>
      </w:r>
    </w:p>
    <w:p>
      <w:pPr>
        <w:spacing w:line="360" w:lineRule="auto" w:after="120"/>
        <w:ind w:left="432"/>
      </w:pPr>
      <w:r>
        <w:rPr>
          <w:rFonts w:ascii="Times New Roman" w:hAnsi="Times New Roman"/>
          <w:sz w:val="24"/>
        </w:rPr>
        <w:t>• Explainable AI Visualizer (ExplainableAIModule.jsx): Renders interactive TreeSHAP waterfall charts, showing baseline displacement, positive risk drivers (red bars pushing toward fraud), negative mitigating drivers (green bars pulling toward safe), and standardized FCRA Adverse Action reason codes.</w:t>
      </w:r>
    </w:p>
    <w:p>
      <w:pPr>
        <w:spacing w:line="360" w:lineRule="auto" w:after="120"/>
        <w:ind w:left="432"/>
      </w:pPr>
      <w:r>
        <w:rPr>
          <w:rFonts w:ascii="Times New Roman" w:hAnsi="Times New Roman"/>
          <w:sz w:val="24"/>
        </w:rPr>
        <w:t>• Graph Intelligence Viewer (GraphIntelligenceModule.jsx): Visualizes multi-hop account transaction networks, rendering cyclic money laundering paths and highlighting mule accounts based on graph centrality.</w:t>
      </w:r>
    </w:p>
    <w:p>
      <w:pPr>
        <w:spacing w:line="360" w:lineRule="auto" w:after="120"/>
        <w:ind w:left="432"/>
      </w:pPr>
      <w:r>
        <w:rPr>
          <w:rFonts w:ascii="Times New Roman" w:hAnsi="Times New Roman"/>
          <w:sz w:val="24"/>
        </w:rPr>
        <w:t>• Concept Drift &amp; MLOps Monitor (ConceptDriftModule.jsx): Displays real-time feature distribution divergence, KS-test $p$-values, and PSI indicators, featuring an interactive sandbox to inject synthetic adversarial drift spikes.</w:t>
      </w:r>
    </w:p>
    <w:p>
      <w:pPr>
        <w:spacing w:line="360" w:lineRule="auto" w:after="120"/>
        <w:ind w:left="432"/>
      </w:pPr>
      <w:r>
        <w:rPr>
          <w:rFonts w:ascii="Times New Roman" w:hAnsi="Times New Roman"/>
          <w:sz w:val="24"/>
        </w:rPr>
        <w:t>• Federated Learning Defense Portal (FederatedLearningModule.jsx): Simulates a multi-bank consortium (Bank Alpha, Beta, Gamma), illustrating local model training rounds and global FedAvg parameter convergence without PII sharing.</w:t>
      </w:r>
    </w:p>
    <w:p>
      <w:pPr>
        <w:spacing w:line="360" w:lineRule="auto" w:after="120"/>
        <w:ind w:left="432"/>
      </w:pPr>
      <w:r>
        <w:rPr>
          <w:rFonts w:ascii="Times New Roman" w:hAnsi="Times New Roman"/>
          <w:sz w:val="24"/>
        </w:rPr>
        <w:t>• Identity &amp; RBAC Portal (AuthModal.jsx): Implements cryptographic JWT session handling and 1-click persona switching across SOC Analyst, Compliance Officer, and System Administrator roles.</w:t>
      </w:r>
    </w:p>
    <w:p>
      <w:pPr>
        <w:keepNext/>
        <w:spacing w:before="200" w:after="80"/>
      </w:pPr>
      <w:r>
        <w:rPr>
          <w:rFonts w:ascii="Times New Roman" w:hAnsi="Times New Roman"/>
          <w:b/>
          <w:sz w:val="24"/>
        </w:rPr>
        <w:t>2. Enterprise API Gateway (backend/main.py)</w:t>
      </w:r>
    </w:p>
    <w:p>
      <w:pPr>
        <w:spacing w:line="360" w:lineRule="auto" w:after="120"/>
        <w:jc w:val="both"/>
      </w:pPr>
      <w:r>
        <w:rPr>
          <w:rFonts w:ascii="Times New Roman" w:hAnsi="Times New Roman"/>
          <w:sz w:val="24"/>
        </w:rPr>
        <w:t>Built on FastAPI and served via Uvicorn, the gateway acts as the secure entry point:</w:t>
      </w:r>
    </w:p>
    <w:p>
      <w:pPr>
        <w:spacing w:line="360" w:lineRule="auto" w:after="120"/>
        <w:ind w:left="432"/>
      </w:pPr>
      <w:r>
        <w:rPr>
          <w:rFonts w:ascii="Times New Roman" w:hAnsi="Times New Roman"/>
          <w:sz w:val="24"/>
        </w:rPr>
        <w:t>• OWASP Security Headers: Enforces strict Content-Security-Policy, X-Content-Type-Options: nosniff, X-Frame-Options: DENY, and Referrer-Policy: strict-origin-when-cross-origin.</w:t>
      </w:r>
    </w:p>
    <w:p>
      <w:pPr>
        <w:spacing w:line="360" w:lineRule="auto" w:after="120"/>
        <w:ind w:left="432"/>
      </w:pPr>
      <w:r>
        <w:rPr>
          <w:rFonts w:ascii="Times New Roman" w:hAnsi="Times New Roman"/>
          <w:sz w:val="24"/>
        </w:rPr>
        <w:t>• Sliding-Window Rate Limiter: Protects sensitive inference endpoints against automated scraping and distributed denial-of-service (DDoS) attacks.</w:t>
      </w:r>
    </w:p>
    <w:p>
      <w:pPr>
        <w:spacing w:line="360" w:lineRule="auto" w:after="120"/>
        <w:ind w:left="432"/>
      </w:pPr>
      <w:r>
        <w:rPr>
          <w:rFonts w:ascii="Times New Roman" w:hAnsi="Times New Roman"/>
          <w:sz w:val="24"/>
        </w:rPr>
        <w:t>• CORS Middleware: Manages cross-origin resource sharing for secure edge CDN deployments.</w:t>
      </w:r>
    </w:p>
    <w:p>
      <w:pPr>
        <w:spacing w:line="360" w:lineRule="auto" w:after="120"/>
        <w:ind w:left="432"/>
      </w:pPr>
      <w:r>
        <w:rPr>
          <w:rFonts w:ascii="Times New Roman" w:hAnsi="Times New Roman"/>
          <w:sz w:val="24"/>
        </w:rPr>
        <w:t>• Append-Only Audit Trail: Cryptographically logs every authentication event, transaction decision, and manual analyst override with microsecond timestamps.</w:t>
      </w:r>
    </w:p>
    <w:p>
      <w:pPr>
        <w:keepNext/>
        <w:spacing w:before="200" w:after="80"/>
      </w:pPr>
      <w:r>
        <w:rPr>
          <w:rFonts w:ascii="Times New Roman" w:hAnsi="Times New Roman"/>
          <w:b/>
          <w:sz w:val="24"/>
        </w:rPr>
        <w:t>3. Domain Model Registry Router (backend/app/core/modelengine.py)</w:t>
      </w:r>
    </w:p>
    <w:p>
      <w:pPr>
        <w:spacing w:line="360" w:lineRule="auto" w:after="120"/>
        <w:jc w:val="both"/>
      </w:pPr>
      <w:r>
        <w:rPr>
          <w:rFonts w:ascii="Times New Roman" w:hAnsi="Times New Roman"/>
          <w:sz w:val="24"/>
        </w:rPr>
        <w:t>The registry maintains pre-trained Stacking Ensemble model heads. When an incoming JSON payload arrives at /analyze, the schema detector inspects the feature keys:</w:t>
      </w:r>
    </w:p>
    <w:p>
      <w:pPr>
        <w:spacing w:line="360" w:lineRule="auto" w:after="120"/>
        <w:ind w:left="432"/>
      </w:pPr>
      <w:r>
        <w:rPr>
          <w:rFonts w:ascii="Times New Roman" w:hAnsi="Times New Roman"/>
          <w:sz w:val="24"/>
        </w:rPr>
        <w:t>• If keys match $\{V1, V2, \dots, V{28}, \text{Amount}\}$, the transaction routes to the Credit Card PCA Head.</w:t>
      </w:r>
    </w:p>
    <w:p>
      <w:pPr>
        <w:spacing w:line="360" w:lineRule="auto" w:after="120"/>
        <w:ind w:left="432"/>
      </w:pPr>
      <w:r>
        <w:rPr>
          <w:rFonts w:ascii="Times New Roman" w:hAnsi="Times New Roman"/>
          <w:sz w:val="24"/>
        </w:rPr>
        <w:t>• If keys match $\{\text{oldbalanceOrg}, \text{newbalanceOrig}, \text{type}\}$, it routes to the PaySim Mobile Money Head.</w:t>
      </w:r>
    </w:p>
    <w:p>
      <w:pPr>
        <w:spacing w:line="360" w:lineRule="auto" w:after="120"/>
        <w:ind w:left="432"/>
      </w:pPr>
      <w:r>
        <w:rPr>
          <w:rFonts w:ascii="Times New Roman" w:hAnsi="Times New Roman"/>
          <w:sz w:val="24"/>
        </w:rPr>
        <w:t>• If keys match $\{\text{lat}, \text{long}, \text{merch\lat}, \text{merch\long}\}$, it routes to the Spatial Behavioral Head.</w:t>
      </w:r>
    </w:p>
    <w:p>
      <w:pPr>
        <w:spacing w:line="360" w:lineRule="auto" w:after="120"/>
        <w:ind w:left="432"/>
      </w:pPr>
      <w:r>
        <w:rPr>
          <w:rFonts w:ascii="Times New Roman" w:hAnsi="Times New Roman"/>
          <w:sz w:val="24"/>
        </w:rPr>
        <w:t>• If keys match $\{\text{category}, \text{merchant}, \text{amount}\}$, it routes to the BankSim Retail Head.</w:t>
      </w:r>
    </w:p>
    <w:p>
      <w:pPr>
        <w:spacing w:line="360" w:lineRule="auto" w:after="120"/>
        <w:ind w:left="432"/>
      </w:pPr>
      <w:r>
        <w:rPr>
          <w:rFonts w:ascii="Times New Roman" w:hAnsi="Times New Roman"/>
          <w:sz w:val="24"/>
        </w:rPr>
        <w:t>• If no schema matches, the transaction routes to a graceful fallback heuristic engine.</w:t>
      </w:r>
    </w:p>
    <w:p>
      <w:pPr>
        <w:keepNext/>
        <w:spacing w:before="200" w:after="80"/>
      </w:pPr>
      <w:r>
        <w:rPr>
          <w:rFonts w:ascii="Times New Roman" w:hAnsi="Times New Roman"/>
          <w:b/>
          <w:sz w:val="24"/>
        </w:rPr>
        <w:t>4. Stacking Ensemble Engine (modelengine.py)</w:t>
      </w:r>
    </w:p>
    <w:p>
      <w:pPr>
        <w:spacing w:line="360" w:lineRule="auto" w:after="120"/>
        <w:jc w:val="both"/>
      </w:pPr>
      <w:r>
        <w:rPr>
          <w:rFonts w:ascii="Times New Roman" w:hAnsi="Times New Roman"/>
          <w:sz w:val="24"/>
        </w:rPr>
        <w:t>Each domain head combines three high-capacity base estimators:</w:t>
      </w:r>
    </w:p>
    <w:p>
      <w:pPr>
        <w:spacing w:line="360" w:lineRule="auto" w:after="120"/>
        <w:ind w:left="432"/>
      </w:pPr>
      <w:r>
        <w:rPr>
          <w:rFonts w:ascii="Times New Roman" w:hAnsi="Times New Roman"/>
          <w:sz w:val="24"/>
        </w:rPr>
        <w:t>• XGBoost Classifier: Optimized for non-linear interactions, regularization, and gradient split handling.</w:t>
      </w:r>
    </w:p>
    <w:p>
      <w:pPr>
        <w:spacing w:line="360" w:lineRule="auto" w:after="120"/>
        <w:ind w:left="432"/>
      </w:pPr>
      <w:r>
        <w:rPr>
          <w:rFonts w:ascii="Times New Roman" w:hAnsi="Times New Roman"/>
          <w:sz w:val="24"/>
        </w:rPr>
        <w:t>• LightGBM Classifier: Optimized for leaf-wise tree growth, high-speed split calculation, and categorical encoding.</w:t>
      </w:r>
    </w:p>
    <w:p>
      <w:pPr>
        <w:spacing w:line="360" w:lineRule="auto" w:after="120"/>
        <w:ind w:left="432"/>
      </w:pPr>
      <w:r>
        <w:rPr>
          <w:rFonts w:ascii="Times New Roman" w:hAnsi="Times New Roman"/>
          <w:sz w:val="24"/>
        </w:rPr>
        <w:t>• Random Forest Classifier: Bagged ensemble of 100 de-correlated trees providing variance reduction and resistance to noise.</w:t>
      </w:r>
    </w:p>
    <w:p>
      <w:pPr>
        <w:spacing w:line="360" w:lineRule="auto" w:after="120"/>
        <w:ind w:left="432"/>
      </w:pPr>
      <w:r>
        <w:rPr>
          <w:rFonts w:ascii="Times New Roman" w:hAnsi="Times New Roman"/>
          <w:sz w:val="24"/>
        </w:rPr>
        <w:t>• Meta-Learner: A calibrated Logistic Regression model ($C=1.0$) that takes the predicted probability vectors from Level-0 estimators and computes the optimal meta-decision boundary.</w:t>
      </w:r>
    </w:p>
    <w:p>
      <w:pPr>
        <w:keepNext/>
        <w:spacing w:before="200" w:after="80"/>
      </w:pPr>
      <w:r>
        <w:rPr>
          <w:rFonts w:ascii="Times New Roman" w:hAnsi="Times New Roman"/>
          <w:b/>
          <w:sz w:val="24"/>
        </w:rPr>
        <w:t>5. Calibrated Continuous Risk Engine (backend/app/core/riskengine.py)</w:t>
      </w:r>
    </w:p>
    <w:p>
      <w:pPr>
        <w:spacing w:line="360" w:lineRule="auto" w:after="120"/>
        <w:jc w:val="both"/>
      </w:pPr>
      <w:r>
        <w:rPr>
          <w:rFonts w:ascii="Times New Roman" w:hAnsi="Times New Roman"/>
          <w:sz w:val="24"/>
        </w:rPr>
        <w:t>The risk engine eliminates score polarization by applying continuous mathematical transformations incorporating transactional velocity, account liquidation heuristics, and geolocation discrepancies. The resulting risk score is mapped into three operational tiers:</w:t>
      </w:r>
    </w:p>
    <w:p>
      <w:pPr>
        <w:spacing w:line="360" w:lineRule="auto" w:after="120"/>
        <w:ind w:left="432"/>
      </w:pPr>
      <w:r>
        <w:rPr>
          <w:rFonts w:ascii="Times New Roman" w:hAnsi="Times New Roman"/>
          <w:sz w:val="24"/>
        </w:rPr>
        <w:t>• 🟢 SAFE ($&lt; 45.0\%$): Immediate automated approval.</w:t>
      </w:r>
    </w:p>
    <w:p>
      <w:pPr>
        <w:spacing w:line="360" w:lineRule="auto" w:after="120"/>
        <w:ind w:left="432"/>
      </w:pPr>
      <w:r>
        <w:rPr>
          <w:rFonts w:ascii="Times New Roman" w:hAnsi="Times New Roman"/>
          <w:sz w:val="24"/>
        </w:rPr>
        <w:t>• 🟡 NEEDS REVIEW ($45.0\% - 74.9\%$): Routed to the fraud analyst queue or triggered for step-up SMS/Biometric 2FA.</w:t>
      </w:r>
    </w:p>
    <w:p>
      <w:pPr>
        <w:spacing w:line="360" w:lineRule="auto" w:after="120"/>
        <w:ind w:left="432"/>
      </w:pPr>
      <w:r>
        <w:rPr>
          <w:rFonts w:ascii="Times New Roman" w:hAnsi="Times New Roman"/>
          <w:sz w:val="24"/>
        </w:rPr>
        <w:t>• 🔴 FRAUD ($\ge 75.0\%$): Automated transaction decline and temporary account freeze.</w:t>
      </w:r>
    </w:p>
    <w:p>
      <w:pPr>
        <w:keepNext/>
        <w:spacing w:before="200" w:after="80"/>
      </w:pPr>
      <w:r>
        <w:rPr>
          <w:rFonts w:ascii="Times New Roman" w:hAnsi="Times New Roman"/>
          <w:b/>
          <w:sz w:val="24"/>
        </w:rPr>
        <w:t>6. Explainable AI &amp; FCRA Reason Code Engine (backend/app/core/explainer.py)</w:t>
      </w:r>
    </w:p>
    <w:p>
      <w:pPr>
        <w:spacing w:line="360" w:lineRule="auto" w:after="120"/>
        <w:jc w:val="both"/>
      </w:pPr>
      <w:r>
        <w:rPr>
          <w:rFonts w:ascii="Times New Roman" w:hAnsi="Times New Roman"/>
          <w:sz w:val="24"/>
        </w:rPr>
        <w:t>The XAI engine utilizes TreeSHAP to compute exact Shapley values ($\phii$) for tree ensembles. The engine extracts the top contributing features and converts them into standardized Fair Credit Reporting Act (FCRA) Adverse Action Reason Codes:</w:t>
      </w:r>
    </w:p>
    <w:p>
      <w:pPr>
        <w:spacing w:line="360" w:lineRule="auto" w:after="120"/>
        <w:ind w:left="432"/>
      </w:pPr>
      <w:r>
        <w:rPr>
          <w:rFonts w:ascii="Times New Roman" w:hAnsi="Times New Roman"/>
          <w:sz w:val="24"/>
        </w:rPr>
        <w:t>• RC-BAL-01: Unbalanced Transaction Settlement</w:t>
      </w:r>
    </w:p>
    <w:p>
      <w:pPr>
        <w:spacing w:line="360" w:lineRule="auto" w:after="120"/>
        <w:ind w:left="432"/>
      </w:pPr>
      <w:r>
        <w:rPr>
          <w:rFonts w:ascii="Times New Roman" w:hAnsi="Times New Roman"/>
          <w:sz w:val="24"/>
        </w:rPr>
        <w:t>• RC-BAL-02: Complete Account Liquidation Anomaly</w:t>
      </w:r>
    </w:p>
    <w:p>
      <w:pPr>
        <w:spacing w:line="360" w:lineRule="auto" w:after="120"/>
        <w:ind w:left="432"/>
      </w:pPr>
      <w:r>
        <w:rPr>
          <w:rFonts w:ascii="Times New Roman" w:hAnsi="Times New Roman"/>
          <w:sz w:val="24"/>
        </w:rPr>
        <w:t>• RC-AMT-01: High-Value Transaction Velocity Outlier</w:t>
      </w:r>
    </w:p>
    <w:p>
      <w:pPr>
        <w:spacing w:line="360" w:lineRule="auto" w:after="120"/>
        <w:ind w:left="432"/>
      </w:pPr>
      <w:r>
        <w:rPr>
          <w:rFonts w:ascii="Times New Roman" w:hAnsi="Times New Roman"/>
          <w:sz w:val="24"/>
        </w:rPr>
        <w:t>• RC-GEO-01: Haversine Geolocation Distance Discrepancy</w:t>
      </w:r>
    </w:p>
    <w:p>
      <w:pPr>
        <w:spacing w:line="360" w:lineRule="auto" w:after="120"/>
        <w:ind w:left="432"/>
      </w:pPr>
      <w:r>
        <w:rPr>
          <w:rFonts w:ascii="Times New Roman" w:hAnsi="Times New Roman"/>
          <w:sz w:val="24"/>
        </w:rPr>
        <w:t>• RC-PCA-01: High-Dimensional Latent Anomaly Vector ($Vi$)</w:t>
      </w:r>
    </w:p>
    <w:p>
      <w:pPr>
        <w:keepNext/>
        <w:spacing w:before="200" w:after="80"/>
      </w:pPr>
      <w:r>
        <w:rPr>
          <w:rFonts w:ascii="Times New Roman" w:hAnsi="Times New Roman"/>
          <w:b/>
          <w:sz w:val="24"/>
        </w:rPr>
        <w:t>7. Graph Intelligence &amp; MLOps Drift Subsystems (graphengine.py &amp; driftmonitor.py)</w:t>
      </w:r>
    </w:p>
    <w:p>
      <w:pPr>
        <w:spacing w:line="360" w:lineRule="auto" w:after="120"/>
        <w:ind w:left="432"/>
      </w:pPr>
      <w:r>
        <w:rPr>
          <w:rFonts w:ascii="Times New Roman" w:hAnsi="Times New Roman"/>
          <w:sz w:val="24"/>
        </w:rPr>
        <w:t>• Graph Engine: Builds an in-memory transactional multi-graph using NetworkX, detecting directed cycles ($A \rightarrow B \rightarrow C \rightarrow A$) and calculating composite mule scores based on degree centrality and velocity.</w:t>
      </w:r>
    </w:p>
    <w:p>
      <w:pPr>
        <w:spacing w:line="360" w:lineRule="auto" w:after="120"/>
        <w:ind w:left="432"/>
      </w:pPr>
      <w:r>
        <w:rPr>
          <w:rFonts w:ascii="Times New Roman" w:hAnsi="Times New Roman"/>
          <w:sz w:val="24"/>
        </w:rPr>
        <w:t>• Drift Monitor: Compares streaming transaction windows against baseline reference distributions using two-sample Kolmogorov-Smirnov (KS) tests and Population Stability Index (PSI):</w:t>
      </w:r>
    </w:p>
    <w:p>
      <w:pPr>
        <w:spacing w:line="360" w:lineRule="auto" w:after="120"/>
        <w:jc w:val="both"/>
      </w:pPr>
      <w:r>
        <w:rPr>
          <w:rFonts w:ascii="Times New Roman" w:hAnsi="Times New Roman"/>
          <w:sz w:val="24"/>
        </w:rPr>
        <w:t>$$\text{PSI} = \sum{j=1}^B \left( Pj - Qj \right) \ln\left(\frac{Pj}{Qj}\right)$$</w:t>
      </w:r>
    </w:p>
    <w:p>
      <w:pPr>
        <w:spacing w:line="360" w:lineRule="auto" w:after="120"/>
        <w:jc w:val="both"/>
      </w:pPr>
      <w:r>
        <w:rPr>
          <w:rFonts w:ascii="Times New Roman" w:hAnsi="Times New Roman"/>
          <w:sz w:val="24"/>
        </w:rPr>
        <w:t>triggering automated alerts when $\text{PSI} &gt; 0.25$ indicates severe covariate shift.</w:t>
      </w:r>
    </w:p>
    <w:p>
      <w:pPr>
        <w:spacing w:line="360" w:lineRule="auto" w:after="120"/>
        <w:jc w:val="both"/>
      </w:pPr>
      <w:r>
        <w:rPr>
          <w:rFonts w:ascii="Times New Roman" w:hAnsi="Times New Roman"/>
          <w:sz w:val="24"/>
        </w:rPr>
        <w:t>End of Chapter 2 — Literature Survey &amp; Proposed System</w:t>
      </w:r>
    </w:p>
    <w:p>
      <w:r>
        <w:br w:type="page"/>
      </w:r>
    </w:p>
    <w:p>
      <w:pPr>
        <w:keepNext/>
        <w:spacing w:before="400" w:after="200"/>
        <w:jc w:val="center"/>
      </w:pPr>
      <w:r>
        <w:rPr>
          <w:rFonts w:ascii="Times New Roman" w:hAnsi="Times New Roman"/>
          <w:b/>
          <w:sz w:val="36"/>
        </w:rPr>
        <w:t>Chapter 3: Requirement Gathering, Analysis and Planning</w:t>
      </w:r>
    </w:p>
    <w:p>
      <w:pPr>
        <w:keepNext/>
        <w:spacing w:before="280" w:after="160"/>
      </w:pPr>
      <w:r>
        <w:rPr>
          <w:rFonts w:ascii="Times New Roman" w:hAnsi="Times New Roman"/>
          <w:b/>
          <w:sz w:val="32"/>
        </w:rPr>
        <w:t>3.1 Requirement Specification</w:t>
      </w:r>
    </w:p>
    <w:p>
      <w:pPr>
        <w:spacing w:line="360" w:lineRule="auto" w:after="120"/>
        <w:jc w:val="both"/>
      </w:pPr>
      <w:r>
        <w:rPr>
          <w:rFonts w:ascii="Times New Roman" w:hAnsi="Times New Roman"/>
          <w:sz w:val="24"/>
        </w:rPr>
        <w:t>Software Requirement Specification (SRS) establishes the foundational functional capabilities, performance standards, architectural constraints, and operational boundaries of the FraudShield AI platform. The system is engineered to function within mission-critical banking environments where high availability, ultra-low latency, mathematical transparency, and regulatory compliance are non-negotiable.</w:t>
      </w:r>
    </w:p>
    <w:p>
      <w:pPr>
        <w:keepNext/>
        <w:spacing w:before="240" w:after="120"/>
      </w:pPr>
      <w:r>
        <w:rPr>
          <w:rFonts w:ascii="Times New Roman" w:hAnsi="Times New Roman"/>
          <w:b/>
          <w:sz w:val="28"/>
        </w:rPr>
        <w:t>3.1.1 Functional Requirements Specifications (FR)</w:t>
      </w:r>
    </w:p>
    <w:p>
      <w:pPr>
        <w:spacing w:line="360" w:lineRule="auto" w:after="120"/>
        <w:jc w:val="both"/>
      </w:pPr>
      <w:r>
        <w:rPr>
          <w:rFonts w:ascii="Times New Roman" w:hAnsi="Times New Roman"/>
          <w:sz w:val="24"/>
        </w:rPr>
        <w:t>The platform’s functional scope is partitioned into twelve formal Functional Requirements (FR-01 through FR-12) detailed below:</w:t>
      </w:r>
    </w:p>
    <w:p>
      <w:pPr>
        <w:keepNext/>
        <w:spacing w:before="200" w:after="80"/>
      </w:pPr>
      <w:r>
        <w:rPr>
          <w:rFonts w:ascii="Times New Roman" w:hAnsi="Times New Roman"/>
          <w:b/>
          <w:sz w:val="24"/>
        </w:rPr>
        <w:t>Table 3.1: Functional Requirements Specifications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2610"/>
        <w:gridCol w:w="2610"/>
        <w:gridCol w:w="2610"/>
        <w:gridCol w:w="2610"/>
      </w:tblGrid>
      <w:tr>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Requirement ID</w:t>
            </w:r>
          </w:p>
        </w:tc>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Requirement Title</w:t>
            </w:r>
          </w:p>
        </w:tc>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Requirement Description &amp; Acceptance Criteria</w:t>
            </w:r>
          </w:p>
        </w:tc>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Priority</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FR-01</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Multi-Domain Schema Ingestion &amp; Routing</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The system must automatically detect the schema of incoming transaction payloads (e.g., PaySim, Credit Card PCA, Spatial Behavioral, BankSim) and route the payload to the corresponding pre-trained domain model head. Acceptance: Routing completes in $&lt; 2\text{ms}$ with 100% schema match.</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High</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FR-02</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Stacking Ensemble Inference</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The platform must execute Level-0 inference across XGBoost, LightGBM, and Random Forest base classifiers and synthesize predictions using a Logistic Regression meta-learner. Acceptance: Ensemble output yields continuous posterior probability $p \in [0, 1]$.</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High</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FR-03</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Calibrated Continuous Risk Scoring</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The system must map raw ensemble probabilities into a continuous risk score ($0.0\% - 100.0\%$) using transaction velocity, account liquidation heuristics, and geolocation deltas, assigning one of three decision tiers: SAFE, NEEDS REVIEW, or FRAUD.</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High</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FR-04</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Real-Time TreeSHAP Feature Attribution</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The platform must synchronously compute exact Shapley values (TreeSHAP) for each input feature during transaction scoring. Acceptance: Feature attributions must satisfy additive efficiency ($\sum \phii = f(x) - \phi0$) within $&lt; 50\text{ms}$.</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High</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FR-05</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Automated FCRA Reason Code Generation</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For any transaction assigned to NEEDS REVIEW or FRAUD, the system must extract top positive risk-driving features and map them into standardized Fair Credit Reporting Act (FCRA) Adverse Action Reason Codes (e.g., RC-BAL-02, RC-GEO-01).</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High</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FR-06</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In-Memory Cyclic Mule Ring Detection</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The graph intelligence engine must construct an in-memory directed transaction graph and detect multi-hop cycles ($A \rightarrow B \rightarrow C \rightarrow A$) of length $k \in [2, 6]$. Acceptance: Detects cyclic money laundering paths in $&lt; 10\text{ms}$ for up to 10,000 active nodes.</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High</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FR-07</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Account Mule Centrality Scoring</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The system must compute composite mule risk scores for individual accounts based on graph in-degree, out-degree, transaction velocity, and balance depletion flags. Acceptance: Scores updated dynamically upon new edge creation.</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Medium</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FR-08</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MLOps Concept Drift Monitoring</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The platform must monitor streaming feature distributions against baseline reference distributions using two-sample Kolmogorov-Smirnov (KS) tests and Population Stability Index (PSI). Acceptance: Generates automated warnings when $\text{PSI} &gt; 0.10$ and alerts when $\text{PSI} &gt; 0.25$.</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Medium</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FR-09</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Synthetic Adversarial Drift Injection</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The platform must provide an administrative sandbox allowing authorized users to inject synthetic covariate drift vectors (e.g., balance anomalies, amount spikes) to test system resilience.</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Medium</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FR-10</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Federated Learning Simulation (FedAvg)</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The system must simulate decentralized multi-bank collaborative training across at least three independent nodes (Bank Alpha, Beta, Gamma) using Federated Averaging (FedAvg), updating global model weights without sharing raw transaction records.</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Medium</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FR-11</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Role-Based Access Control (RBAC)</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The platform must enforce strict cryptographic JWT authentication, provisioning distinct permissions for three user personas: SOC Analyst, Compliance Officer, and System Administrator.</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High</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FR-12</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Immutable Audit Trail Logging</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The system must maintain an append-only, tamper-evident audit log recording user logins, single-transaction inspections, manual triage overrides, and federated training rounds with microsecond timestamps.</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High</w:t>
            </w:r>
          </w:p>
        </w:tc>
      </w:tr>
    </w:tbl>
    <w:p>
      <w:pPr>
        <w:spacing w:after="120"/>
      </w:pPr>
    </w:p>
    <w:p>
      <w:pPr>
        <w:keepNext/>
        <w:spacing w:before="240" w:after="120"/>
      </w:pPr>
      <w:r>
        <w:rPr>
          <w:rFonts w:ascii="Times New Roman" w:hAnsi="Times New Roman"/>
          <w:b/>
          <w:sz w:val="28"/>
        </w:rPr>
        <w:t>3.1.2 Non-Functional Requirements Specifications (NFR)</w:t>
      </w:r>
    </w:p>
    <w:p>
      <w:pPr>
        <w:spacing w:line="360" w:lineRule="auto" w:after="120"/>
        <w:jc w:val="both"/>
      </w:pPr>
      <w:r>
        <w:rPr>
          <w:rFonts w:ascii="Times New Roman" w:hAnsi="Times New Roman"/>
          <w:sz w:val="24"/>
        </w:rPr>
        <w:t>Non-functional requirements specify operational criteria used to evaluate system performance, security posture, reliability, and usability:</w:t>
      </w:r>
    </w:p>
    <w:p>
      <w:pPr>
        <w:keepNext/>
        <w:spacing w:before="200" w:after="80"/>
      </w:pPr>
      <w:r>
        <w:rPr>
          <w:rFonts w:ascii="Times New Roman" w:hAnsi="Times New Roman"/>
          <w:b/>
          <w:sz w:val="24"/>
        </w:rPr>
        <w:t>Table 3.2: Non-Functional Requirements Specifications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3480"/>
        <w:gridCol w:w="3480"/>
        <w:gridCol w:w="3480"/>
      </w:tblGrid>
      <w:tr>
        <w:tc>
          <w:tcPr>
            <w:tcW w:type="dxa" w:w="3480"/>
            <w:shd w:fill="E5E7EB"/>
            <w:tcMar>
              <w:top w:w="120" w:type="dxa"/>
              <w:bottom w:w="120" w:type="dxa"/>
              <w:left w:w="140" w:type="dxa"/>
              <w:right w:w="140" w:type="dxa"/>
            </w:tcMar>
          </w:tcPr>
          <w:p>
            <w:pPr>
              <w:spacing w:line="276" w:lineRule="auto" w:after="40"/>
            </w:pPr>
            <w:r>
              <w:rPr>
                <w:rFonts w:ascii="Times New Roman" w:hAnsi="Times New Roman"/>
                <w:b/>
                <w:sz w:val="21"/>
              </w:rPr>
              <w:t>Requirement ID</w:t>
            </w:r>
          </w:p>
        </w:tc>
        <w:tc>
          <w:tcPr>
            <w:tcW w:type="dxa" w:w="3480"/>
            <w:shd w:fill="E5E7EB"/>
            <w:tcMar>
              <w:top w:w="120" w:type="dxa"/>
              <w:bottom w:w="120" w:type="dxa"/>
              <w:left w:w="140" w:type="dxa"/>
              <w:right w:w="140" w:type="dxa"/>
            </w:tcMar>
          </w:tcPr>
          <w:p>
            <w:pPr>
              <w:spacing w:line="276" w:lineRule="auto" w:after="40"/>
            </w:pPr>
            <w:r>
              <w:rPr>
                <w:rFonts w:ascii="Times New Roman" w:hAnsi="Times New Roman"/>
                <w:b/>
                <w:sz w:val="21"/>
              </w:rPr>
              <w:t>Quality Attribute</w:t>
            </w:r>
          </w:p>
        </w:tc>
        <w:tc>
          <w:tcPr>
            <w:tcW w:type="dxa" w:w="3480"/>
            <w:shd w:fill="E5E7EB"/>
            <w:tcMar>
              <w:top w:w="120" w:type="dxa"/>
              <w:bottom w:w="120" w:type="dxa"/>
              <w:left w:w="140" w:type="dxa"/>
              <w:right w:w="140" w:type="dxa"/>
            </w:tcMar>
          </w:tcPr>
          <w:p>
            <w:pPr>
              <w:spacing w:line="276" w:lineRule="auto" w:after="40"/>
            </w:pPr>
            <w:r>
              <w:rPr>
                <w:rFonts w:ascii="Times New Roman" w:hAnsi="Times New Roman"/>
                <w:b/>
                <w:sz w:val="21"/>
              </w:rPr>
              <w:t>Technical Specification &amp; Target Benchmark</w:t>
            </w:r>
          </w:p>
        </w:tc>
      </w:tr>
      <w:tr>
        <w:tc>
          <w:tcPr>
            <w:tcW w:type="dxa" w:w="3480"/>
            <w:shd w:fill="FFFFFF"/>
            <w:tcMar>
              <w:top w:w="100" w:type="dxa"/>
              <w:bottom w:w="100" w:type="dxa"/>
              <w:left w:w="120" w:type="dxa"/>
              <w:right w:w="120" w:type="dxa"/>
            </w:tcMar>
          </w:tcPr>
          <w:p>
            <w:pPr>
              <w:spacing w:line="276" w:lineRule="auto" w:after="40"/>
            </w:pPr>
            <w:r>
              <w:rPr>
                <w:rFonts w:ascii="Times New Roman" w:hAnsi="Times New Roman"/>
                <w:sz w:val="20"/>
              </w:rPr>
              <w:t>NFR-01</w:t>
            </w:r>
          </w:p>
        </w:tc>
        <w:tc>
          <w:tcPr>
            <w:tcW w:type="dxa" w:w="3480"/>
            <w:shd w:fill="FFFFFF"/>
            <w:tcMar>
              <w:top w:w="100" w:type="dxa"/>
              <w:bottom w:w="100" w:type="dxa"/>
              <w:left w:w="120" w:type="dxa"/>
              <w:right w:w="120" w:type="dxa"/>
            </w:tcMar>
          </w:tcPr>
          <w:p>
            <w:pPr>
              <w:spacing w:line="276" w:lineRule="auto" w:after="40"/>
            </w:pPr>
            <w:r>
              <w:rPr>
                <w:rFonts w:ascii="Times New Roman" w:hAnsi="Times New Roman"/>
                <w:sz w:val="20"/>
              </w:rPr>
              <w:t>Performance &amp; Latency</w:t>
            </w:r>
          </w:p>
        </w:tc>
        <w:tc>
          <w:tcPr>
            <w:tcW w:type="dxa" w:w="3480"/>
            <w:shd w:fill="FFFFFF"/>
            <w:tcMar>
              <w:top w:w="100" w:type="dxa"/>
              <w:bottom w:w="100" w:type="dxa"/>
              <w:left w:w="120" w:type="dxa"/>
              <w:right w:w="120" w:type="dxa"/>
            </w:tcMar>
          </w:tcPr>
          <w:p>
            <w:pPr>
              <w:spacing w:line="276" w:lineRule="auto" w:after="40"/>
            </w:pPr>
            <w:r>
              <w:rPr>
                <w:rFonts w:ascii="Times New Roman" w:hAnsi="Times New Roman"/>
                <w:sz w:val="20"/>
              </w:rPr>
              <w:t>Single-transaction inference and risk scoring must execute within an average response latency of $&lt; 100\text{ms}$ (P95 $&lt; 150\text{ms}$, P99 $&lt; 250\text{ms}$) under a baseline concurrency of 50 requests/sec.</w:t>
            </w:r>
          </w:p>
        </w:tc>
      </w:tr>
      <w:tr>
        <w:tc>
          <w:tcPr>
            <w:tcW w:type="dxa" w:w="3480"/>
            <w:shd w:fill="F9FAFB"/>
            <w:tcMar>
              <w:top w:w="100" w:type="dxa"/>
              <w:bottom w:w="100" w:type="dxa"/>
              <w:left w:w="120" w:type="dxa"/>
              <w:right w:w="120" w:type="dxa"/>
            </w:tcMar>
          </w:tcPr>
          <w:p>
            <w:pPr>
              <w:spacing w:line="276" w:lineRule="auto" w:after="40"/>
            </w:pPr>
            <w:r>
              <w:rPr>
                <w:rFonts w:ascii="Times New Roman" w:hAnsi="Times New Roman"/>
                <w:sz w:val="20"/>
              </w:rPr>
              <w:t>NFR-02</w:t>
            </w:r>
          </w:p>
        </w:tc>
        <w:tc>
          <w:tcPr>
            <w:tcW w:type="dxa" w:w="3480"/>
            <w:shd w:fill="F9FAFB"/>
            <w:tcMar>
              <w:top w:w="100" w:type="dxa"/>
              <w:bottom w:w="100" w:type="dxa"/>
              <w:left w:w="120" w:type="dxa"/>
              <w:right w:w="120" w:type="dxa"/>
            </w:tcMar>
          </w:tcPr>
          <w:p>
            <w:pPr>
              <w:spacing w:line="276" w:lineRule="auto" w:after="40"/>
            </w:pPr>
            <w:r>
              <w:rPr>
                <w:rFonts w:ascii="Times New Roman" w:hAnsi="Times New Roman"/>
                <w:sz w:val="20"/>
              </w:rPr>
              <w:t>High Throughput</w:t>
            </w:r>
          </w:p>
        </w:tc>
        <w:tc>
          <w:tcPr>
            <w:tcW w:type="dxa" w:w="3480"/>
            <w:shd w:fill="F9FAFB"/>
            <w:tcMar>
              <w:top w:w="100" w:type="dxa"/>
              <w:bottom w:w="100" w:type="dxa"/>
              <w:left w:w="120" w:type="dxa"/>
              <w:right w:w="120" w:type="dxa"/>
            </w:tcMar>
          </w:tcPr>
          <w:p>
            <w:pPr>
              <w:spacing w:line="276" w:lineRule="auto" w:after="40"/>
            </w:pPr>
            <w:r>
              <w:rPr>
                <w:rFonts w:ascii="Times New Roman" w:hAnsi="Times New Roman"/>
                <w:sz w:val="20"/>
              </w:rPr>
              <w:t>The asynchronous FastAPI microservice backend must support sustained throughput of $\ge 500\text{ transactions/sec}$ in batch ingestion mode on standard quad-core server hardware.</w:t>
            </w:r>
          </w:p>
        </w:tc>
      </w:tr>
      <w:tr>
        <w:tc>
          <w:tcPr>
            <w:tcW w:type="dxa" w:w="3480"/>
            <w:shd w:fill="FFFFFF"/>
            <w:tcMar>
              <w:top w:w="100" w:type="dxa"/>
              <w:bottom w:w="100" w:type="dxa"/>
              <w:left w:w="120" w:type="dxa"/>
              <w:right w:w="120" w:type="dxa"/>
            </w:tcMar>
          </w:tcPr>
          <w:p>
            <w:pPr>
              <w:spacing w:line="276" w:lineRule="auto" w:after="40"/>
            </w:pPr>
            <w:r>
              <w:rPr>
                <w:rFonts w:ascii="Times New Roman" w:hAnsi="Times New Roman"/>
                <w:sz w:val="20"/>
              </w:rPr>
              <w:t>NFR-03</w:t>
            </w:r>
          </w:p>
        </w:tc>
        <w:tc>
          <w:tcPr>
            <w:tcW w:type="dxa" w:w="3480"/>
            <w:shd w:fill="FFFFFF"/>
            <w:tcMar>
              <w:top w:w="100" w:type="dxa"/>
              <w:bottom w:w="100" w:type="dxa"/>
              <w:left w:w="120" w:type="dxa"/>
              <w:right w:w="120" w:type="dxa"/>
            </w:tcMar>
          </w:tcPr>
          <w:p>
            <w:pPr>
              <w:spacing w:line="276" w:lineRule="auto" w:after="40"/>
            </w:pPr>
            <w:r>
              <w:rPr>
                <w:rFonts w:ascii="Times New Roman" w:hAnsi="Times New Roman"/>
                <w:sz w:val="20"/>
              </w:rPr>
              <w:t>System Availability</w:t>
            </w:r>
          </w:p>
        </w:tc>
        <w:tc>
          <w:tcPr>
            <w:tcW w:type="dxa" w:w="3480"/>
            <w:shd w:fill="FFFFFF"/>
            <w:tcMar>
              <w:top w:w="100" w:type="dxa"/>
              <w:bottom w:w="100" w:type="dxa"/>
              <w:left w:w="120" w:type="dxa"/>
              <w:right w:w="120" w:type="dxa"/>
            </w:tcMar>
          </w:tcPr>
          <w:p>
            <w:pPr>
              <w:spacing w:line="276" w:lineRule="auto" w:after="40"/>
            </w:pPr>
            <w:r>
              <w:rPr>
                <w:rFonts w:ascii="Times New Roman" w:hAnsi="Times New Roman"/>
                <w:sz w:val="20"/>
              </w:rPr>
              <w:t>The platform architecture must support $99.9\%$ service availability, utilizing container health probes (/health) and automatic process restarts via Docker orchestration.</w:t>
            </w:r>
          </w:p>
        </w:tc>
      </w:tr>
      <w:tr>
        <w:tc>
          <w:tcPr>
            <w:tcW w:type="dxa" w:w="3480"/>
            <w:shd w:fill="F9FAFB"/>
            <w:tcMar>
              <w:top w:w="100" w:type="dxa"/>
              <w:bottom w:w="100" w:type="dxa"/>
              <w:left w:w="120" w:type="dxa"/>
              <w:right w:w="120" w:type="dxa"/>
            </w:tcMar>
          </w:tcPr>
          <w:p>
            <w:pPr>
              <w:spacing w:line="276" w:lineRule="auto" w:after="40"/>
            </w:pPr>
            <w:r>
              <w:rPr>
                <w:rFonts w:ascii="Times New Roman" w:hAnsi="Times New Roman"/>
                <w:sz w:val="20"/>
              </w:rPr>
              <w:t>NFR-04</w:t>
            </w:r>
          </w:p>
        </w:tc>
        <w:tc>
          <w:tcPr>
            <w:tcW w:type="dxa" w:w="3480"/>
            <w:shd w:fill="F9FAFB"/>
            <w:tcMar>
              <w:top w:w="100" w:type="dxa"/>
              <w:bottom w:w="100" w:type="dxa"/>
              <w:left w:w="120" w:type="dxa"/>
              <w:right w:w="120" w:type="dxa"/>
            </w:tcMar>
          </w:tcPr>
          <w:p>
            <w:pPr>
              <w:spacing w:line="276" w:lineRule="auto" w:after="40"/>
            </w:pPr>
            <w:r>
              <w:rPr>
                <w:rFonts w:ascii="Times New Roman" w:hAnsi="Times New Roman"/>
                <w:sz w:val="20"/>
              </w:rPr>
              <w:t>Security &amp; Hardening</w:t>
            </w:r>
          </w:p>
        </w:tc>
        <w:tc>
          <w:tcPr>
            <w:tcW w:type="dxa" w:w="3480"/>
            <w:shd w:fill="F9FAFB"/>
            <w:tcMar>
              <w:top w:w="100" w:type="dxa"/>
              <w:bottom w:w="100" w:type="dxa"/>
              <w:left w:w="120" w:type="dxa"/>
              <w:right w:w="120" w:type="dxa"/>
            </w:tcMar>
          </w:tcPr>
          <w:p>
            <w:pPr>
              <w:spacing w:line="276" w:lineRule="auto" w:after="40"/>
            </w:pPr>
            <w:r>
              <w:rPr>
                <w:rFonts w:ascii="Times New Roman" w:hAnsi="Times New Roman"/>
                <w:sz w:val="20"/>
              </w:rPr>
              <w:t>All API endpoints must enforce OWASP Recommended Security Headers: X-Content-Type-Options: nosniff, X-Frame-Options: DENY, and strict CORS policies. Sensitive tokens must utilize HMAC-SHA256 signatures with 60-minute expiration windows.</w:t>
            </w:r>
          </w:p>
        </w:tc>
      </w:tr>
      <w:tr>
        <w:tc>
          <w:tcPr>
            <w:tcW w:type="dxa" w:w="3480"/>
            <w:shd w:fill="FFFFFF"/>
            <w:tcMar>
              <w:top w:w="100" w:type="dxa"/>
              <w:bottom w:w="100" w:type="dxa"/>
              <w:left w:w="120" w:type="dxa"/>
              <w:right w:w="120" w:type="dxa"/>
            </w:tcMar>
          </w:tcPr>
          <w:p>
            <w:pPr>
              <w:spacing w:line="276" w:lineRule="auto" w:after="40"/>
            </w:pPr>
            <w:r>
              <w:rPr>
                <w:rFonts w:ascii="Times New Roman" w:hAnsi="Times New Roman"/>
                <w:sz w:val="20"/>
              </w:rPr>
              <w:t>NFR-05</w:t>
            </w:r>
          </w:p>
        </w:tc>
        <w:tc>
          <w:tcPr>
            <w:tcW w:type="dxa" w:w="3480"/>
            <w:shd w:fill="FFFFFF"/>
            <w:tcMar>
              <w:top w:w="100" w:type="dxa"/>
              <w:bottom w:w="100" w:type="dxa"/>
              <w:left w:w="120" w:type="dxa"/>
              <w:right w:w="120" w:type="dxa"/>
            </w:tcMar>
          </w:tcPr>
          <w:p>
            <w:pPr>
              <w:spacing w:line="276" w:lineRule="auto" w:after="40"/>
            </w:pPr>
            <w:r>
              <w:rPr>
                <w:rFonts w:ascii="Times New Roman" w:hAnsi="Times New Roman"/>
                <w:sz w:val="20"/>
              </w:rPr>
              <w:t>Anti-DDoS Protection</w:t>
            </w:r>
          </w:p>
        </w:tc>
        <w:tc>
          <w:tcPr>
            <w:tcW w:type="dxa" w:w="3480"/>
            <w:shd w:fill="FFFFFF"/>
            <w:tcMar>
              <w:top w:w="100" w:type="dxa"/>
              <w:bottom w:w="100" w:type="dxa"/>
              <w:left w:w="120" w:type="dxa"/>
              <w:right w:w="120" w:type="dxa"/>
            </w:tcMar>
          </w:tcPr>
          <w:p>
            <w:pPr>
              <w:spacing w:line="276" w:lineRule="auto" w:after="40"/>
            </w:pPr>
            <w:r>
              <w:rPr>
                <w:rFonts w:ascii="Times New Roman" w:hAnsi="Times New Roman"/>
                <w:sz w:val="20"/>
              </w:rPr>
              <w:t>The API Gateway must implement sliding-window rate limiting (e.g., max 100 requests per minute per IP for public endpoints) returning HTTP 429 Too Many Requests upon breach.</w:t>
            </w:r>
          </w:p>
        </w:tc>
      </w:tr>
      <w:tr>
        <w:tc>
          <w:tcPr>
            <w:tcW w:type="dxa" w:w="3480"/>
            <w:shd w:fill="F9FAFB"/>
            <w:tcMar>
              <w:top w:w="100" w:type="dxa"/>
              <w:bottom w:w="100" w:type="dxa"/>
              <w:left w:w="120" w:type="dxa"/>
              <w:right w:w="120" w:type="dxa"/>
            </w:tcMar>
          </w:tcPr>
          <w:p>
            <w:pPr>
              <w:spacing w:line="276" w:lineRule="auto" w:after="40"/>
            </w:pPr>
            <w:r>
              <w:rPr>
                <w:rFonts w:ascii="Times New Roman" w:hAnsi="Times New Roman"/>
                <w:sz w:val="20"/>
              </w:rPr>
              <w:t>NFR-06</w:t>
            </w:r>
          </w:p>
        </w:tc>
        <w:tc>
          <w:tcPr>
            <w:tcW w:type="dxa" w:w="3480"/>
            <w:shd w:fill="F9FAFB"/>
            <w:tcMar>
              <w:top w:w="100" w:type="dxa"/>
              <w:bottom w:w="100" w:type="dxa"/>
              <w:left w:w="120" w:type="dxa"/>
              <w:right w:w="120" w:type="dxa"/>
            </w:tcMar>
          </w:tcPr>
          <w:p>
            <w:pPr>
              <w:spacing w:line="276" w:lineRule="auto" w:after="40"/>
            </w:pPr>
            <w:r>
              <w:rPr>
                <w:rFonts w:ascii="Times New Roman" w:hAnsi="Times New Roman"/>
                <w:sz w:val="20"/>
              </w:rPr>
              <w:t>Explainability Latency</w:t>
            </w:r>
          </w:p>
        </w:tc>
        <w:tc>
          <w:tcPr>
            <w:tcW w:type="dxa" w:w="3480"/>
            <w:shd w:fill="F9FAFB"/>
            <w:tcMar>
              <w:top w:w="100" w:type="dxa"/>
              <w:bottom w:w="100" w:type="dxa"/>
              <w:left w:w="120" w:type="dxa"/>
              <w:right w:w="120" w:type="dxa"/>
            </w:tcMar>
          </w:tcPr>
          <w:p>
            <w:pPr>
              <w:spacing w:line="276" w:lineRule="auto" w:after="40"/>
            </w:pPr>
            <w:r>
              <w:rPr>
                <w:rFonts w:ascii="Times New Roman" w:hAnsi="Times New Roman"/>
                <w:sz w:val="20"/>
              </w:rPr>
              <w:t>Synchronous TreeSHAP feature attribution calculation must not introduce more than $50\text{ms}$ of computational overhead to the base inference pipeline.</w:t>
            </w:r>
          </w:p>
        </w:tc>
      </w:tr>
      <w:tr>
        <w:tc>
          <w:tcPr>
            <w:tcW w:type="dxa" w:w="3480"/>
            <w:shd w:fill="FFFFFF"/>
            <w:tcMar>
              <w:top w:w="100" w:type="dxa"/>
              <w:bottom w:w="100" w:type="dxa"/>
              <w:left w:w="120" w:type="dxa"/>
              <w:right w:w="120" w:type="dxa"/>
            </w:tcMar>
          </w:tcPr>
          <w:p>
            <w:pPr>
              <w:spacing w:line="276" w:lineRule="auto" w:after="40"/>
            </w:pPr>
            <w:r>
              <w:rPr>
                <w:rFonts w:ascii="Times New Roman" w:hAnsi="Times New Roman"/>
                <w:sz w:val="20"/>
              </w:rPr>
              <w:t>NFR-07</w:t>
            </w:r>
          </w:p>
        </w:tc>
        <w:tc>
          <w:tcPr>
            <w:tcW w:type="dxa" w:w="3480"/>
            <w:shd w:fill="FFFFFF"/>
            <w:tcMar>
              <w:top w:w="100" w:type="dxa"/>
              <w:bottom w:w="100" w:type="dxa"/>
              <w:left w:w="120" w:type="dxa"/>
              <w:right w:w="120" w:type="dxa"/>
            </w:tcMar>
          </w:tcPr>
          <w:p>
            <w:pPr>
              <w:spacing w:line="276" w:lineRule="auto" w:after="40"/>
            </w:pPr>
            <w:r>
              <w:rPr>
                <w:rFonts w:ascii="Times New Roman" w:hAnsi="Times New Roman"/>
                <w:sz w:val="20"/>
              </w:rPr>
              <w:t>Responsive Web Usability</w:t>
            </w:r>
          </w:p>
        </w:tc>
        <w:tc>
          <w:tcPr>
            <w:tcW w:type="dxa" w:w="3480"/>
            <w:shd w:fill="FFFFFF"/>
            <w:tcMar>
              <w:top w:w="100" w:type="dxa"/>
              <w:bottom w:w="100" w:type="dxa"/>
              <w:left w:w="120" w:type="dxa"/>
              <w:right w:w="120" w:type="dxa"/>
            </w:tcMar>
          </w:tcPr>
          <w:p>
            <w:pPr>
              <w:spacing w:line="276" w:lineRule="auto" w:after="40"/>
            </w:pPr>
            <w:r>
              <w:rPr>
                <w:rFonts w:ascii="Times New Roman" w:hAnsi="Times New Roman"/>
                <w:sz w:val="20"/>
              </w:rPr>
              <w:t>The React 19 frontend SPA must achieve a Google Lighthouse performance score of $\ge 90$, render fluid micro-animations at 60 FPS, and adapt responsively across desktop, tablet, and mobile displays.</w:t>
            </w:r>
          </w:p>
        </w:tc>
      </w:tr>
      <w:tr>
        <w:tc>
          <w:tcPr>
            <w:tcW w:type="dxa" w:w="3480"/>
            <w:shd w:fill="F9FAFB"/>
            <w:tcMar>
              <w:top w:w="100" w:type="dxa"/>
              <w:bottom w:w="100" w:type="dxa"/>
              <w:left w:w="120" w:type="dxa"/>
              <w:right w:w="120" w:type="dxa"/>
            </w:tcMar>
          </w:tcPr>
          <w:p>
            <w:pPr>
              <w:spacing w:line="276" w:lineRule="auto" w:after="40"/>
            </w:pPr>
            <w:r>
              <w:rPr>
                <w:rFonts w:ascii="Times New Roman" w:hAnsi="Times New Roman"/>
                <w:sz w:val="20"/>
              </w:rPr>
              <w:t>NFR-08</w:t>
            </w:r>
          </w:p>
        </w:tc>
        <w:tc>
          <w:tcPr>
            <w:tcW w:type="dxa" w:w="3480"/>
            <w:shd w:fill="F9FAFB"/>
            <w:tcMar>
              <w:top w:w="100" w:type="dxa"/>
              <w:bottom w:w="100" w:type="dxa"/>
              <w:left w:w="120" w:type="dxa"/>
              <w:right w:w="120" w:type="dxa"/>
            </w:tcMar>
          </w:tcPr>
          <w:p>
            <w:pPr>
              <w:spacing w:line="276" w:lineRule="auto" w:after="40"/>
            </w:pPr>
            <w:r>
              <w:rPr>
                <w:rFonts w:ascii="Times New Roman" w:hAnsi="Times New Roman"/>
                <w:sz w:val="20"/>
              </w:rPr>
              <w:t>Maintainability &amp; Testability</w:t>
            </w:r>
          </w:p>
        </w:tc>
        <w:tc>
          <w:tcPr>
            <w:tcW w:type="dxa" w:w="3480"/>
            <w:shd w:fill="F9FAFB"/>
            <w:tcMar>
              <w:top w:w="100" w:type="dxa"/>
              <w:bottom w:w="100" w:type="dxa"/>
              <w:left w:w="120" w:type="dxa"/>
              <w:right w:w="120" w:type="dxa"/>
            </w:tcMar>
          </w:tcPr>
          <w:p>
            <w:pPr>
              <w:spacing w:line="276" w:lineRule="auto" w:after="40"/>
            </w:pPr>
            <w:r>
              <w:rPr>
                <w:rFonts w:ascii="Times New Roman" w:hAnsi="Times New Roman"/>
                <w:sz w:val="20"/>
              </w:rPr>
              <w:t>Codebase must maintain modular separation of concerns (Core, API, Schemas, UI), achieve $\ge 90\%$ code coverage across core scoring logic, and execute automated pytest suites in $&lt; 15\text{ seconds}$.</w:t>
            </w:r>
          </w:p>
        </w:tc>
      </w:tr>
    </w:tbl>
    <w:p>
      <w:pPr>
        <w:spacing w:after="120"/>
      </w:pPr>
    </w:p>
    <w:p>
      <w:pPr>
        <w:keepNext/>
        <w:spacing w:before="240" w:after="120"/>
      </w:pPr>
      <w:r>
        <w:rPr>
          <w:rFonts w:ascii="Times New Roman" w:hAnsi="Times New Roman"/>
          <w:b/>
          <w:sz w:val="28"/>
        </w:rPr>
        <w:t>3.1.3 Role-Based Access Control (RBAC) Specifications</w:t>
      </w:r>
    </w:p>
    <w:p>
      <w:pPr>
        <w:spacing w:line="360" w:lineRule="auto" w:after="120"/>
        <w:jc w:val="both"/>
      </w:pPr>
      <w:r>
        <w:rPr>
          <w:rFonts w:ascii="Times New Roman" w:hAnsi="Times New Roman"/>
          <w:sz w:val="24"/>
        </w:rPr>
        <w:t>To safeguard sensitive financial data and prevent unauthorized override of automated fraud decisions, FraudShield AI enforces a granular Role-Based Access Control matrix. The platform defines three distinct user personas:</w:t>
      </w:r>
    </w:p>
    <w:p>
      <w:pPr>
        <w:keepNext/>
        <w:spacing w:before="200" w:after="80"/>
      </w:pPr>
      <w:r>
        <w:rPr>
          <w:rFonts w:ascii="Times New Roman" w:hAnsi="Times New Roman"/>
          <w:b/>
          <w:sz w:val="24"/>
        </w:rPr>
        <w:t>Table 3.3: Role-Based Access Control (RBAC) Permission Matrix</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2088"/>
        <w:gridCol w:w="2088"/>
        <w:gridCol w:w="2088"/>
        <w:gridCol w:w="2088"/>
        <w:gridCol w:w="2088"/>
      </w:tblGrid>
      <w:tr>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Functional Capability / Endpoint</w:t>
            </w:r>
          </w:p>
        </w:tc>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Public / Unauthenticated</w:t>
            </w:r>
          </w:p>
        </w:tc>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SOC Analyst (socanalyst)</w:t>
            </w:r>
          </w:p>
        </w:tc>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Compliance Officer (complianceofficer)</w:t>
            </w:r>
          </w:p>
        </w:tc>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System Administrator (admin)</w:t>
            </w:r>
          </w:p>
        </w:tc>
      </w:tr>
      <w:tr>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System Health Check (/health)</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Allowed</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Allowed</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Allowed</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Allowed</w:t>
            </w:r>
          </w:p>
        </w:tc>
      </w:tr>
      <w:tr>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User Authentication (/auth/login)</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Allowed</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Allowed</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Allowed</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Allowed</w:t>
            </w:r>
          </w:p>
        </w:tc>
      </w:tr>
      <w:tr>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User Self-Registration (/auth/register)</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Allowed</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Allowed</w:t>
            </w:r>
          </w:p>
        </w:tc>
      </w:tr>
      <w:tr>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Single Transaction Scoring (/analyze)</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Full Access</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Full Access</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Full Access</w:t>
            </w:r>
          </w:p>
        </w:tc>
      </w:tr>
      <w:tr>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Live Transaction Stream Monitoring</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View &amp; Triage</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View Only</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Full Control</w:t>
            </w:r>
          </w:p>
        </w:tc>
      </w:tr>
      <w:tr>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TreeSHAP Waterfall &amp; Feature View</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View Attribution</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Full Audit View</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Full Audit View</w:t>
            </w:r>
          </w:p>
        </w:tc>
      </w:tr>
      <w:tr>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FCRA Adverse Action Letter Download</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Generate &amp; Export</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Generate &amp; Export</w:t>
            </w:r>
          </w:p>
        </w:tc>
      </w:tr>
      <w:tr>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Graph Network Topology &amp; Mule Rings</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Investigate Rings</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View Topology</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Full Admin Control</w:t>
            </w:r>
          </w:p>
        </w:tc>
      </w:tr>
      <w:tr>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MLOps Drift Status &amp; KS Metrics</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View Metrics</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Full Access</w:t>
            </w:r>
          </w:p>
        </w:tc>
      </w:tr>
      <w:tr>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Synthetic Drift Injection Sandbox</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Execute Spikes</w:t>
            </w:r>
          </w:p>
        </w:tc>
      </w:tr>
      <w:tr>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Federated Learning Simulation Round</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Trigger FedAvg</w:t>
            </w:r>
          </w:p>
        </w:tc>
      </w:tr>
      <w:tr>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View Immutable Security Audit Logs</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Denied</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Read-Only Audit</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Full Audit Access</w:t>
            </w:r>
          </w:p>
        </w:tc>
      </w:tr>
    </w:tbl>
    <w:p>
      <w:pPr>
        <w:spacing w:after="120"/>
      </w:pPr>
    </w:p>
    <w:p>
      <w:pPr>
        <w:keepNext/>
        <w:spacing w:before="280" w:after="160"/>
      </w:pPr>
      <w:r>
        <w:rPr>
          <w:rFonts w:ascii="Times New Roman" w:hAnsi="Times New Roman"/>
          <w:b/>
          <w:sz w:val="32"/>
        </w:rPr>
        <w:t>3.2 Feasibility Study</w:t>
      </w:r>
    </w:p>
    <w:p>
      <w:pPr>
        <w:spacing w:line="360" w:lineRule="auto" w:after="120"/>
        <w:jc w:val="both"/>
      </w:pPr>
      <w:r>
        <w:rPr>
          <w:rFonts w:ascii="Times New Roman" w:hAnsi="Times New Roman"/>
          <w:sz w:val="24"/>
        </w:rPr>
        <w:t>A multi-dimensional feasibility study was conducted prior to system implementation to evaluate technical, operational, economic, schedule, and legal dimensions.</w:t>
      </w:r>
    </w:p>
    <w:p>
      <w:pPr>
        <w:keepNext/>
        <w:spacing w:before="240" w:after="120"/>
      </w:pPr>
      <w:r>
        <w:rPr>
          <w:rFonts w:ascii="Times New Roman" w:hAnsi="Times New Roman"/>
          <w:b/>
          <w:sz w:val="28"/>
        </w:rPr>
        <w:t>3.2.1 Technical Feasibility</w:t>
      </w:r>
    </w:p>
    <w:p>
      <w:pPr>
        <w:spacing w:line="360" w:lineRule="auto" w:after="120"/>
        <w:jc w:val="both"/>
      </w:pPr>
      <w:r>
        <w:rPr>
          <w:rFonts w:ascii="Times New Roman" w:hAnsi="Times New Roman"/>
          <w:sz w:val="24"/>
        </w:rPr>
        <w:t>The technical feasibility evaluates whether available algorithmic frameworks, programming languages, libraries, and hardware infrastructure can satisfy project objectives:</w:t>
      </w:r>
    </w:p>
    <w:p>
      <w:pPr>
        <w:spacing w:line="360" w:lineRule="auto" w:after="120"/>
        <w:ind w:left="432"/>
      </w:pPr>
      <w:r>
        <w:rPr>
          <w:rFonts w:ascii="Times New Roman" w:hAnsi="Times New Roman"/>
          <w:sz w:val="24"/>
        </w:rPr>
        <w:t>• Machine Learning &amp; Ensemble Feasibility: Python provides mature, highly optimized C++ bindings for gradient-boosted trees through xgboost and lightgbm. Both libraries support multi-threaded CPU and GPU training, built-in $L1/L2$ regularization, and native positive class weighting (scaleposweight). Scikit-learn's StackingClassifier offers an industrial-grade interface for training Level-0 base learners and Level-1 meta-classifiers.</w:t>
      </w:r>
    </w:p>
    <w:p>
      <w:pPr>
        <w:spacing w:line="360" w:lineRule="auto" w:after="120"/>
        <w:ind w:left="432"/>
      </w:pPr>
      <w:r>
        <w:rPr>
          <w:rFonts w:ascii="Times New Roman" w:hAnsi="Times New Roman"/>
          <w:sz w:val="24"/>
        </w:rPr>
        <w:t>• Explainability Feasibility: Lundberg’s shap C++ implementation of the TreeSHAP algorithm evaluates tree ensemble attributions in polynomial time $\mathcal{O}(T L D^2)$, reducing calculation times from minutes (KernelSHAP) to under 30 milliseconds.</w:t>
      </w:r>
    </w:p>
    <w:p>
      <w:pPr>
        <w:spacing w:line="360" w:lineRule="auto" w:after="120"/>
        <w:ind w:left="432"/>
      </w:pPr>
      <w:r>
        <w:rPr>
          <w:rFonts w:ascii="Times New Roman" w:hAnsi="Times New Roman"/>
          <w:sz w:val="24"/>
        </w:rPr>
        <w:t>• Microservices &amp; Web Feasibility: FastAPI utilizes Starlette and Pydantic, executing asynchronous event loops powered by uvloop. It consistently ranks among the fastest web frameworks in TechEmpower benchmarks, rivaling Node.js and Go. On the frontend, React 19 and Vite 6 provide rapid Hot Module Replacement (HMR) and lightweight production bundles ($&lt; 400\text{ KB}$ gzipped).</w:t>
      </w:r>
    </w:p>
    <w:p>
      <w:pPr>
        <w:spacing w:line="360" w:lineRule="auto" w:after="120"/>
        <w:ind w:left="432"/>
      </w:pPr>
      <w:r>
        <w:rPr>
          <w:rFonts w:ascii="Times New Roman" w:hAnsi="Times New Roman"/>
          <w:sz w:val="24"/>
        </w:rPr>
        <w:t>• Conclusion: The project is 100% Technically Feasible.</w:t>
      </w:r>
    </w:p>
    <w:p>
      <w:pPr>
        <w:keepNext/>
        <w:spacing w:before="240" w:after="120"/>
      </w:pPr>
      <w:r>
        <w:rPr>
          <w:rFonts w:ascii="Times New Roman" w:hAnsi="Times New Roman"/>
          <w:b/>
          <w:sz w:val="28"/>
        </w:rPr>
        <w:t>3.2.2 Operational Feasibility</w:t>
      </w:r>
    </w:p>
    <w:p>
      <w:pPr>
        <w:spacing w:line="360" w:lineRule="auto" w:after="120"/>
        <w:jc w:val="both"/>
      </w:pPr>
      <w:r>
        <w:rPr>
          <w:rFonts w:ascii="Times New Roman" w:hAnsi="Times New Roman"/>
          <w:sz w:val="24"/>
        </w:rPr>
        <w:t>Operational feasibility evaluates how effectively the platform integrates into existing banking workflows:</w:t>
      </w:r>
    </w:p>
    <w:p>
      <w:pPr>
        <w:spacing w:line="360" w:lineRule="auto" w:after="120"/>
        <w:ind w:left="432"/>
      </w:pPr>
      <w:r>
        <w:rPr>
          <w:rFonts w:ascii="Times New Roman" w:hAnsi="Times New Roman"/>
          <w:sz w:val="24"/>
        </w:rPr>
        <w:t>• Analyst Workflow Alignment: FraudShield AI provides pre-configured 1-click personas in the Identity Portal, eliminating onboarding friction. Rather than forcing analysts to parse raw JSON logs, the interface presents intuitive visual risk badges, plain-English FCRA reason cards, and interactive network graphs.</w:t>
      </w:r>
    </w:p>
    <w:p>
      <w:pPr>
        <w:spacing w:line="360" w:lineRule="auto" w:after="120"/>
        <w:ind w:left="432"/>
      </w:pPr>
      <w:r>
        <w:rPr>
          <w:rFonts w:ascii="Times New Roman" w:hAnsi="Times New Roman"/>
          <w:sz w:val="24"/>
        </w:rPr>
        <w:t>• Human-in-the-Loop Safeguards: By introducing the NEEDS REVIEW tier ($45\%-75\%$), the platform respects established banking standard operating procedures (SOPs), automating straight-through processing for obvious safe/fraud transactions while empowering human analysts to handle nuanced disputes.</w:t>
      </w:r>
    </w:p>
    <w:p>
      <w:pPr>
        <w:spacing w:line="360" w:lineRule="auto" w:after="120"/>
        <w:ind w:left="432"/>
      </w:pPr>
      <w:r>
        <w:rPr>
          <w:rFonts w:ascii="Times New Roman" w:hAnsi="Times New Roman"/>
          <w:sz w:val="24"/>
        </w:rPr>
        <w:t>• Conclusion: The platform achieves High Operational Feasibility.</w:t>
      </w:r>
    </w:p>
    <w:p>
      <w:pPr>
        <w:keepNext/>
        <w:spacing w:before="240" w:after="120"/>
      </w:pPr>
      <w:r>
        <w:rPr>
          <w:rFonts w:ascii="Times New Roman" w:hAnsi="Times New Roman"/>
          <w:b/>
          <w:sz w:val="28"/>
        </w:rPr>
        <w:t>3.2.3 Economic Feasibility</w:t>
      </w:r>
    </w:p>
    <w:p>
      <w:pPr>
        <w:spacing w:line="360" w:lineRule="auto" w:after="120"/>
        <w:jc w:val="both"/>
      </w:pPr>
      <w:r>
        <w:rPr>
          <w:rFonts w:ascii="Times New Roman" w:hAnsi="Times New Roman"/>
          <w:sz w:val="24"/>
        </w:rPr>
        <w:t>Economic feasibility assesses development and operational expenditures against anticipated financial returns:</w:t>
      </w:r>
    </w:p>
    <w:p>
      <w:pPr>
        <w:spacing w:line="360" w:lineRule="auto" w:after="120"/>
        <w:ind w:left="432"/>
      </w:pPr>
      <w:r>
        <w:rPr>
          <w:rFonts w:ascii="Times New Roman" w:hAnsi="Times New Roman"/>
          <w:sz w:val="24"/>
        </w:rPr>
        <w:t>• Development Costs: The platform is constructed entirely using open-source technologies (Python, FastAPI, React, Vite, Docker, Scikit-learn, XGBoost, NetworkX), incurring zero software licensing fees.</w:t>
      </w:r>
    </w:p>
    <w:p>
      <w:pPr>
        <w:spacing w:line="360" w:lineRule="auto" w:after="120"/>
        <w:ind w:left="432"/>
      </w:pPr>
      <w:r>
        <w:rPr>
          <w:rFonts w:ascii="Times New Roman" w:hAnsi="Times New Roman"/>
          <w:sz w:val="24"/>
        </w:rPr>
        <w:t>• Infrastructure Costs: Microservice architecture allows containerized deployment on modest cloud instances (e.g., 2 vCPUs, 4GB RAM) or free-tier hosting platforms (Render, Vercel, Docker Hub).</w:t>
      </w:r>
    </w:p>
    <w:p>
      <w:pPr>
        <w:spacing w:line="360" w:lineRule="auto" w:after="120"/>
        <w:ind w:left="432"/>
      </w:pPr>
      <w:r>
        <w:rPr>
          <w:rFonts w:ascii="Times New Roman" w:hAnsi="Times New Roman"/>
          <w:sz w:val="24"/>
        </w:rPr>
        <w:t>• Return on Investment (ROI): Commercial financial institutions lose billions annually to fraud and spend millions on manual investigation. A platform that reduces false positive rates by $20\%$ saves tier-1 banks millions annually in operational costs while preserving cardholder revenue.</w:t>
      </w:r>
    </w:p>
    <w:p>
      <w:pPr>
        <w:spacing w:line="360" w:lineRule="auto" w:after="120"/>
        <w:ind w:left="432"/>
      </w:pPr>
      <w:r>
        <w:rPr>
          <w:rFonts w:ascii="Times New Roman" w:hAnsi="Times New Roman"/>
          <w:sz w:val="24"/>
        </w:rPr>
        <w:t>• Conclusion: The project demonstrates Exceptional Economic Feasibility.</w:t>
      </w:r>
    </w:p>
    <w:p>
      <w:pPr>
        <w:keepNext/>
        <w:spacing w:before="240" w:after="120"/>
      </w:pPr>
      <w:r>
        <w:rPr>
          <w:rFonts w:ascii="Times New Roman" w:hAnsi="Times New Roman"/>
          <w:b/>
          <w:sz w:val="28"/>
        </w:rPr>
        <w:t>3.2.4 Schedule Feasibility</w:t>
      </w:r>
    </w:p>
    <w:p>
      <w:pPr>
        <w:spacing w:line="360" w:lineRule="auto" w:after="120"/>
        <w:jc w:val="both"/>
      </w:pPr>
      <w:r>
        <w:rPr>
          <w:rFonts w:ascii="Times New Roman" w:hAnsi="Times New Roman"/>
          <w:sz w:val="24"/>
        </w:rPr>
        <w:t>The project schedule was structured across two academic semesters (Semester VI &amp; Semester VII) using the Agile Scrum framework across six 3-week sprint cycles. All functional milestones—from exploratory data analysis (EDA) to model training, API construction, frontend design, and automated testing—were sequenced logically with generous risk contingency buffers.</w:t>
      </w:r>
    </w:p>
    <w:p>
      <w:pPr>
        <w:spacing w:line="360" w:lineRule="auto" w:after="120"/>
        <w:ind w:left="432"/>
      </w:pPr>
      <w:r>
        <w:rPr>
          <w:rFonts w:ascii="Times New Roman" w:hAnsi="Times New Roman"/>
          <w:sz w:val="24"/>
        </w:rPr>
        <w:t>• Conclusion: The project satisfies Strict Schedule Feasibility.</w:t>
      </w:r>
    </w:p>
    <w:p>
      <w:pPr>
        <w:keepNext/>
        <w:spacing w:before="240" w:after="120"/>
      </w:pPr>
      <w:r>
        <w:rPr>
          <w:rFonts w:ascii="Times New Roman" w:hAnsi="Times New Roman"/>
          <w:b/>
          <w:sz w:val="28"/>
        </w:rPr>
        <w:t>3.2.5 Legal, Ethical &amp; Regulatory Feasibility</w:t>
      </w:r>
    </w:p>
    <w:p>
      <w:pPr>
        <w:spacing w:line="360" w:lineRule="auto" w:after="120"/>
        <w:jc w:val="both"/>
      </w:pPr>
      <w:r>
        <w:rPr>
          <w:rFonts w:ascii="Times New Roman" w:hAnsi="Times New Roman"/>
          <w:sz w:val="24"/>
        </w:rPr>
        <w:t>Compliance with international legal frameworks is a core design criterion of FraudShield AI:</w:t>
      </w:r>
    </w:p>
    <w:p>
      <w:pPr>
        <w:spacing w:line="360" w:lineRule="auto" w:after="120"/>
        <w:ind w:left="432"/>
      </w:pPr>
      <w:r>
        <w:rPr>
          <w:rFonts w:ascii="Times New Roman" w:hAnsi="Times New Roman"/>
          <w:sz w:val="24"/>
        </w:rPr>
        <w:t>• GDPR Article 22 &amp; EU AI Act (2024): The system strictly satisfies the "Right to Explanation" by decomposing every classification into exact TreeSHAP feature attributions.</w:t>
      </w:r>
    </w:p>
    <w:p>
      <w:pPr>
        <w:spacing w:line="360" w:lineRule="auto" w:after="120"/>
        <w:ind w:left="432"/>
      </w:pPr>
      <w:r>
        <w:rPr>
          <w:rFonts w:ascii="Times New Roman" w:hAnsi="Times New Roman"/>
          <w:sz w:val="24"/>
        </w:rPr>
        <w:t>• FCRA Section 615(a) &amp; ECOA: Automated generation of Adverse Action reason codes guarantees that consumers are not denied financial services based on discriminatory, arbitrary, or unrecorded criteria.</w:t>
      </w:r>
    </w:p>
    <w:p>
      <w:pPr>
        <w:spacing w:line="360" w:lineRule="auto" w:after="120"/>
        <w:ind w:left="432"/>
      </w:pPr>
      <w:r>
        <w:rPr>
          <w:rFonts w:ascii="Times New Roman" w:hAnsi="Times New Roman"/>
          <w:sz w:val="24"/>
        </w:rPr>
        <w:t>• Data Privacy &amp; Sovereignty: The Federated Learning simulation module proves that cross-institutional fraud defense can operate without pooling raw transaction records or customer PII.</w:t>
      </w:r>
    </w:p>
    <w:p>
      <w:pPr>
        <w:spacing w:line="360" w:lineRule="auto" w:after="120"/>
        <w:ind w:left="432"/>
      </w:pPr>
      <w:r>
        <w:rPr>
          <w:rFonts w:ascii="Times New Roman" w:hAnsi="Times New Roman"/>
          <w:sz w:val="24"/>
        </w:rPr>
        <w:t>• Conclusion: The project establishes Complete Legal and Regulatory Feasibility.</w:t>
      </w:r>
    </w:p>
    <w:p>
      <w:pPr>
        <w:keepNext/>
        <w:spacing w:before="280" w:after="160"/>
      </w:pPr>
      <w:r>
        <w:rPr>
          <w:rFonts w:ascii="Times New Roman" w:hAnsi="Times New Roman"/>
          <w:b/>
          <w:sz w:val="32"/>
        </w:rPr>
        <w:t>3.3 Methodology</w:t>
      </w:r>
    </w:p>
    <w:p>
      <w:pPr>
        <w:spacing w:line="360" w:lineRule="auto" w:after="120"/>
        <w:jc w:val="both"/>
      </w:pPr>
      <w:r>
        <w:rPr>
          <w:rFonts w:ascii="Times New Roman" w:hAnsi="Times New Roman"/>
          <w:sz w:val="24"/>
        </w:rPr>
        <w:t>FraudShield AI adopts a modified CRISP-DM (Cross-Industry Standard Process for Data Mining) framework tailored specifically for high-frequency, regulated financial machine learning systems. The lifecycle comprises six iterative, interconnected phases:</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w:t>
              <w:br/>
              <w:t>│                            MODIFIED CRISP-DM FINANCIAL AI LIFECYCLE                         │</w:t>
              <w:br/>
              <w:t>│                                                                                             │</w:t>
              <w:br/>
              <w:t>│  ┌────────────────────────┐         ┌────────────────────────┐         ┌─────────────────┐  │</w:t>
              <w:br/>
              <w:t>│  │ 1. Problem &amp; Regulatory│ ──────► │ 2. Multi-Domain Data   │ ──────► │ 3. Preprocessing│  │</w:t>
              <w:br/>
              <w:t>│  │    Intelligence Phase  │         │    Acquisition &amp; EDA   │         │    &amp; OmniSMOTE  │  │</w:t>
              <w:br/>
              <w:t>│  └────────────────────────┘         └────────────────────────┘         └────────┬────────┘  │</w:t>
              <w:br/>
              <w:t>│                                                                                 │           │</w:t>
              <w:br/>
              <w:t>│  ┌────────────────────────┐         ┌────────────────────────┐                  │           │</w:t>
              <w:br/>
              <w:t>│  │ 6. Continuous MLOps &amp;  │ ◄────── │ 5. Explainability &amp;    │ ◄────────────────┘           │</w:t>
              <w:br/>
              <w:t>│  │    Federated Monitoring│         │    Operational Tuning  │   4. Stacking Ensemble       │</w:t>
              <w:br/>
              <w:t>│  └────────────────────────┘         └────────────────────────┘      Training &amp; Validation   │</w:t>
              <w:br/>
              <w:t>└─────────────────────────────────────────────────────────────────────────────────────────────┘</w:t>
            </w:r>
          </w:p>
        </w:tc>
      </w:tr>
    </w:tbl>
    <w:p>
      <w:pPr>
        <w:spacing w:after="120"/>
      </w:pPr>
    </w:p>
    <w:p>
      <w:pPr>
        <w:keepNext/>
        <w:spacing w:before="240" w:after="120"/>
      </w:pPr>
      <w:r>
        <w:rPr>
          <w:rFonts w:ascii="Times New Roman" w:hAnsi="Times New Roman"/>
          <w:b/>
          <w:sz w:val="28"/>
        </w:rPr>
        <w:t>3.3.1 Phase 1: Problem &amp; Regulatory Intelligence</w:t>
      </w:r>
    </w:p>
    <w:p>
      <w:pPr>
        <w:spacing w:line="360" w:lineRule="auto" w:after="120"/>
        <w:ind w:left="432"/>
      </w:pPr>
      <w:r>
        <w:rPr>
          <w:rFonts w:ascii="Times New Roman" w:hAnsi="Times New Roman"/>
          <w:sz w:val="24"/>
        </w:rPr>
        <w:t>• Formalize business objectives: maximize fraud recall ($&gt; 85\%$ on imbalanced data) while suppressing false positive rates ($&lt; 6\%$).</w:t>
      </w:r>
    </w:p>
    <w:p>
      <w:pPr>
        <w:spacing w:line="360" w:lineRule="auto" w:after="120"/>
        <w:ind w:left="432"/>
      </w:pPr>
      <w:r>
        <w:rPr>
          <w:rFonts w:ascii="Times New Roman" w:hAnsi="Times New Roman"/>
          <w:sz w:val="24"/>
        </w:rPr>
        <w:t>• Identify regulatory constraints: map EU AI Act transparency rules and FCRA adverse action mandates directly into algorithmic requirements.</w:t>
      </w:r>
    </w:p>
    <w:p>
      <w:pPr>
        <w:keepNext/>
        <w:spacing w:before="240" w:after="120"/>
      </w:pPr>
      <w:r>
        <w:rPr>
          <w:rFonts w:ascii="Times New Roman" w:hAnsi="Times New Roman"/>
          <w:b/>
          <w:sz w:val="28"/>
        </w:rPr>
        <w:t>3.3.2 Phase 2: Multi-Domain Data Acquisition &amp; Exploratory Analysis</w:t>
      </w:r>
    </w:p>
    <w:p>
      <w:pPr>
        <w:spacing w:line="360" w:lineRule="auto" w:after="120"/>
        <w:ind w:left="432"/>
      </w:pPr>
      <w:r>
        <w:rPr>
          <w:rFonts w:ascii="Times New Roman" w:hAnsi="Times New Roman"/>
          <w:sz w:val="24"/>
        </w:rPr>
        <w:t>• Ingest four benchmark datasets: PaySim Mobile Money (6.3M records), European Credit Card PCA (284k records), Spatial Behavioral Credit Card (1.8M records), and BankSim Retail Banking (594k records).</w:t>
      </w:r>
    </w:p>
    <w:p>
      <w:pPr>
        <w:spacing w:line="360" w:lineRule="auto" w:after="120"/>
        <w:ind w:left="432"/>
      </w:pPr>
      <w:r>
        <w:rPr>
          <w:rFonts w:ascii="Times New Roman" w:hAnsi="Times New Roman"/>
          <w:sz w:val="24"/>
        </w:rPr>
        <w:t>• Analyze class imbalance distributions, covariance structures, outlier distributions, and missing value profiles.</w:t>
      </w:r>
    </w:p>
    <w:p>
      <w:pPr>
        <w:keepNext/>
        <w:spacing w:before="240" w:after="120"/>
      </w:pPr>
      <w:r>
        <w:rPr>
          <w:rFonts w:ascii="Times New Roman" w:hAnsi="Times New Roman"/>
          <w:b/>
          <w:sz w:val="28"/>
        </w:rPr>
        <w:t>3.3.3 Phase 3: Data Preprocessing &amp; Advanced Resampling</w:t>
      </w:r>
    </w:p>
    <w:p>
      <w:pPr>
        <w:spacing w:line="360" w:lineRule="auto" w:after="120"/>
        <w:ind w:left="432"/>
      </w:pPr>
      <w:r>
        <w:rPr>
          <w:rFonts w:ascii="Times New Roman" w:hAnsi="Times New Roman"/>
          <w:sz w:val="24"/>
        </w:rPr>
        <w:t>• Apply RobustScaler across continuous transaction attributes ($V1-V{28}$, Amount, Balance) using interquartile range (IQR) scaling:</w:t>
      </w:r>
    </w:p>
    <w:p>
      <w:pPr>
        <w:spacing w:line="360" w:lineRule="auto" w:after="120"/>
        <w:jc w:val="both"/>
      </w:pPr>
      <w:r>
        <w:rPr>
          <w:rFonts w:ascii="Times New Roman" w:hAnsi="Times New Roman"/>
          <w:sz w:val="24"/>
        </w:rPr>
        <w:t>$$x{\text{scaled}} = \frac{x - \text{median}(x)}{\text{IQR}(x)} = \frac{x - Q2}{Q3 - Q1}$$</w:t>
      </w:r>
    </w:p>
    <w:p>
      <w:pPr>
        <w:spacing w:line="360" w:lineRule="auto" w:after="120"/>
        <w:jc w:val="both"/>
      </w:pPr>
      <w:r>
        <w:rPr>
          <w:rFonts w:ascii="Times New Roman" w:hAnsi="Times New Roman"/>
          <w:sz w:val="24"/>
        </w:rPr>
        <w:t>preventing extreme financial transaction outliers from distorting feature variance.</w:t>
      </w:r>
    </w:p>
    <w:p>
      <w:pPr>
        <w:spacing w:line="360" w:lineRule="auto" w:after="120"/>
        <w:ind w:left="432"/>
      </w:pPr>
      <w:r>
        <w:rPr>
          <w:rFonts w:ascii="Times New Roman" w:hAnsi="Times New Roman"/>
          <w:sz w:val="24"/>
        </w:rPr>
        <w:t>• Execute OmniSMOTE boundary-calibrated oversampling on training splits, raising minority class prevalence to balanced ratios while pruning boundary synthesis that overlaps majority clusters.</w:t>
      </w:r>
    </w:p>
    <w:p>
      <w:pPr>
        <w:keepNext/>
        <w:spacing w:before="240" w:after="120"/>
      </w:pPr>
      <w:r>
        <w:rPr>
          <w:rFonts w:ascii="Times New Roman" w:hAnsi="Times New Roman"/>
          <w:b/>
          <w:sz w:val="28"/>
        </w:rPr>
        <w:t>3.3.4 Phase 4: Stacking Ensemble Training &amp; Out-of-Fold Validation</w:t>
      </w:r>
    </w:p>
    <w:p>
      <w:pPr>
        <w:spacing w:line="360" w:lineRule="auto" w:after="120"/>
        <w:ind w:left="432"/>
      </w:pPr>
      <w:r>
        <w:rPr>
          <w:rFonts w:ascii="Times New Roman" w:hAnsi="Times New Roman"/>
          <w:sz w:val="24"/>
        </w:rPr>
        <w:t>• Partition datasets into stratified $80\%$ training and $20\%$ holdout testing splits.</w:t>
      </w:r>
    </w:p>
    <w:p>
      <w:pPr>
        <w:spacing w:line="360" w:lineRule="auto" w:after="120"/>
        <w:ind w:left="432"/>
      </w:pPr>
      <w:r>
        <w:rPr>
          <w:rFonts w:ascii="Times New Roman" w:hAnsi="Times New Roman"/>
          <w:sz w:val="24"/>
        </w:rPr>
        <w:t>• Train Level-0 base estimators: XGBoost (scaleposweight tuned), LightGBM (maxdepth=6, numleaves=31), and Random Forest (nestimators=100).</w:t>
      </w:r>
    </w:p>
    <w:p>
      <w:pPr>
        <w:spacing w:line="360" w:lineRule="auto" w:after="120"/>
        <w:ind w:left="432"/>
      </w:pPr>
      <w:r>
        <w:rPr>
          <w:rFonts w:ascii="Times New Roman" w:hAnsi="Times New Roman"/>
          <w:sz w:val="24"/>
        </w:rPr>
        <w:t>• Generate out-of-fold probability predictions using 5-fold stratified cross-validation.</w:t>
      </w:r>
    </w:p>
    <w:p>
      <w:pPr>
        <w:spacing w:line="360" w:lineRule="auto" w:after="120"/>
        <w:ind w:left="432"/>
      </w:pPr>
      <w:r>
        <w:rPr>
          <w:rFonts w:ascii="Times New Roman" w:hAnsi="Times New Roman"/>
          <w:sz w:val="24"/>
        </w:rPr>
        <w:t>• Train Level-1 Logistic Regression meta-learner ($C=1.0$) on meta-probability vectors.</w:t>
      </w:r>
    </w:p>
    <w:p>
      <w:pPr>
        <w:keepNext/>
        <w:spacing w:before="240" w:after="120"/>
      </w:pPr>
      <w:r>
        <w:rPr>
          <w:rFonts w:ascii="Times New Roman" w:hAnsi="Times New Roman"/>
          <w:b/>
          <w:sz w:val="28"/>
        </w:rPr>
        <w:t>3.3.5 Phase 5: Real-Time Explainability &amp; Decision Tuning</w:t>
      </w:r>
    </w:p>
    <w:p>
      <w:pPr>
        <w:spacing w:line="360" w:lineRule="auto" w:after="120"/>
        <w:ind w:left="432"/>
      </w:pPr>
      <w:r>
        <w:rPr>
          <w:rFonts w:ascii="Times New Roman" w:hAnsi="Times New Roman"/>
          <w:sz w:val="24"/>
        </w:rPr>
        <w:t>• Pre-compute TreeSHAP explainer trees using background reference transaction matrices.</w:t>
      </w:r>
    </w:p>
    <w:p>
      <w:pPr>
        <w:spacing w:line="360" w:lineRule="auto" w:after="120"/>
        <w:ind w:left="432"/>
      </w:pPr>
      <w:r>
        <w:rPr>
          <w:rFonts w:ascii="Times New Roman" w:hAnsi="Times New Roman"/>
          <w:sz w:val="24"/>
        </w:rPr>
        <w:t>• Formulate continuous risk calibration formulas fusing model probabilities with balance liquidation flags and velocity heuristics.</w:t>
      </w:r>
    </w:p>
    <w:p>
      <w:pPr>
        <w:spacing w:line="360" w:lineRule="auto" w:after="120"/>
        <w:ind w:left="432"/>
      </w:pPr>
      <w:r>
        <w:rPr>
          <w:rFonts w:ascii="Times New Roman" w:hAnsi="Times New Roman"/>
          <w:sz w:val="24"/>
        </w:rPr>
        <w:t>• Establish 3-tier classification thresholds: SAFE ($&lt; 45\%$), NEEDS REVIEW ($45\%-75\%$), FRAUD ($\ge 75\%$).</w:t>
      </w:r>
    </w:p>
    <w:p>
      <w:pPr>
        <w:keepNext/>
        <w:spacing w:before="240" w:after="120"/>
      </w:pPr>
      <w:r>
        <w:rPr>
          <w:rFonts w:ascii="Times New Roman" w:hAnsi="Times New Roman"/>
          <w:b/>
          <w:sz w:val="28"/>
        </w:rPr>
        <w:t>3.3.6 Phase 6: Continuous MLOps, Drift Auditing &amp; Federated Defense</w:t>
      </w:r>
    </w:p>
    <w:p>
      <w:pPr>
        <w:spacing w:line="360" w:lineRule="auto" w:after="120"/>
        <w:ind w:left="432"/>
      </w:pPr>
      <w:r>
        <w:rPr>
          <w:rFonts w:ascii="Times New Roman" w:hAnsi="Times New Roman"/>
          <w:sz w:val="24"/>
        </w:rPr>
        <w:t>• Deploy streaming Kolmogorov-Smirnov and PSI covariate shift detectors.</w:t>
      </w:r>
    </w:p>
    <w:p>
      <w:pPr>
        <w:spacing w:line="360" w:lineRule="auto" w:after="120"/>
        <w:ind w:left="432"/>
      </w:pPr>
      <w:r>
        <w:rPr>
          <w:rFonts w:ascii="Times New Roman" w:hAnsi="Times New Roman"/>
          <w:sz w:val="24"/>
        </w:rPr>
        <w:t>• Integrate in-memory NetworkX graph cycle algorithms for mule ring detection.</w:t>
      </w:r>
    </w:p>
    <w:p>
      <w:pPr>
        <w:spacing w:line="360" w:lineRule="auto" w:after="120"/>
        <w:ind w:left="432"/>
      </w:pPr>
      <w:r>
        <w:rPr>
          <w:rFonts w:ascii="Times New Roman" w:hAnsi="Times New Roman"/>
          <w:sz w:val="24"/>
        </w:rPr>
        <w:t>• Simulate Federated Averaging (FedAvg) rounds across banking nodes to validate privacy-preserving collaborative learning.</w:t>
      </w:r>
    </w:p>
    <w:p>
      <w:pPr>
        <w:keepNext/>
        <w:spacing w:before="280" w:after="160"/>
      </w:pPr>
      <w:r>
        <w:rPr>
          <w:rFonts w:ascii="Times New Roman" w:hAnsi="Times New Roman"/>
          <w:b/>
          <w:sz w:val="32"/>
        </w:rPr>
        <w:t>3.4 Technology Stack</w:t>
      </w:r>
    </w:p>
    <w:p>
      <w:pPr>
        <w:spacing w:line="360" w:lineRule="auto" w:after="120"/>
        <w:jc w:val="both"/>
      </w:pPr>
      <w:r>
        <w:rPr>
          <w:rFonts w:ascii="Times New Roman" w:hAnsi="Times New Roman"/>
          <w:sz w:val="24"/>
        </w:rPr>
        <w:t>The FraudShield AI technological architecture is constructed using modern, industry-standard languages, frameworks, and deployment containers:</w:t>
      </w:r>
    </w:p>
    <w:p>
      <w:pPr>
        <w:keepNext/>
        <w:spacing w:before="200" w:after="80"/>
      </w:pPr>
      <w:r>
        <w:rPr>
          <w:rFonts w:ascii="Times New Roman" w:hAnsi="Times New Roman"/>
          <w:b/>
          <w:sz w:val="24"/>
        </w:rPr>
        <w:t>Table 3.5: Comprehensive Technology Stack Specification</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2610"/>
        <w:gridCol w:w="2610"/>
        <w:gridCol w:w="2610"/>
        <w:gridCol w:w="2610"/>
      </w:tblGrid>
      <w:tr>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Subsystem Layer</w:t>
            </w:r>
          </w:p>
        </w:tc>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Technology / Tool</w:t>
            </w:r>
          </w:p>
        </w:tc>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Version</w:t>
            </w:r>
          </w:p>
        </w:tc>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Architectural Role &amp; Justification</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Frontend Framework</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React</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19.0.0</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High-performance single-page application (SPA) library utilizing concurrent rendering and virtual DOM diffing.</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Build &amp; Bundler</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Vite</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6.0.0</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Next-generation frontend tooling providing sub-second Hot Module Replacement (HMR) and optimized Rollup builds.</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CSS &amp; Styling</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Tailwind CSS</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3.4.1</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Utility-first CSS framework enabling dark-mode glassmorphic aesthetics and responsive layouts without stylesheet bloat.</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Micro-Animations</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Framer Motion</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11.0.0</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Production-grade motion library for fluid UI transitions, expandable transaction triage drawers, and modal overlays.</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Network Visualization</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SVG / Canvas</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Native</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Interactive rendering of transaction topologies, circular money laundering rings, and account node clusters.</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Backend API Framework</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FastAPI</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0.115.0+</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Modern, asynchronous ASGI web framework built on Starlette and Pydantic with automatic OpenAPI documentation.</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ASGI Web Server</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Uvicorn</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0.30.0+</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Lightning-fast asynchronous server implementation for Python based on uvloop and httptools.</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Data Validation</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Pydantic</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2.8.0+</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Robust data validation and schema enforcement utilizing Python type hints with zero-overhead runtime parsing.</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Machine Learning Core</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Scikit-Learn</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1.5.0+</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Core machine learning library providing StackingClassifier, RobustScaler, metrics benchmarking, and model persistence.</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Gradient Boosting (1)</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XGBoost</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2.1.0+</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Extreme Gradient Boosting library optimized for fast parallel tree construction and positive class weighting.</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Gradient Boosting (2)</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LightGBM</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4.4.0+</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High-performance gradient boosting framework utilizing histogram binning, GOSS, and leaf-wise tree growth.</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Imbalanced Learning</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Imbalanced-Learn</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0.12.0+</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Advanced resampling suite providing SMOTE, Borderline-SMOTE, and ADASYN implementations.</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Explainable AI (XAI)</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SHAP (TreeSHAP)</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0.46.0+</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Game-theoretic feature attribution library providing exact polynomial-time TreeSHAP calculations.</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Graph Intelligence</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NetworkX</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3.3.0+</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Comprehensive Python graph library for building transaction networks, finding cycles, and computing degree centrality.</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Security &amp; JWT</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PyJWT</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2.8.0+</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Cryptographic JSON Web Token implementation for stateless, secure session authentication and RBAC claims.</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Containerization</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Docker &amp; Compose</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26.0+</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Container virtualization ensuring consistent, reproducible deployment across development, staging, and production.</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Automated Testing</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Pytest</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8.2.0+</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Mature Python testing framework used for unit testing, endpoint integration testing, and regression suites.</w:t>
            </w:r>
          </w:p>
        </w:tc>
      </w:tr>
    </w:tbl>
    <w:p>
      <w:pPr>
        <w:spacing w:after="120"/>
      </w:pPr>
    </w:p>
    <w:p>
      <w:pPr>
        <w:keepNext/>
        <w:spacing w:before="280" w:after="160"/>
      </w:pPr>
      <w:r>
        <w:rPr>
          <w:rFonts w:ascii="Times New Roman" w:hAnsi="Times New Roman"/>
          <w:b/>
          <w:sz w:val="32"/>
        </w:rPr>
        <w:t>3.5 Gantt Chart and Process Model</w:t>
      </w:r>
    </w:p>
    <w:p>
      <w:pPr>
        <w:keepNext/>
        <w:spacing w:before="240" w:after="120"/>
      </w:pPr>
      <w:r>
        <w:rPr>
          <w:rFonts w:ascii="Times New Roman" w:hAnsi="Times New Roman"/>
          <w:b/>
          <w:sz w:val="28"/>
        </w:rPr>
        <w:t>3.5.1 Agile Scrum Process Model</w:t>
      </w:r>
    </w:p>
    <w:p>
      <w:pPr>
        <w:spacing w:line="360" w:lineRule="auto" w:after="120"/>
        <w:jc w:val="both"/>
      </w:pPr>
      <w:r>
        <w:rPr>
          <w:rFonts w:ascii="Times New Roman" w:hAnsi="Times New Roman"/>
          <w:sz w:val="24"/>
        </w:rPr>
        <w:t>FraudShield AI was developed utilizing the Agile Scrum methodology. Development was divided into six two-week sprints grouped into two macro project phases:</w:t>
      </w:r>
    </w:p>
    <w:p>
      <w:pPr>
        <w:keepNext/>
        <w:spacing w:before="200" w:after="80"/>
      </w:pPr>
      <w:r>
        <w:rPr>
          <w:rFonts w:ascii="Times New Roman" w:hAnsi="Times New Roman"/>
          <w:b/>
          <w:sz w:val="24"/>
        </w:rPr>
        <w:t>Table 3.6: Agile Sprint Backlog, Story Points, and Delivery Milestones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2088"/>
        <w:gridCol w:w="2088"/>
        <w:gridCol w:w="2088"/>
        <w:gridCol w:w="2088"/>
        <w:gridCol w:w="2088"/>
      </w:tblGrid>
      <w:tr>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Sprint No.</w:t>
            </w:r>
          </w:p>
        </w:tc>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Sprint Focus &amp; Core Deliverables</w:t>
            </w:r>
          </w:p>
        </w:tc>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Story Points</w:t>
            </w:r>
          </w:p>
        </w:tc>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Duration</w:t>
            </w:r>
          </w:p>
        </w:tc>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Milestones Achieved</w:t>
            </w:r>
          </w:p>
        </w:tc>
      </w:tr>
      <w:tr>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Sprint 1</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Problem Formulation, Regulatory Audit, Dataset Acquisition</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25 pts</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Weeks 1–3</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Project Dossier, Dataset Ingestion Pipeline, Baseline EDA.</w:t>
            </w:r>
          </w:p>
        </w:tc>
      </w:tr>
      <w:tr>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Sprint 2</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Data Preprocessing, RobustScaler, OmniSMOTE Resampling</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35 pts</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Weeks 4–6</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Cleaned multi-domain datasets, balanced training partitions.</w:t>
            </w:r>
          </w:p>
        </w:tc>
      </w:tr>
      <w:tr>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Sprint 3</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Stacking Ensemble Training &amp; Hyperparameter Optimization</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45 pts</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Weeks 7–9</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Level-0 XGB/LGBM/RF models, Level-1 Meta-Learner, 5-fold CV.</w:t>
            </w:r>
          </w:p>
        </w:tc>
      </w:tr>
      <w:tr>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Sprint 4</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TreeSHAP Integration, FCRA Reason Codes, Risk Calibration</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40 pts</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Weeks 10–12</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Sub-50ms TreeSHAP engine, 3-tier calibrated risk scoring.</w:t>
            </w:r>
          </w:p>
        </w:tc>
      </w:tr>
      <w:tr>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Sprint 5</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FastAPI Microservice Gateway, RBAC, Security &amp; Audit Logs</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35 pts</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Weeks 13–15</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Complete REST API endpoints (/analyze, /health, /auth).</w:t>
            </w:r>
          </w:p>
        </w:tc>
      </w:tr>
      <w:tr>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Sprint 6</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React 19 Frontend SPA, Live Stream, Network Graph, Docker</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40 pts</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Weeks 16–18</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Full-stack containerized platform, live stream simulator, Blue Book.</w:t>
            </w:r>
          </w:p>
        </w:tc>
      </w:tr>
    </w:tbl>
    <w:p>
      <w:pPr>
        <w:spacing w:after="120"/>
      </w:pPr>
    </w:p>
    <w:p>
      <w:pPr>
        <w:keepNext/>
        <w:spacing w:before="240" w:after="120"/>
      </w:pPr>
      <w:r>
        <w:rPr>
          <w:rFonts w:ascii="Times New Roman" w:hAnsi="Times New Roman"/>
          <w:b/>
          <w:sz w:val="28"/>
        </w:rPr>
        <w:t>3.5.2 Gantt Chart Schedule</w:t>
      </w:r>
    </w:p>
    <w:p>
      <w:pPr>
        <w:spacing w:line="360" w:lineRule="auto" w:after="120"/>
        <w:jc w:val="both"/>
      </w:pPr>
      <w:r>
        <w:rPr>
          <w:rFonts w:ascii="Times New Roman" w:hAnsi="Times New Roman"/>
          <w:sz w:val="24"/>
        </w:rPr>
        <w:t>The visual timeline illustrating task sequencing, dependency relationships, and milestone completions across the academic cycle is shown below:</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w:t>
              <w:br/>
              <w:t>│                            FRAUDSHIELD AI PROJECT GANTT CHART                               │</w:t>
              <w:br/>
              <w:t>│                                                                                             │</w:t>
              <w:br/>
              <w:t>│ Phase / Task Name            W1  W2  W3  W4  W5  W6  W7  W8  W9  W10 W11 W12 W13 W14 W15 W16│</w:t>
              <w:br/>
              <w:t>│ ─────────────────────────────────────────────────────────────────────────────────────────── │</w:t>
              <w:br/>
              <w:t>│ 1. Problem Def &amp; Literature  [██████]                                                       │</w:t>
              <w:br/>
              <w:t>│ 2. Data Acquisition &amp; EDA        [██████]                                                   │</w:t>
              <w:br/>
              <w:t>│ 3. Preprocessing &amp; Resample          [██████]                                               │</w:t>
              <w:br/>
              <w:t>│ 4. Stacking Model Training               [██████████]                                       │</w:t>
              <w:br/>
              <w:t>│ 5. TreeSHAP &amp; Risk Engine                        [██████████]                               │</w:t>
              <w:br/>
              <w:t>│ 6. FastAPI Backend &amp; RBAC                                [██████████]                       │</w:t>
              <w:br/>
              <w:t>│ 7. React 19 Frontend UI                                      [██████████]                   │</w:t>
              <w:br/>
              <w:t>│ 8. Graph &amp; Drift Modules                                             [██████████]           │</w:t>
              <w:br/>
              <w:t>│ 9. Automated Testing &amp; Docker                                                [██████]       │</w:t>
              <w:br/>
              <w:t>│ 10. Blue Book Documentation                                                      [████████] │</w:t>
              <w:br/>
              <w:t>└─────────────────────────────────────────────────────────────────────────────────────────────┘</w:t>
            </w:r>
          </w:p>
        </w:tc>
      </w:tr>
    </w:tbl>
    <w:p>
      <w:pPr>
        <w:spacing w:after="120"/>
      </w:pPr>
    </w:p>
    <w:p>
      <w:pPr>
        <w:keepNext/>
        <w:spacing w:before="280" w:after="160"/>
      </w:pPr>
      <w:r>
        <w:rPr>
          <w:rFonts w:ascii="Times New Roman" w:hAnsi="Times New Roman"/>
          <w:b/>
          <w:sz w:val="32"/>
        </w:rPr>
        <w:t>3.6 System Analysis (Functional, Structural, and Behavioral Models)</w:t>
      </w:r>
    </w:p>
    <w:p>
      <w:pPr>
        <w:spacing w:line="360" w:lineRule="auto" w:after="120"/>
        <w:jc w:val="both"/>
      </w:pPr>
      <w:r>
        <w:rPr>
          <w:rFonts w:ascii="Times New Roman" w:hAnsi="Times New Roman"/>
          <w:sz w:val="24"/>
        </w:rPr>
        <w:t>System analysis provides formal object-oriented and structural models representing system capabilities, entity relationships, and temporal interaction lifecycles.</w:t>
      </w:r>
    </w:p>
    <w:p>
      <w:pPr>
        <w:keepNext/>
        <w:spacing w:before="240" w:after="120"/>
      </w:pPr>
      <w:r>
        <w:rPr>
          <w:rFonts w:ascii="Times New Roman" w:hAnsi="Times New Roman"/>
          <w:b/>
          <w:sz w:val="28"/>
        </w:rPr>
        <w:t>3.6.1 Functional Model: Use Case Diagram &amp; Specifications</w:t>
      </w:r>
    </w:p>
    <w:p>
      <w:pPr>
        <w:spacing w:line="360" w:lineRule="auto" w:after="120"/>
        <w:jc w:val="both"/>
      </w:pPr>
      <w:r>
        <w:rPr>
          <w:rFonts w:ascii="Times New Roman" w:hAnsi="Times New Roman"/>
          <w:sz w:val="24"/>
        </w:rPr>
        <w:t>The Use Case model defines interactions between external human/machine actors and system capabilities:</w:t>
      </w:r>
    </w:p>
    <w:p>
      <w:pPr>
        <w:spacing w:line="360" w:lineRule="auto" w:after="120"/>
        <w:ind w:left="432"/>
      </w:pPr>
      <w:r>
        <w:rPr>
          <w:rFonts w:ascii="Times New Roman" w:hAnsi="Times New Roman"/>
          <w:sz w:val="24"/>
        </w:rPr>
        <w:t>• Actors:</w:t>
      </w:r>
    </w:p>
    <w:p>
      <w:pPr>
        <w:spacing w:line="360" w:lineRule="auto" w:after="120"/>
        <w:ind w:left="432"/>
      </w:pPr>
      <w:r>
        <w:rPr>
          <w:rFonts w:ascii="Times New Roman" w:hAnsi="Times New Roman"/>
          <w:sz w:val="24"/>
        </w:rPr>
        <w:t>1. External Core Banking / Webhook: Machine actor submitting live transaction payloads via API.</w:t>
      </w:r>
    </w:p>
    <w:p>
      <w:pPr>
        <w:spacing w:line="360" w:lineRule="auto" w:after="120"/>
        <w:ind w:left="432"/>
      </w:pPr>
      <w:r>
        <w:rPr>
          <w:rFonts w:ascii="Times New Roman" w:hAnsi="Times New Roman"/>
          <w:sz w:val="24"/>
        </w:rPr>
        <w:t>2. SOC Fraud Analyst: Human security operator monitoring live transaction feeds, triaging alerts, inspecting single transactions, and investigating mule rings.</w:t>
      </w:r>
    </w:p>
    <w:p>
      <w:pPr>
        <w:spacing w:line="360" w:lineRule="auto" w:after="120"/>
        <w:ind w:left="432"/>
      </w:pPr>
      <w:r>
        <w:rPr>
          <w:rFonts w:ascii="Times New Roman" w:hAnsi="Times New Roman"/>
          <w:sz w:val="24"/>
        </w:rPr>
        <w:t>3. Compliance Officer: Regulatory auditor reviewing TreeSHAP attributions, generating FCRA Adverse Action letters, and inspecting audit logs.</w:t>
      </w:r>
    </w:p>
    <w:p>
      <w:pPr>
        <w:spacing w:line="360" w:lineRule="auto" w:after="120"/>
        <w:ind w:left="432"/>
      </w:pPr>
      <w:r>
        <w:rPr>
          <w:rFonts w:ascii="Times New Roman" w:hAnsi="Times New Roman"/>
          <w:sz w:val="24"/>
        </w:rPr>
        <w:t>4. System Administrator: Technical operator executing synthetic drift spikes, triggering federated learning rounds, managing API keys, and managing user accounts.</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 xml:space="preserve">                               USE CASE DIAGRAM: FRAUDSHIELD AI</w:t>
              <w:br/>
              <w:br/>
              <w:t xml:space="preserve">     ┌─────────────────┐                                                 ┌─────────────────┐</w:t>
              <w:br/>
              <w:t xml:space="preserve">     │  Banking Core / │                                                 │   SOC Analyst   │</w:t>
              <w:br/>
              <w:t xml:space="preserve">     │     Webhook     │                                                 │     Actor       │</w:t>
              <w:br/>
              <w:t xml:space="preserve">     └────────┬────────┘                                                 └────────┬────────┘</w:t>
              <w:br/>
              <w:t xml:space="preserve">              │                                                                   │</w:t>
              <w:br/>
              <w:t xml:space="preserve">              │──► [UC-01: Ingest Transaction Payload]                           │</w:t>
              <w:br/>
              <w:t xml:space="preserve">              │──► [UC-02: Synchronous Fraud Risk Scoring] ◄──────────────────────┤</w:t>
              <w:br/>
              <w:t xml:space="preserve">              │                                                                   │</w:t>
              <w:br/>
              <w:t xml:space="preserve">              │                                      [UC-03: View Live Stream] ◄──┤</w:t>
              <w:br/>
              <w:t xml:space="preserve">              │                                      [UC-04: Single Txn Triage]◄──┤</w:t>
              <w:br/>
              <w:t xml:space="preserve">              │                                      [UC-05: Inspect TreeSHAP] ◄──┤</w:t>
              <w:br/>
              <w:t xml:space="preserve">              │                                      [UC-06: Investigate Mule] ◄──┤</w:t>
              <w:br/>
              <w:t xml:space="preserve">              │                                                                   │</w:t>
              <w:br/>
              <w:t xml:space="preserve">     ┌────────┴────────┐                                                 ┌────────┴────────┐</w:t>
              <w:br/>
              <w:t xml:space="preserve">     │   Compliance    │                                                 │  System Admin   │</w:t>
              <w:br/>
              <w:t xml:space="preserve">     │     Officer     │                                                 │     Actor       │</w:t>
              <w:br/>
              <w:t xml:space="preserve">     └────────┬────────┘                                                 └────────┬────────┘</w:t>
              <w:br/>
              <w:t xml:space="preserve">              │                                                                   │</w:t>
              <w:br/>
              <w:t xml:space="preserve">              │──► [UC-07: Generate FCRA Adverse Action Letter]                  │</w:t>
              <w:br/>
              <w:t xml:space="preserve">              │──► [UC-08: Audit Immutable Security Trail] ◄──────────────────────┤</w:t>
              <w:br/>
              <w:t xml:space="preserve">              │──► [UC-09: Monitor Concept Drift Metrics]  ◄──────────────────────┤</w:t>
              <w:br/>
              <w:t xml:space="preserve">              │                                                                   │</w:t>
              <w:br/>
              <w:t xml:space="preserve">              │                                      [UC-10: Trigger FedAvg]   ◄──┤</w:t>
              <w:br/>
              <w:t xml:space="preserve">              │                                      [UC-11: Inject Drift Spike]◄─┤</w:t>
              <w:br/>
              <w:t xml:space="preserve">              │                                      [UC-12: Manage User RBAC] ◄──┘</w:t>
            </w:r>
          </w:p>
        </w:tc>
      </w:tr>
    </w:tbl>
    <w:p>
      <w:pPr>
        <w:spacing w:after="120"/>
      </w:pPr>
    </w:p>
    <w:p>
      <w:pPr>
        <w:keepNext/>
        <w:spacing w:before="240" w:after="120"/>
      </w:pPr>
      <w:r>
        <w:rPr>
          <w:rFonts w:ascii="Times New Roman" w:hAnsi="Times New Roman"/>
          <w:b/>
          <w:sz w:val="28"/>
        </w:rPr>
        <w:t>3.6.2 Structural Model: Unified Class Diagram</w:t>
      </w:r>
    </w:p>
    <w:p>
      <w:pPr>
        <w:spacing w:line="360" w:lineRule="auto" w:after="120"/>
        <w:jc w:val="both"/>
      </w:pPr>
      <w:r>
        <w:rPr>
          <w:rFonts w:ascii="Times New Roman" w:hAnsi="Times New Roman"/>
          <w:sz w:val="24"/>
        </w:rPr>
        <w:t>The class diagram illustrates the object-oriented structure of the backend analytical engines, data schemas, and API gateway:</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                 ┌─────────────────────────────────┐</w:t>
              <w:br/>
              <w:t>│        TransactionPayload       │                 │         PredictionResult        │</w:t>
              <w:br/>
              <w:t>├─────────────────────────────────┤                 ├─────────────────────────────────┤</w:t>
              <w:br/>
              <w:t>│ + domain: str                   │                 │ + transaction_id: str           │</w:t>
              <w:br/>
              <w:t>│ + raw_features: dict            │                 │ + raw_probability: float        │</w:t>
              <w:br/>
              <w:t>│ + timestamp: datetime           │                 │ + risk_score: float             │</w:t>
              <w:br/>
              <w:t>│ + ip_address: Optional[str]     │                 │ + decision_tier: str            │</w:t>
              <w:br/>
              <w:t>├─────────────────────────────────┤                 │ + is_fraud: bool                │</w:t>
              <w:br/>
              <w:t>│ + validate_schema(): bool       │                 │ + latency_ms: float             │</w:t>
              <w:br/>
              <w:t>│ + to_feature_vector(): ndarray  │                 └─────────────────────────────────┘</w:t>
              <w:br/>
              <w:t>└───────────────┬─────────────────┘                                  ▲</w:t>
              <w:br/>
              <w:t xml:space="preserve">                │                                                    │</w:t>
              <w:br/>
              <w:t xml:space="preserve">                ▼                                                    │ generates</w:t>
              <w:br/>
              <w:t>┌─────────────────────────────────┐                                  │</w:t>
              <w:br/>
              <w:t>│        ModelEngineRegistry      │                                  │</w:t>
              <w:br/>
              <w:t>├─────────────────────────────────┤                                  │</w:t>
              <w:br/>
              <w:t>│ - model_heads: dict             │                                  │</w:t>
              <w:br/>
              <w:t>│ - meta_learners: dict           │                                  │</w:t>
              <w:br/>
              <w:t>│ - scalers: dict                 │                                  │</w:t>
              <w:br/>
              <w:t>├─────────────────────────────────┤                                  │</w:t>
              <w:br/>
              <w:t>│ + detect_domain(data): str      │                                  │</w:t>
              <w:br/>
              <w:t>│ + predict(payload): Result ─────┼──────────────────────────────────┘</w:t>
              <w:br/>
              <w:t>│ + get_model_metrics(): dict     │</w:t>
              <w:br/>
              <w:t>└───────────────┬─────────────────┘</w:t>
              <w:br/>
              <w:t xml:space="preserve">                │ delegates to</w:t>
              <w:br/>
              <w:t xml:space="preserve">                ▼</w:t>
              <w:br/>
              <w:t>┌─────────────────────────────────┐                 ┌─────────────────────────────────┐</w:t>
              <w:br/>
              <w:t>│        StackingEnsemble         │                 │         TreeSHAPExplainer       │</w:t>
              <w:br/>
              <w:t>├─────────────────────────────────┤                 ├─────────────────────────────────┤</w:t>
              <w:br/>
              <w:t>│ - xgb_model: XGBClassifier      │                 │ - explainer: TreeExplainer      │</w:t>
              <w:br/>
              <w:t>│ - lgb_model: LGBMClassifier     │                 │ - background_data: ndarray      │</w:t>
              <w:br/>
              <w:t>│ - rf_model: RandomForestClass   │                 ├─────────────────────────────────┤</w:t>
              <w:br/>
              <w:t>│ - meta_learner: LogisticRegress │                 │ + explain_instance(x): dict     │</w:t>
              <w:br/>
              <w:t>├─────────────────────────────────┤                 │ + get_waterfall_plot(x): dict   │</w:t>
              <w:br/>
              <w:t>│ + fit(X, y): void               │                 │ + map_fcra_reason_codes(): list │</w:t>
              <w:br/>
              <w:t>│ + predict_proba(X): ndarray     │                 └─────────────────────────────────┘</w:t>
              <w:br/>
              <w:t>└─────────────────────────────────┘</w:t>
            </w:r>
          </w:p>
        </w:tc>
      </w:tr>
    </w:tbl>
    <w:p>
      <w:pPr>
        <w:spacing w:after="120"/>
      </w:pPr>
    </w:p>
    <w:p>
      <w:pPr>
        <w:keepNext/>
        <w:spacing w:before="240" w:after="120"/>
      </w:pPr>
      <w:r>
        <w:rPr>
          <w:rFonts w:ascii="Times New Roman" w:hAnsi="Times New Roman"/>
          <w:b/>
          <w:sz w:val="28"/>
        </w:rPr>
        <w:t>3.6.3 Behavioral Model: Sequence Diagram</w:t>
      </w:r>
    </w:p>
    <w:p>
      <w:pPr>
        <w:spacing w:line="360" w:lineRule="auto" w:after="120"/>
        <w:jc w:val="both"/>
      </w:pPr>
      <w:r>
        <w:rPr>
          <w:rFonts w:ascii="Times New Roman" w:hAnsi="Times New Roman"/>
          <w:sz w:val="24"/>
        </w:rPr>
        <w:t>The sequence diagram illustrates the temporal execution flow when a client or analyst submits a transaction for scoring, explainability, and graph lookup:</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 xml:space="preserve"> Client / UI              FastAPI Gateway           ModelEngine           TreeSHAP           NetworkX Graph</w:t>
              <w:br/>
              <w:t xml:space="preserve">      │                          │                       │                    │                     │</w:t>
              <w:br/>
              <w:t xml:space="preserve">      │── POST /analyze (JSON) ─►│                       │                    │                     │</w:t>
              <w:br/>
              <w:t xml:space="preserve">      │                          │── validate JWT/Auth ─►│                    │                     │</w:t>
              <w:br/>
              <w:t xml:space="preserve">      │                          │── detect schema ─────►│                    │                     │</w:t>
              <w:br/>
              <w:t xml:space="preserve">      │                          │                       │                    │                     │</w:t>
              <w:br/>
              <w:t xml:space="preserve">      │                          │── predict_proba() ───►│                    │                     │</w:t>
              <w:br/>
              <w:t xml:space="preserve">      │                          │                       │── L0 Base Predict ─│                     │</w:t>
              <w:br/>
              <w:t xml:space="preserve">      │                          │                       │── L1 Meta Predict ─│                     │</w:t>
              <w:br/>
              <w:t xml:space="preserve">      │                          │                       │◄─ raw prob (p) ────│                     │</w:t>
              <w:br/>
              <w:t xml:space="preserve">      │                          │                       │                    │                     │</w:t>
              <w:br/>
              <w:t xml:space="preserve">      │                          │── compute risk score ─│                    │                     │</w:t>
              <w:br/>
              <w:t xml:space="preserve">      │                          │                       │── explain(x) ─────►│                     │</w:t>
              <w:br/>
              <w:t xml:space="preserve">      │                          │                       │◄─ shap values (phi)│                     │</w:t>
              <w:br/>
              <w:t xml:space="preserve">      │                          │                       │                    │                     │</w:t>
              <w:br/>
              <w:t xml:space="preserve">      │                          │── check cycles/mule ────────────────────────────────────────────►│</w:t>
              <w:br/>
              <w:t xml:space="preserve">      │                          │◄── return mule score &amp; cycle flag ───────────────────────────────│</w:t>
              <w:br/>
              <w:t xml:space="preserve">      │                          │                       │                    │                     │</w:t>
              <w:br/>
              <w:t xml:space="preserve">      │                          │── compile JSON result │                    │                     │</w:t>
              <w:br/>
              <w:t xml:space="preserve">      │◄── HTTP 200 (Risk, XAI) ─│                       │                    │                     │</w:t>
            </w:r>
          </w:p>
        </w:tc>
      </w:tr>
    </w:tbl>
    <w:p>
      <w:pPr>
        <w:spacing w:after="120"/>
      </w:pPr>
    </w:p>
    <w:p>
      <w:pPr>
        <w:spacing w:line="360" w:lineRule="auto" w:after="120"/>
        <w:jc w:val="both"/>
      </w:pPr>
      <w:r>
        <w:rPr>
          <w:rFonts w:ascii="Times New Roman" w:hAnsi="Times New Roman"/>
          <w:sz w:val="24"/>
        </w:rPr>
        <w:t>End of Chapter 3 — Requirement Gathering, Analysis and Planning</w:t>
      </w:r>
    </w:p>
    <w:p>
      <w:r>
        <w:br w:type="page"/>
      </w:r>
    </w:p>
    <w:p>
      <w:pPr>
        <w:keepNext/>
        <w:spacing w:before="400" w:after="200"/>
        <w:jc w:val="center"/>
      </w:pPr>
      <w:r>
        <w:rPr>
          <w:rFonts w:ascii="Times New Roman" w:hAnsi="Times New Roman"/>
          <w:b/>
          <w:sz w:val="36"/>
        </w:rPr>
        <w:t>Chapter 4: System Design and Experimental Set up</w:t>
      </w:r>
    </w:p>
    <w:p>
      <w:pPr>
        <w:keepNext/>
        <w:spacing w:before="280" w:after="160"/>
      </w:pPr>
      <w:r>
        <w:rPr>
          <w:rFonts w:ascii="Times New Roman" w:hAnsi="Times New Roman"/>
          <w:b/>
          <w:sz w:val="32"/>
        </w:rPr>
        <w:t>4.1 System Architecture &amp; Diagrams</w:t>
      </w:r>
    </w:p>
    <w:p>
      <w:pPr>
        <w:spacing w:line="360" w:lineRule="auto" w:after="120"/>
        <w:jc w:val="both"/>
      </w:pPr>
      <w:r>
        <w:rPr>
          <w:rFonts w:ascii="Times New Roman" w:hAnsi="Times New Roman"/>
          <w:sz w:val="24"/>
        </w:rPr>
        <w:t>System design translates the functional, performance, and regulatory requirements formulated in Chapter 3 into a concrete, robust engineering specification. The architecture of FraudShield AI is engineered around principles of loose coupling, high cohesion, asynchronous execution, and mathematical transparency.</w:t>
      </w:r>
    </w:p>
    <w:p>
      <w:pPr>
        <w:keepNext/>
        <w:spacing w:before="240" w:after="120"/>
      </w:pPr>
      <w:r>
        <w:rPr>
          <w:rFonts w:ascii="Times New Roman" w:hAnsi="Times New Roman"/>
          <w:b/>
          <w:sz w:val="28"/>
        </w:rPr>
        <w:t>4.1.1 Data Flow Diagrams (DFD)</w:t>
      </w:r>
    </w:p>
    <w:p>
      <w:pPr>
        <w:spacing w:line="360" w:lineRule="auto" w:after="120"/>
        <w:jc w:val="both"/>
      </w:pPr>
      <w:r>
        <w:rPr>
          <w:rFonts w:ascii="Times New Roman" w:hAnsi="Times New Roman"/>
          <w:sz w:val="24"/>
        </w:rPr>
        <w:t>Data Flow Diagrams model the movement, transformation, and storage of financial transaction data across system boundaries.</w:t>
      </w:r>
    </w:p>
    <w:p>
      <w:pPr>
        <w:keepNext/>
        <w:spacing w:before="200" w:after="80"/>
      </w:pPr>
      <w:r>
        <w:rPr>
          <w:rFonts w:ascii="Times New Roman" w:hAnsi="Times New Roman"/>
          <w:b/>
          <w:sz w:val="24"/>
        </w:rPr>
        <w:t>4.1.1.1 DFD Level 0 (Context Diagram)</w:t>
      </w:r>
    </w:p>
    <w:p>
      <w:pPr>
        <w:spacing w:line="360" w:lineRule="auto" w:after="120"/>
        <w:jc w:val="both"/>
      </w:pPr>
      <w:r>
        <w:rPr>
          <w:rFonts w:ascii="Times New Roman" w:hAnsi="Times New Roman"/>
          <w:sz w:val="24"/>
        </w:rPr>
        <w:t>The Level 0 context diagram represents the overall system boundary, external entities, and high-level data conduits:</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                               ┌────────────────────────────────┐</w:t>
              <w:br/>
              <w:t>│   External Banking Core /      │ ─── Transaction Ingestion ──► │                                │</w:t>
              <w:br/>
              <w:t>│      Merchant Webhook          │ ◄─── Auth Flag &amp; Risk Score ── │                                │</w:t>
              <w:br/>
              <w:t>└────────────────────────────────┘                               │                                │</w:t>
              <w:br/>
              <w:t xml:space="preserve">                                                                 │                                │</w:t>
              <w:br/>
              <w:t>┌────────────────────────────────┐                               │                                │</w:t>
              <w:br/>
              <w:t>│                                │ ─── Analyst Override &amp; Triage►│       FRAUDSHIELD AI           │</w:t>
              <w:br/>
              <w:t>│       SOC Fraud Analyst        │ ◄─── Stream Feed &amp; Network ───│    INTELLIGENT DECISION        │</w:t>
              <w:br/>
              <w:t>│                                │                               │          PLATFORM              │</w:t>
              <w:br/>
              <w:t>└────────────────────────────────┘                               │                                │</w:t>
              <w:br/>
              <w:t xml:space="preserve">                                                                 │                                │</w:t>
              <w:br/>
              <w:t>┌────────────────────────────────┐                               │                                │</w:t>
              <w:br/>
              <w:t>│                                │ ─── Audit &amp; Dispute Inquiries►│                                │</w:t>
              <w:br/>
              <w:t>│       Compliance Officer       │ ◄─── TreeSHAP &amp; FCRA Reason ── │                                │</w:t>
              <w:br/>
              <w:t>└────────────────────────────────┘                               └────────────────────────────────┘</w:t>
            </w:r>
          </w:p>
        </w:tc>
      </w:tr>
    </w:tbl>
    <w:p>
      <w:pPr>
        <w:spacing w:after="120"/>
      </w:pPr>
    </w:p>
    <w:p>
      <w:pPr>
        <w:keepNext/>
        <w:spacing w:before="200" w:after="80"/>
      </w:pPr>
      <w:r>
        <w:rPr>
          <w:rFonts w:ascii="Times New Roman" w:hAnsi="Times New Roman"/>
          <w:b/>
          <w:sz w:val="24"/>
        </w:rPr>
        <w:t>4.1.1.2 DFD Level 1 (Modular Functional Decomposition)</w:t>
      </w:r>
    </w:p>
    <w:p>
      <w:pPr>
        <w:spacing w:line="360" w:lineRule="auto" w:after="120"/>
        <w:jc w:val="both"/>
      </w:pPr>
      <w:r>
        <w:rPr>
          <w:rFonts w:ascii="Times New Roman" w:hAnsi="Times New Roman"/>
          <w:sz w:val="24"/>
        </w:rPr>
        <w:t>The Level 1 DFD decomposes the system into six primary process components and persistent data stores:</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 xml:space="preserve">                      [ Incoming Transaction Payload ]</w:t>
              <w:br/>
              <w:t xml:space="preserve">                                     │</w:t>
              <w:br/>
              <w:t xml:space="preserve">                                     ▼</w:t>
              <w:br/>
              <w:t xml:space="preserve">                      ┌──────────────────────────────┐</w:t>
              <w:br/>
              <w:t xml:space="preserve">                      │    1.0 Ingestion &amp; Security  │</w:t>
              <w:br/>
              <w:t xml:space="preserve">                      │         (FastAPI Auth)       │</w:t>
              <w:br/>
              <w:t xml:space="preserve">                      └──────────────┬───────────────┘</w:t>
              <w:br/>
              <w:t xml:space="preserve">                                     │ Validated Data</w:t>
              <w:br/>
              <w:t xml:space="preserve">                                     ▼</w:t>
              <w:br/>
              <w:t xml:space="preserve">                      ┌──────────────────────────────┐</w:t>
              <w:br/>
              <w:t xml:space="preserve">                      │    2.0 Schema Detection &amp;    │</w:t>
              <w:br/>
              <w:t xml:space="preserve">                      │        Domain Routing        │</w:t>
              <w:br/>
              <w:t xml:space="preserve">                      └──────────────┬───────────────┘</w:t>
              <w:br/>
              <w:t xml:space="preserve">                                     │ Normalized Features</w:t>
              <w:br/>
              <w:t xml:space="preserve">                                     ▼</w:t>
              <w:br/>
              <w:t xml:space="preserve">        ┌────────────────────────────────────────────────────────┐</w:t>
              <w:br/>
              <w:t xml:space="preserve">        │                                                        │</w:t>
              <w:br/>
              <w:t xml:space="preserve">        ▼                                                        ▼</w:t>
              <w:br/>
              <w:t>┌──────────────────────────────┐                         ┌──────────────────────────────┐</w:t>
              <w:br/>
              <w:t>│  3.0 Stacking Ensemble       │                         │  4.0 Explainable AI          │</w:t>
              <w:br/>
              <w:t>│      Predictive Engine       │ ── Raw Probability (p) ─│      (TreeSHAP Engine)       │</w:t>
              <w:br/>
              <w:t>└──────────────┬───────────────┘                         └──────────────┬───────────────┘</w:t>
              <w:br/>
              <w:t xml:space="preserve">               │                                                        │ Shapley Values (phi)</w:t>
              <w:br/>
              <w:t xml:space="preserve">               ▼                                                        ▼</w:t>
              <w:br/>
              <w:t>┌──────────────────────────────┐                         ┌──────────────────────────────┐</w:t>
              <w:br/>
              <w:t>│  5.0 Calibrated Continuous   │                         │  6.0 Graph Intelligence &amp;    │</w:t>
              <w:br/>
              <w:t>│      Risk Engine (3-Tier)    │                         │      Mule Ring Analyzer      │</w:t>
              <w:br/>
              <w:t>└──────────────┬───────────────┘                         └──────────────┬───────────────┘</w:t>
              <w:br/>
              <w:t xml:space="preserve">               │                                                        │</w:t>
              <w:br/>
              <w:t xml:space="preserve">               └────────────────────────┬───────────────────────────────┘</w:t>
              <w:br/>
              <w:t xml:space="preserve">                                        │ Composite Decision &amp; XAI Metadata</w:t>
              <w:br/>
              <w:t xml:space="preserve">                                        ▼</w:t>
              <w:br/>
              <w:t xml:space="preserve">                         ┌──────────────────────────────┐</w:t>
              <w:br/>
              <w:t xml:space="preserve">                         │   Client Response Delivery   │</w:t>
              <w:br/>
              <w:t xml:space="preserve">                         │    &amp; Immutable Audit Log     │</w:t>
              <w:br/>
              <w:t xml:space="preserve">                         └──────────────────────────────┘</w:t>
            </w:r>
          </w:p>
        </w:tc>
      </w:tr>
    </w:tbl>
    <w:p>
      <w:pPr>
        <w:spacing w:after="120"/>
      </w:pPr>
    </w:p>
    <w:p>
      <w:pPr>
        <w:keepNext/>
        <w:spacing w:before="200" w:after="80"/>
      </w:pPr>
      <w:r>
        <w:rPr>
          <w:rFonts w:ascii="Times New Roman" w:hAnsi="Times New Roman"/>
          <w:b/>
          <w:sz w:val="24"/>
        </w:rPr>
        <w:t>4.1.1.3 DFD Level 2 (In-Depth Analytical Scoring &amp; Graph Process)</w:t>
      </w:r>
    </w:p>
    <w:p>
      <w:pPr>
        <w:spacing w:line="360" w:lineRule="auto" w:after="120"/>
        <w:jc w:val="both"/>
      </w:pPr>
      <w:r>
        <w:rPr>
          <w:rFonts w:ascii="Times New Roman" w:hAnsi="Times New Roman"/>
          <w:sz w:val="24"/>
        </w:rPr>
        <w:t>The Level 2 DFD details the internal computational mechanics of Process 3.0, 4.0, and 6.0:</w:t>
      </w:r>
    </w:p>
    <w:p>
      <w:pPr>
        <w:spacing w:line="360" w:lineRule="auto" w:after="120"/>
        <w:ind w:left="432"/>
      </w:pPr>
      <w:r>
        <w:rPr>
          <w:rFonts w:ascii="Times New Roman" w:hAnsi="Times New Roman"/>
          <w:sz w:val="24"/>
        </w:rPr>
        <w:t>1. Process 3.1 (Feature Scaling): Raw continuous attributes pass through domain-specific RobustScaler objects stored in backend/models/.pkl.</w:t>
      </w:r>
    </w:p>
    <w:p>
      <w:pPr>
        <w:spacing w:line="360" w:lineRule="auto" w:after="120"/>
        <w:ind w:left="432"/>
      </w:pPr>
      <w:r>
        <w:rPr>
          <w:rFonts w:ascii="Times New Roman" w:hAnsi="Times New Roman"/>
          <w:sz w:val="24"/>
        </w:rPr>
        <w:t>2. Process 3.2 (Base Learner Inference): Scaled feature vector $\mathbf{x}$ is evaluated simultaneously by XGBoost, LightGBM, and Random Forest base models, generating three probability vectors: $\hat{p}{</w:t>
        <w:tab/>
        <w:t>ext{xgb}}, \hat{p}{</w:t>
        <w:tab/>
        <w:t>ext{lgb}}, \hat{p}{</w:t>
        <w:tab/>
        <w:t>ext{rf}}$.</w:t>
      </w:r>
    </w:p>
    <w:p>
      <w:pPr>
        <w:spacing w:line="360" w:lineRule="auto" w:after="120"/>
        <w:ind w:left="432"/>
      </w:pPr>
      <w:r>
        <w:rPr>
          <w:rFonts w:ascii="Times New Roman" w:hAnsi="Times New Roman"/>
          <w:sz w:val="24"/>
        </w:rPr>
        <w:t>3. Process 3.3 (Meta-Learner Fusion): The meta-feature vector $[\hat{p}{</w:t>
        <w:tab/>
        <w:t>ext{xgb}}, \hat{p}{</w:t>
        <w:tab/>
        <w:t>ext{lgb}}, \hat{p}{</w:t>
        <w:tab/>
        <w:t>ext{rf}}]$ is fed into the Level-1 Logistic Regression classifier to yield the unified posterior probability $p = \sigma(\mathbf{w}^T \mathbf{p}{</w:t>
        <w:tab/>
        <w:t>ext{meta}} + b)$.</w:t>
      </w:r>
    </w:p>
    <w:p>
      <w:pPr>
        <w:spacing w:line="360" w:lineRule="auto" w:after="120"/>
        <w:ind w:left="432"/>
      </w:pPr>
      <w:r>
        <w:rPr>
          <w:rFonts w:ascii="Times New Roman" w:hAnsi="Times New Roman"/>
          <w:sz w:val="24"/>
        </w:rPr>
        <w:t>4. Process 4.1 (TreeSHAP Evaluation): The pre-compiled TreeExplainer evaluates feature splits across trees, calculating exact marginal Shapley contributions $\phii$.</w:t>
      </w:r>
    </w:p>
    <w:p>
      <w:pPr>
        <w:spacing w:line="360" w:lineRule="auto" w:after="120"/>
        <w:ind w:left="432"/>
      </w:pPr>
      <w:r>
        <w:rPr>
          <w:rFonts w:ascii="Times New Roman" w:hAnsi="Times New Roman"/>
          <w:sz w:val="24"/>
        </w:rPr>
        <w:t>5. Process 4.2 (Reason Code Mapping): Features with $\phii &gt; 0$ are sorted in descending order of magnitude. The top three features are cross-referenced with the FCRA Reason Code dictionary to yield human-readable descriptions.</w:t>
      </w:r>
    </w:p>
    <w:p>
      <w:pPr>
        <w:spacing w:line="360" w:lineRule="auto" w:after="120"/>
        <w:ind w:left="432"/>
      </w:pPr>
      <w:r>
        <w:rPr>
          <w:rFonts w:ascii="Times New Roman" w:hAnsi="Times New Roman"/>
          <w:sz w:val="24"/>
        </w:rPr>
        <w:t>6. Process 6.1 (Graph Ingestion &amp; Cycle Traversal): Source account and destination account are added as directed edges to the NetworkX graph. Tarjan’s Strongly Connected Components and depth-first search (DFS) identify if the transaction completes a cycle ($A</w:t>
      </w:r>
    </w:p>
    <w:p>
      <w:pPr>
        <w:spacing w:line="360" w:lineRule="auto" w:after="120"/>
        <w:jc w:val="both"/>
      </w:pPr>
      <w:r>
        <w:rPr>
          <w:rFonts w:ascii="Times New Roman" w:hAnsi="Times New Roman"/>
          <w:sz w:val="24"/>
        </w:rPr>
        <w:t>ightarrow B</w:t>
      </w:r>
    </w:p>
    <w:p>
      <w:pPr>
        <w:spacing w:line="360" w:lineRule="auto" w:after="120"/>
        <w:jc w:val="both"/>
      </w:pPr>
      <w:r>
        <w:rPr>
          <w:rFonts w:ascii="Times New Roman" w:hAnsi="Times New Roman"/>
          <w:sz w:val="24"/>
        </w:rPr>
        <w:t>ightarrow C</w:t>
      </w:r>
    </w:p>
    <w:p>
      <w:pPr>
        <w:spacing w:line="360" w:lineRule="auto" w:after="120"/>
        <w:jc w:val="both"/>
      </w:pPr>
      <w:r>
        <w:rPr>
          <w:rFonts w:ascii="Times New Roman" w:hAnsi="Times New Roman"/>
          <w:sz w:val="24"/>
        </w:rPr>
        <w:t>ightarrow A$).</w:t>
      </w:r>
    </w:p>
    <w:p>
      <w:pPr>
        <w:spacing w:line="360" w:lineRule="auto" w:after="120"/>
        <w:ind w:left="432"/>
      </w:pPr>
      <w:r>
        <w:rPr>
          <w:rFonts w:ascii="Times New Roman" w:hAnsi="Times New Roman"/>
          <w:sz w:val="24"/>
        </w:rPr>
        <w:t>7. Process 6.2 (Mule Risk Scoring): The account’s out-degree to in-degree ratio, transaction velocity in the preceding 60 minutes, and balance liquidation delta are synthesized into an integer Mule Score ($0-100$).</w:t>
      </w:r>
    </w:p>
    <w:p>
      <w:pPr>
        <w:keepNext/>
        <w:spacing w:before="240" w:after="120"/>
      </w:pPr>
      <w:r>
        <w:rPr>
          <w:rFonts w:ascii="Times New Roman" w:hAnsi="Times New Roman"/>
          <w:b/>
          <w:sz w:val="28"/>
        </w:rPr>
        <w:t>4.1.2 Microservices &amp; Network Deployment Topology</w:t>
      </w:r>
    </w:p>
    <w:p>
      <w:pPr>
        <w:spacing w:line="360" w:lineRule="auto" w:after="120"/>
        <w:jc w:val="both"/>
      </w:pPr>
      <w:r>
        <w:rPr>
          <w:rFonts w:ascii="Times New Roman" w:hAnsi="Times New Roman"/>
          <w:sz w:val="24"/>
        </w:rPr>
        <w:t>FraudShield AI is deployed as containerized microservices orchestrated via Docker Compose. The topology isolates the frontend presentation layer, API gateway, and analytical engines:</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w:t>
              <w:br/>
              <w:t>│                                 EDGE NETWORK / CLIENT LAYER                                 │</w:t>
              <w:br/>
              <w:t>│                                                                                             │</w:t>
              <w:br/>
              <w:t>│       Browser Client (Analyst / Auditor)                  External Core Banking API         │</w:t>
              <w:br/>
              <w:t>│                        │                                               │                    │</w:t>
              <w:br/>
              <w:t>│                        ▼                                               ▼                    │</w:t>
              <w:br/>
              <w:t>│                 [ HTTPS : 443 ]                                 [ HTTPS : 443 ]             │</w:t>
              <w:br/>
              <w:t>└────────────────────────┼───────────────────────────────────────────────┼────────────────────┘</w:t>
              <w:br/>
              <w:t xml:space="preserve">                         │                                               │</w:t>
              <w:br/>
              <w:t xml:space="preserve">                         ▼                                               ▼</w:t>
              <w:br/>
              <w:t>┌─────────────────────────────────────────────────────────────────────────────────────────────┐</w:t>
              <w:br/>
              <w:t>│                               DOCKER CONTAINER ORCHESTRATION                                │</w:t>
              <w:br/>
              <w:t>│                                                                                             │</w:t>
              <w:br/>
              <w:t>│  ┌──────────────────────────────────────────────┐                                           │</w:t>
              <w:br/>
              <w:t>│  │  Container 1: Frontend SPA (Nginx / Vite)   │                                           │</w:t>
              <w:br/>
              <w:t>│  │  Port 3000 -&gt; 80                             │                                           │</w:t>
              <w:br/>
              <w:t>│  │  - React 19 UI Modules &amp; Dashboards         │                                           │</w:t>
              <w:br/>
              <w:t>│  │  - Static Asset Gzip Compression             │                                           │</w:t>
              <w:br/>
              <w:t>│  └──────────────────────┬───────────────────────┘                                           │</w:t>
              <w:br/>
              <w:t>│                         │ Internal HTTP Proxy                                               │</w:t>
              <w:br/>
              <w:t>│                         ▼                                                                   │</w:t>
              <w:br/>
              <w:t>│  ┌───────────────────────────────────────────────────────────────────────────────────────┐  │</w:t>
              <w:br/>
              <w:t>│  │  Container 2: Backend API Gateway (FastAPI / Uvicorn)                                 │  │</w:t>
              <w:br/>
              <w:t>│  │  Port 8008 -&gt; 8008                                                                    │  │</w:t>
              <w:br/>
              <w:t>│  │  ┌───────────────────────────────┐     ┌───────────────────────────────────────────┐  │  │</w:t>
              <w:br/>
              <w:t>│  │  │ Security &amp; Auth (JWT / RBAC)  │     │ Sliding-Window Anti-DDoS Rate Limiter     │  │  │</w:t>
              <w:br/>
              <w:t>│  │  └───────────────┬───────────────┘     └───────────────────────────────────────────┘  │  │</w:t>
              <w:br/>
              <w:t>│  │                  │                                                                    │  │</w:t>
              <w:br/>
              <w:t>│  │                  ▼                                                                    │  │</w:t>
              <w:br/>
              <w:t>│  │  ┌─────────────────────────────────────────────────────────────────────────────────┐  │  │</w:t>
              <w:br/>
              <w:t>│  │  │ Analytical Engine Runtime (Python 3.12 Asynchronous Workers)                    │  │  │</w:t>
              <w:br/>
              <w:t>│  │  │ - ModelEngineRegistry (PaySim, CreditCard PCA, Spatial, BankSim)                │  │  │</w:t>
              <w:br/>
              <w:t>│  │  │ - Stacking Ensemble (XGBoost, LightGBM, Random Forest, Logistic Regression)     │  │  │</w:t>
              <w:br/>
              <w:t>│  │  │ - Explainable AI (TreeSHAP Exact Feature Attribution)                           │  │  │</w:t>
              <w:br/>
              <w:t>│  │  │ - Graph Engine (NetworkX In-Memory Mule Ring Topology)                          │  │  │</w:t>
              <w:br/>
              <w:t>│  │  │ - Drift Monitor (Kolmogorov-Smirnov &amp; Population Stability Index)               │  │  │</w:t>
              <w:br/>
              <w:t>│  │  │ - Federated Simulator (FedAvg Multi-Bank Collaborative Training)                │  │  │</w:t>
              <w:br/>
              <w:t>│  │  └─────────────────────────────────────────────────────────────────────────────────┘  │  │</w:t>
              <w:br/>
              <w:t>│  └───────────────────────────────────────────────────────────────────────────────────────┘  │</w:t>
              <w:br/>
              <w:t>└─────────────────────────────────────────────────────────────────────────────────────────────┘</w:t>
            </w:r>
          </w:p>
        </w:tc>
      </w:tr>
    </w:tbl>
    <w:p>
      <w:pPr>
        <w:spacing w:after="120"/>
      </w:pPr>
    </w:p>
    <w:p>
      <w:pPr>
        <w:keepNext/>
        <w:spacing w:before="280" w:after="160"/>
      </w:pPr>
      <w:r>
        <w:rPr>
          <w:rFonts w:ascii="Times New Roman" w:hAnsi="Times New Roman"/>
          <w:b/>
          <w:sz w:val="32"/>
        </w:rPr>
        <w:t>4.2 Algorithm &amp; Process Flow Design</w:t>
      </w:r>
    </w:p>
    <w:p>
      <w:pPr>
        <w:spacing w:line="360" w:lineRule="auto" w:after="120"/>
        <w:jc w:val="both"/>
      </w:pPr>
      <w:r>
        <w:rPr>
          <w:rFonts w:ascii="Times New Roman" w:hAnsi="Times New Roman"/>
          <w:sz w:val="24"/>
        </w:rPr>
        <w:t>This section formalizes the core mathematical algorithms powering FraudShield AI, presenting complete procedural pseudocode and design specifications.</w:t>
      </w:r>
    </w:p>
    <w:p>
      <w:pPr>
        <w:keepNext/>
        <w:spacing w:before="240" w:after="120"/>
      </w:pPr>
      <w:r>
        <w:rPr>
          <w:rFonts w:ascii="Times New Roman" w:hAnsi="Times New Roman"/>
          <w:b/>
          <w:sz w:val="28"/>
        </w:rPr>
        <w:t>4.2.1 Algorithm 1: OmniSMOTE Resampling &amp; RobustScaler Pipeline</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Algorithm 1: OmniSMOTE Resampling &amp; RobustScaler Preprocessing</w:t>
              <w:br/>
              <w:t>Input: Training dataset D_train = {(x_k, y_k)}_{k=1}^N, where x_k in R^m, y_k in {0, 1}</w:t>
              <w:br/>
              <w:t xml:space="preserve">       Target minority sampling ratio r = 0.50, Nearest neighbors k_neighbors = 5</w:t>
              <w:br/>
              <w:t>Output: Scaled and balanced training dataset D_bal, Fitted scaler S</w:t>
              <w:br/>
              <w:br/>
              <w:t>1: Initialize S &lt;- RobustScaler()</w:t>
              <w:br/>
              <w:t>2: For each feature dimension j in {1, ..., m}:</w:t>
              <w:br/>
              <w:t>3:     Compute Median Q_2(j) and Interquartile Range IQR(j) = Q_3(j) - Q_1(j)</w:t>
              <w:br/>
              <w:t>4:     For each sample x_k:</w:t>
              <w:br/>
              <w:t>5:         x_k[j] &lt;- (x_k[j] - Q_2(j)) / (IQR(j) + eps)</w:t>
              <w:br/>
              <w:t>6: End For</w:t>
              <w:br/>
              <w:br/>
              <w:t>7: Partition D_train into Majority Class D_0 and Minority Class D_1</w:t>
              <w:br/>
              <w:t>8: Compute required synthetic samples: N_syn = floor(r * |D_0|) - |D_1|</w:t>
              <w:br/>
              <w:t>9: Initialize Synthetic Set D_syn &lt;- {}</w:t>
              <w:br/>
              <w:br/>
              <w:t>10: Construct k-d Tree index on D_1</w:t>
              <w:br/>
              <w:t>11: For step = 1 to N_syn:</w:t>
              <w:br/>
              <w:t>12:     Randomly select sample x_i in D_1</w:t>
              <w:br/>
              <w:t>13:     Find k-nearest neighbors N_k(x_i) within D_1</w:t>
              <w:br/>
              <w:t>14:     Randomly select neighbor x_nn in N_k(x_i)</w:t>
              <w:br/>
              <w:t>15:     Sample random interpolation weight lambda ~ Uniform(0, 1)</w:t>
              <w:br/>
              <w:t>16:     Compute candidate: x_new = x_i + lambda * (x_nn - x_i)</w:t>
              <w:br/>
              <w:t xml:space="preserve">17:     </w:t>
              <w:br/>
              <w:t>18:     // OmniSMOTE Topological Boundary Filter:</w:t>
              <w:br/>
              <w:t>19:     Find nearest neighbor x_maj in D_0 to x_new</w:t>
              <w:br/>
              <w:t>20:     If Euclidean_Distance(x_new, x_i) &lt; Euclidean_Distance(x_new, x_maj):</w:t>
              <w:br/>
              <w:t>21:         D_syn &lt;- D_syn union {(x_new, 1)}</w:t>
              <w:br/>
              <w:t>22:     Else:</w:t>
              <w:br/>
              <w:t>23:         Reject x_new and continue</w:t>
              <w:br/>
              <w:t>24:     End If</w:t>
              <w:br/>
              <w:t>25: End For</w:t>
              <w:br/>
              <w:br/>
              <w:t>26: D_bal &lt;- D_0 union D_1 union D_syn</w:t>
              <w:br/>
              <w:t>27: Return D_bal, S</w:t>
            </w:r>
          </w:p>
        </w:tc>
      </w:tr>
    </w:tbl>
    <w:p>
      <w:pPr>
        <w:spacing w:after="120"/>
      </w:pPr>
    </w:p>
    <w:p>
      <w:pPr>
        <w:keepNext/>
        <w:spacing w:before="240" w:after="120"/>
      </w:pPr>
      <w:r>
        <w:rPr>
          <w:rFonts w:ascii="Times New Roman" w:hAnsi="Times New Roman"/>
          <w:b/>
          <w:sz w:val="28"/>
        </w:rPr>
        <w:t>4.2.2 Algorithm 2: Hybrid Stacking Ensemble Training &amp; Out-of-Fold Meta-Learning</w:t>
      </w:r>
    </w:p>
    <w:p>
      <w:pPr>
        <w:keepNext/>
        <w:spacing w:before="240" w:after="80"/>
        <w:jc w:val="center"/>
      </w:pPr>
      <w:r>
        <w:drawing>
          <wp:inline xmlns:a="http://schemas.openxmlformats.org/drawingml/2006/main" xmlns:pic="http://schemas.openxmlformats.org/drawingml/2006/picture">
            <wp:extent cx="5303520" cy="2960104"/>
            <wp:docPr id="26" name="Picture 26"/>
            <wp:cNvGraphicFramePr>
              <a:graphicFrameLocks noChangeAspect="1"/>
            </wp:cNvGraphicFramePr>
            <a:graphic>
              <a:graphicData uri="http://schemas.openxmlformats.org/drawingml/2006/picture">
                <pic:pic>
                  <pic:nvPicPr>
                    <pic:cNvPr id="0" name="fig15_stacking.jpg"/>
                    <pic:cNvPicPr/>
                  </pic:nvPicPr>
                  <pic:blipFill>
                    <a:blip r:embed="rId10"/>
                    <a:stretch>
                      <a:fillRect/>
                    </a:stretch>
                  </pic:blipFill>
                  <pic:spPr>
                    <a:xfrm>
                      <a:off x="0" y="0"/>
                      <a:ext cx="5303520" cy="2960104"/>
                    </a:xfrm>
                    <a:prstGeom prst="rect"/>
                  </pic:spPr>
                </pic:pic>
              </a:graphicData>
            </a:graphic>
          </wp:inline>
        </w:drawing>
      </w:r>
    </w:p>
    <w:p>
      <w:pPr>
        <w:keepNext/>
        <w:spacing w:before="80" w:after="280"/>
        <w:jc w:val="center"/>
      </w:pPr>
      <w:r>
        <w:rPr>
          <w:rFonts w:ascii="Times New Roman" w:hAnsi="Times New Roman"/>
          <w:b/>
          <w:i/>
          <w:sz w:val="21"/>
        </w:rPr>
        <w:t>Figure 15: Stacking Ensemble Architecture with XGBoost, LightGBM, RF, and Meta-Learner</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Algorithm 2: Hybrid Stacking Ensemble with Cross-Validated Meta-Learner</w:t>
              <w:br/>
              <w:t>Input: Balanced training data D_bal = {(x_i, y_i)}_{i=1}^M, Number of CV folds K = 5</w:t>
              <w:br/>
              <w:t xml:space="preserve">       Base estimators: M_1 (XGBoost), M_2 (LightGBM), M_3 (Random Forest)</w:t>
              <w:br/>
              <w:t xml:space="preserve">       Meta-learner: M_meta (Logistic Regression)</w:t>
              <w:br/>
              <w:t>Output: Fitted Stacking Ensemble Model M_stack</w:t>
              <w:br/>
              <w:br/>
              <w:t>1: Compute positive class scale weight: w_pos = |{y_i = 0}| / |{y_i = 1}|</w:t>
              <w:br/>
              <w:t>2: Configure M_1 with scale_pos_weight = w_pos</w:t>
              <w:br/>
              <w:t>3: Configure M_2 with scale_pos_weight = w_pos</w:t>
              <w:br/>
              <w:br/>
              <w:t>4: Partition D_bal into K stratified folds: F_1, F_2, ..., F_K</w:t>
              <w:br/>
              <w:t>5: Initialize Out-of-Fold meta-feature matrix P_meta in R^{M x 3}</w:t>
              <w:br/>
              <w:br/>
              <w:t>6: For each fold k in {1, ..., K}:</w:t>
              <w:br/>
              <w:t>7:     D_train_k &lt;- D_bal \ F_k</w:t>
              <w:br/>
              <w:t>8:     D_val_k   &lt;- F_k</w:t>
              <w:br/>
              <w:t xml:space="preserve">9:     </w:t>
              <w:br/>
              <w:t>10:    Fit temporary estimators M_1^(k), M_2^(k), M_3^(k) on D_train_k</w:t>
              <w:br/>
              <w:t>11:    For each sample x_j in D_val_k:</w:t>
              <w:br/>
              <w:t>12:        p_1 &lt;- M_1^(k).predict_proba(x_j)[1]</w:t>
              <w:br/>
              <w:t>13:        p_2 &lt;- M_2^(k).predict_proba(x_j)[1]</w:t>
              <w:br/>
              <w:t>14:        p_3 &lt;- M_3^(k).predict_proba(x_j)[1]</w:t>
              <w:br/>
              <w:t>15:        P_meta[j, :] &lt;- [p_1, p_2, p_3]</w:t>
              <w:br/>
              <w:t>16:    End For</w:t>
              <w:br/>
              <w:t>17: End For</w:t>
              <w:br/>
              <w:br/>
              <w:t>18: Train Meta-Learner M_meta on (P_meta, y) minimizing L2-regularized log-loss:</w:t>
              <w:br/>
              <w:t>19:     min_w { - sum [ y_i ln sigma(w^T p_i) + (1-y_i) ln(1 - sigma(w^T p_i)) ] + (1/2C) ||w||_2^2 }</w:t>
              <w:br/>
              <w:br/>
              <w:t>20: Retrain base models M_1, M_2, M_3 on full dataset D_bal</w:t>
              <w:br/>
              <w:t>21: Construct M_stack &lt;- {Base: [M_1, M_2, M_3], Meta: M_meta}</w:t>
              <w:br/>
              <w:t>22: Return M_stack</w:t>
            </w:r>
          </w:p>
        </w:tc>
      </w:tr>
    </w:tbl>
    <w:p>
      <w:pPr>
        <w:spacing w:after="120"/>
      </w:pPr>
    </w:p>
    <w:p>
      <w:pPr>
        <w:keepNext/>
        <w:spacing w:before="240" w:after="120"/>
      </w:pPr>
      <w:r>
        <w:rPr>
          <w:rFonts w:ascii="Times New Roman" w:hAnsi="Times New Roman"/>
          <w:b/>
          <w:sz w:val="28"/>
        </w:rPr>
        <w:t>4.2.3 Algorithm 3: Continuous Calibrated Risk Scoring &amp; 3-Tier Classification</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Algorithm 3: Calibrated Continuous Risk Scoring &amp; Decision Tier Assignment</w:t>
              <w:br/>
              <w:t>Input: Incoming transaction feature vector x, Stacking Ensemble Model M_stack</w:t>
              <w:br/>
              <w:t>Output: RiskScore in [0.0, 100.0], DecisionTier in {SAFE, NEEDS_REVIEW, FRAUD}, Action</w:t>
              <w:br/>
              <w:br/>
              <w:t>1: Extract base Level-0 probabilities:</w:t>
              <w:br/>
              <w:t>2:     p_xgb &lt;- M_stack.M_1.predict_proba(x)[1]</w:t>
              <w:br/>
              <w:t>3:     p_lgb &lt;- M_stack.M_2.predict_proba(x)[1]</w:t>
              <w:br/>
              <w:t>4:     p_rf  &lt;- M_stack.M_3.predict_proba(x)[1]</w:t>
              <w:br/>
              <w:t xml:space="preserve">5: </w:t>
              <w:br/>
              <w:t>6: Compute ensemble meta-probability:</w:t>
              <w:br/>
              <w:t>7:     p &lt;- M_stack.M_meta.predict_proba([p_xgb, p_lgb, p_rf])[1]</w:t>
              <w:br/>
              <w:br/>
              <w:t>8: Extract contextual domain signals:</w:t>
              <w:br/>
              <w:t>9:     amt_factor &lt;- min(1.0, log10(x.amount + 1.0) / 6.0)</w:t>
              <w:br/>
              <w:t>10:    is_drain   &lt;- 1 if (x.oldbalanceOrig &gt; 0 and x.newbalanceOrig == 0) else 0</w:t>
              <w:br/>
              <w:t>11:    has_error  &lt;- 1 if (abs(x.oldbalanceOrig - x.amount - x.newbalanceOrig) &gt; 1.0) else 0</w:t>
              <w:br/>
              <w:br/>
              <w:t>12: If p &gt; 0.50:</w:t>
              <w:br/>
              <w:t>13:     // High-Risk Range Calibration:</w:t>
              <w:br/>
              <w:t>14:     RiskScore &lt;- 0.75 + 0.08 * ((p - 0.50) / 0.50) + 0.08 * amt_factor + 0.08 * is_drain</w:t>
              <w:br/>
              <w:t>15: Else:</w:t>
              <w:br/>
              <w:t>16:     If x.type not in ["TRANSFER", "CASH_OUT"]:</w:t>
              <w:br/>
              <w:t>17:         // Non-liquidating payment channels:</w:t>
              <w:br/>
              <w:t>18:         RiskScore &lt;- 0.15 * amt_factor</w:t>
              <w:br/>
              <w:t>19:     Else:</w:t>
              <w:br/>
              <w:t>20:         // Liquidating channels with low base probability:</w:t>
              <w:br/>
              <w:t>21:         RiskScore &lt;- 0.15 + 0.25 * amt_factor + 0.20 * is_drain + 0.10 * has_error + 0.05 * (p / 0.50)</w:t>
              <w:br/>
              <w:t>22:     End If</w:t>
              <w:br/>
              <w:t>23: End If</w:t>
              <w:br/>
              <w:br/>
              <w:t>24: Clamp RiskScore &lt;- min(1.0, max(0.0, RiskScore)) * 100.0</w:t>
              <w:br/>
              <w:br/>
              <w:t>25: If RiskScore &lt; 45.0:</w:t>
              <w:br/>
              <w:t>26:     DecisionTier &lt;- "SAFE"</w:t>
              <w:br/>
              <w:t>27:     Action       &lt;- "AUTO_APPROVE"</w:t>
              <w:br/>
              <w:t>28: Else If RiskScore &lt; 75.0:</w:t>
              <w:br/>
              <w:t>29:     DecisionTier &lt;- "NEEDS_REVIEW"</w:t>
              <w:br/>
              <w:t>30:     Action       &lt;- "ROUTE_TO_ANALYST_QUEUE_OR_STEP_UP_2FA"</w:t>
              <w:br/>
              <w:t>31: Else:</w:t>
              <w:br/>
              <w:t>32:     DecisionTier &lt;- "FRAUD"</w:t>
              <w:br/>
              <w:t>33:     Action       &lt;- "BLOCK_TRANSACTION_AND_FREEZE_CARD"</w:t>
              <w:br/>
              <w:t>34: End If</w:t>
              <w:br/>
              <w:br/>
              <w:t>35: Return RiskScore, DecisionTier, Action</w:t>
            </w:r>
          </w:p>
        </w:tc>
      </w:tr>
    </w:tbl>
    <w:p>
      <w:pPr>
        <w:spacing w:after="120"/>
      </w:pPr>
    </w:p>
    <w:p>
      <w:pPr>
        <w:keepNext/>
        <w:spacing w:before="240" w:after="120"/>
      </w:pPr>
      <w:r>
        <w:rPr>
          <w:rFonts w:ascii="Times New Roman" w:hAnsi="Times New Roman"/>
          <w:b/>
          <w:sz w:val="28"/>
        </w:rPr>
        <w:t>4.2.4 Algorithm 4: Real-Time TreeSHAP Feature Attribution &amp; FCRA Mapping</w:t>
      </w:r>
    </w:p>
    <w:p>
      <w:pPr>
        <w:keepNext/>
        <w:spacing w:before="240" w:after="80"/>
        <w:jc w:val="center"/>
      </w:pPr>
      <w:r>
        <w:drawing>
          <wp:inline xmlns:a="http://schemas.openxmlformats.org/drawingml/2006/main" xmlns:pic="http://schemas.openxmlformats.org/drawingml/2006/picture">
            <wp:extent cx="5303520" cy="2960104"/>
            <wp:docPr id="27" name="Picture 27"/>
            <wp:cNvGraphicFramePr>
              <a:graphicFrameLocks noChangeAspect="1"/>
            </wp:cNvGraphicFramePr>
            <a:graphic>
              <a:graphicData uri="http://schemas.openxmlformats.org/drawingml/2006/picture">
                <pic:pic>
                  <pic:nvPicPr>
                    <pic:cNvPr id="0" name="fig17_treeshap.jpg"/>
                    <pic:cNvPicPr/>
                  </pic:nvPicPr>
                  <pic:blipFill>
                    <a:blip r:embed="rId11"/>
                    <a:stretch>
                      <a:fillRect/>
                    </a:stretch>
                  </pic:blipFill>
                  <pic:spPr>
                    <a:xfrm>
                      <a:off x="0" y="0"/>
                      <a:ext cx="5303520" cy="2960104"/>
                    </a:xfrm>
                    <a:prstGeom prst="rect"/>
                  </pic:spPr>
                </pic:pic>
              </a:graphicData>
            </a:graphic>
          </wp:inline>
        </w:drawing>
      </w:r>
    </w:p>
    <w:p>
      <w:pPr>
        <w:keepNext/>
        <w:spacing w:before="80" w:after="280"/>
        <w:jc w:val="center"/>
      </w:pPr>
      <w:r>
        <w:rPr>
          <w:rFonts w:ascii="Times New Roman" w:hAnsi="Times New Roman"/>
          <w:b/>
          <w:i/>
          <w:sz w:val="21"/>
        </w:rPr>
        <w:t>Figure 17: TreeSHAP Feature Attribution Computation Workflow &amp; FCRA Mapping</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Algorithm 4: Real-Time TreeSHAP Feature Attribution &amp; FCRA Mapping</w:t>
              <w:br/>
              <w:t>Input: Transaction vector x in R^m, Ensemble Tree Model M_tree, Background matrix X_bg</w:t>
              <w:br/>
              <w:t>Output: Attribution vector phi in R^m, List of FCRA Reason Codes R_fcra</w:t>
              <w:br/>
              <w:br/>
              <w:t>1: Initialize TreeExplainer E(M_tree, data = X_bg)</w:t>
              <w:br/>
              <w:t>2: Compute exact Shapley values vector:</w:t>
              <w:br/>
              <w:t>3:     phi &lt;- E.shap_values(x)</w:t>
              <w:br/>
              <w:t>4: Verify Additive Efficiency: abs(sum(phi) - (M_tree(x) - E.expected_value)) &lt; 1e-4</w:t>
              <w:br/>
              <w:br/>
              <w:t>5: Identify positive risk drivers:</w:t>
              <w:br/>
              <w:t>6:     D_pos &lt;- {(j, phi[j]) | phi[j] &gt; 0}</w:t>
              <w:br/>
              <w:t>7: Sort D_pos in descending order by phi[j]</w:t>
              <w:br/>
              <w:br/>
              <w:t>8: Initialize R_fcra &lt;- []</w:t>
              <w:br/>
              <w:t>9: For each (feature_idx, weight) in top 3 elements of D_pos:</w:t>
              <w:br/>
              <w:t>10:    feature_name &lt;- feature_names[feature_idx]</w:t>
              <w:br/>
              <w:t xml:space="preserve">11:    </w:t>
              <w:br/>
              <w:t>12:    Match feature_name:</w:t>
              <w:br/>
              <w:t>13:        Case "errorBalanceOrig":</w:t>
              <w:br/>
              <w:t>14:            R_fcra.append({"Code": "RC-BAL-01", "Name": "Origin Balance Mismatch", "Weight": weight})</w:t>
              <w:br/>
              <w:t>15:        Case "is_drained":</w:t>
              <w:br/>
              <w:t>16:            R_fcra.append({"Code": "RC-BAL-02", "Name": "Full Account Liquidation", "Weight": weight})</w:t>
              <w:br/>
              <w:t>17:        Case "amount":</w:t>
              <w:br/>
              <w:t>18:            R_fcra.append({"Code": "RC-AMT-01", "Name": "Abnormal Transaction Amount", "Weight": weight})</w:t>
              <w:br/>
              <w:t>19:        Case "distance_km":</w:t>
              <w:br/>
              <w:t>20:            R_fcra.append({"Code": "RC-GEO-01", "Name": "Haversine Distance Discrepancy", "Weight": weight})</w:t>
              <w:br/>
              <w:t>21:        Default:</w:t>
              <w:br/>
              <w:t>22:            R_fcra.append({"Code": "RC-PCA-01", "Name": "Latent Anomaly Component " + feature_name, "Weight": weight})</w:t>
              <w:br/>
              <w:t>23:    End Match</w:t>
              <w:br/>
              <w:t>24: End For</w:t>
              <w:br/>
              <w:br/>
              <w:t>25: Return phi, R_fcra</w:t>
            </w:r>
          </w:p>
        </w:tc>
      </w:tr>
    </w:tbl>
    <w:p>
      <w:pPr>
        <w:spacing w:after="120"/>
      </w:pPr>
    </w:p>
    <w:p>
      <w:pPr>
        <w:keepNext/>
        <w:spacing w:before="240" w:after="120"/>
      </w:pPr>
      <w:r>
        <w:rPr>
          <w:rFonts w:ascii="Times New Roman" w:hAnsi="Times New Roman"/>
          <w:b/>
          <w:sz w:val="28"/>
        </w:rPr>
        <w:t>4.2.5 Algorithm 5: In-Memory NetworkX Cyclic Mule Ring Detection</w:t>
      </w:r>
    </w:p>
    <w:p>
      <w:pPr>
        <w:keepNext/>
        <w:spacing w:before="240" w:after="80"/>
        <w:jc w:val="center"/>
      </w:pPr>
      <w:r>
        <w:drawing>
          <wp:inline xmlns:a="http://schemas.openxmlformats.org/drawingml/2006/main" xmlns:pic="http://schemas.openxmlformats.org/drawingml/2006/picture">
            <wp:extent cx="5303520" cy="2960104"/>
            <wp:docPr id="28" name="Picture 28"/>
            <wp:cNvGraphicFramePr>
              <a:graphicFrameLocks noChangeAspect="1"/>
            </wp:cNvGraphicFramePr>
            <a:graphic>
              <a:graphicData uri="http://schemas.openxmlformats.org/drawingml/2006/picture">
                <pic:pic>
                  <pic:nvPicPr>
                    <pic:cNvPr id="0" name="fig18_mule_ring.jpg"/>
                    <pic:cNvPicPr/>
                  </pic:nvPicPr>
                  <pic:blipFill>
                    <a:blip r:embed="rId12"/>
                    <a:stretch>
                      <a:fillRect/>
                    </a:stretch>
                  </pic:blipFill>
                  <pic:spPr>
                    <a:xfrm>
                      <a:off x="0" y="0"/>
                      <a:ext cx="5303520" cy="2960104"/>
                    </a:xfrm>
                    <a:prstGeom prst="rect"/>
                  </pic:spPr>
                </pic:pic>
              </a:graphicData>
            </a:graphic>
          </wp:inline>
        </w:drawing>
      </w:r>
    </w:p>
    <w:p>
      <w:pPr>
        <w:keepNext/>
        <w:spacing w:before="80" w:after="280"/>
        <w:jc w:val="center"/>
      </w:pPr>
      <w:r>
        <w:rPr>
          <w:rFonts w:ascii="Times New Roman" w:hAnsi="Times New Roman"/>
          <w:b/>
          <w:i/>
          <w:sz w:val="21"/>
        </w:rPr>
        <w:t>Figure 18: Graph Intelligence Engine: Cyclic Mule Ring and Community Detection</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Algorithm 5: In-Memory NetworkX Cyclic Mule Ring &amp; Centrality Analysis</w:t>
              <w:br/>
              <w:t>Input: Directed Multi-Graph G = (V, E), New Transaction T = (u, v, amount, timestamp)</w:t>
              <w:br/>
              <w:t>Output: IsMuleRing in {True, False}, CyclePath list, MuleScore in [0, 100]</w:t>
              <w:br/>
              <w:br/>
              <w:t>1: Add directed edge: G.add_edge(u, v, weight = amount, time = timestamp)</w:t>
              <w:br/>
              <w:t xml:space="preserve">2: </w:t>
              <w:br/>
              <w:t>3: // Cyclic Path Detection (k-hop DFS from target node v back to source u):</w:t>
              <w:br/>
              <w:t>4: Initialize CyclePath &lt;- []</w:t>
              <w:br/>
              <w:t>5: IsMuleRing &lt;- False</w:t>
              <w:br/>
              <w:t xml:space="preserve">6: </w:t>
              <w:br/>
              <w:t>7: If NetworkX.has_path(G, source = v, target = u):</w:t>
              <w:br/>
              <w:t>8:     All_Simple_Paths &lt;- NetworkX.all_simple_paths(G, source = v, target = u, cutoff = 5)</w:t>
              <w:br/>
              <w:t>9:     For path in All_Simple_Paths:</w:t>
              <w:br/>
              <w:t>10:        If length(path) &gt;= 2:</w:t>
              <w:br/>
              <w:t>11:            CyclePath &lt;- [u] + path</w:t>
              <w:br/>
              <w:t>12:            IsMuleRing &lt;- True</w:t>
              <w:br/>
              <w:t>13:            Break</w:t>
              <w:br/>
              <w:t>14:        End If</w:t>
              <w:br/>
              <w:t>15:    End For</w:t>
              <w:br/>
              <w:t>16: End If</w:t>
              <w:br/>
              <w:br/>
              <w:t>17: // Account Mule Risk Score Calculation for node u:</w:t>
              <w:br/>
              <w:t>18: deg_in  &lt;- G.in_degree(u)</w:t>
              <w:br/>
              <w:t>19: deg_out &lt;- G.out_degree(u)</w:t>
              <w:br/>
              <w:t>20: total_vol &lt;- sum([edge.weight for edge in G.out_edges(u)])</w:t>
              <w:br/>
              <w:t xml:space="preserve">21: </w:t>
              <w:br/>
              <w:t>22: // Mule ratio: rapid pass-through of funds</w:t>
              <w:br/>
              <w:t>23: ratio &lt;- min(deg_in, deg_out) / (max(deg_in, deg_out) + 1.0)</w:t>
              <w:br/>
              <w:t xml:space="preserve">24: </w:t>
              <w:br/>
              <w:t>25: MuleScore &lt;- 0</w:t>
              <w:br/>
              <w:t>26: If IsMuleRing: MuleScore &lt;- MuleScore + 50</w:t>
              <w:br/>
              <w:t>27: If deg_in &gt; 5 and deg_out &gt; 5: MuleScore &lt;- MuleScore + 25</w:t>
              <w:br/>
              <w:t>28: If ratio &gt; 0.60: MuleScore &lt;- MuleScore + 25</w:t>
              <w:br/>
              <w:t xml:space="preserve">29: </w:t>
              <w:br/>
              <w:t>30: Return IsMuleRing, CyclePath, MuleScore</w:t>
            </w:r>
          </w:p>
        </w:tc>
      </w:tr>
    </w:tbl>
    <w:p>
      <w:pPr>
        <w:spacing w:after="120"/>
      </w:pPr>
    </w:p>
    <w:p>
      <w:pPr>
        <w:keepNext/>
        <w:spacing w:before="240" w:after="120"/>
      </w:pPr>
      <w:r>
        <w:rPr>
          <w:rFonts w:ascii="Times New Roman" w:hAnsi="Times New Roman"/>
          <w:b/>
          <w:sz w:val="28"/>
        </w:rPr>
        <w:t>4.2.6 Algorithm 6: Decentralized Federated Learning (FedAvg) Simulation</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Algorithm 6: Federated Averaging (FedAvg) Multi-Bank Consortium Aggregation</w:t>
              <w:br/>
              <w:t>Input: K participating banking institutions, Local datasets {D_k}_{k=1}^K</w:t>
              <w:br/>
              <w:t xml:space="preserve">       Total records N = sum_{k=1}^K |D_k|, Global aggregation rounds T = 5</w:t>
              <w:br/>
              <w:t>Output: Global Defense Model W_global</w:t>
              <w:br/>
              <w:br/>
              <w:t>1: Initialize Global Model Parameter Vector W_0</w:t>
              <w:br/>
              <w:t>2: For round t = 0 to T - 1:</w:t>
              <w:br/>
              <w:t>3:     For each banking node k in {1, ..., K} in parallel:</w:t>
              <w:br/>
              <w:t>4:         Download current global weights: W_k^(t) &lt;- W_t</w:t>
              <w:br/>
              <w:t xml:space="preserve">5:         </w:t>
              <w:br/>
              <w:t>6:         // Local Model Training on Internal Bank Data:</w:t>
              <w:br/>
              <w:t>7:         Execute local optimization (e.g. 5 epochs SGD or local tree boosting) on D_k</w:t>
              <w:br/>
              <w:t>8:         Obtain updated local parameters: W_k^(t+1)</w:t>
              <w:br/>
              <w:t>9:     End For</w:t>
              <w:br/>
              <w:t xml:space="preserve">10:    </w:t>
              <w:br/>
              <w:t>11:    // Central Coordinator Aggregation (Zero PII Sharing):</w:t>
              <w:br/>
              <w:t>12:    W_{t+1} &lt;- sum_{k=1}^K (|D_k| / N) * W_k^(t+1)</w:t>
              <w:br/>
              <w:t xml:space="preserve">13:    </w:t>
              <w:br/>
              <w:t>14:    Compute Consortium Global F1-Score on independent validation partition</w:t>
              <w:br/>
              <w:t>15: End For</w:t>
              <w:br/>
              <w:t>16: Return W_T</w:t>
            </w:r>
          </w:p>
        </w:tc>
      </w:tr>
    </w:tbl>
    <w:p>
      <w:pPr>
        <w:spacing w:after="120"/>
      </w:pPr>
    </w:p>
    <w:p>
      <w:pPr>
        <w:keepNext/>
        <w:spacing w:before="280" w:after="160"/>
      </w:pPr>
      <w:r>
        <w:rPr>
          <w:rFonts w:ascii="Times New Roman" w:hAnsi="Times New Roman"/>
          <w:b/>
          <w:sz w:val="32"/>
        </w:rPr>
        <w:t>4.3 User Interface &amp; Input Data Design</w:t>
      </w:r>
    </w:p>
    <w:p>
      <w:pPr>
        <w:keepNext/>
        <w:spacing w:before="240" w:after="120"/>
      </w:pPr>
      <w:r>
        <w:rPr>
          <w:rFonts w:ascii="Times New Roman" w:hAnsi="Times New Roman"/>
          <w:b/>
          <w:sz w:val="28"/>
        </w:rPr>
        <w:t>4.3.1 User Interface Design Specifications</w:t>
      </w:r>
    </w:p>
    <w:p>
      <w:pPr>
        <w:spacing w:line="360" w:lineRule="auto" w:after="120"/>
        <w:jc w:val="both"/>
      </w:pPr>
      <w:r>
        <w:rPr>
          <w:rFonts w:ascii="Times New Roman" w:hAnsi="Times New Roman"/>
          <w:sz w:val="24"/>
        </w:rPr>
        <w:t>FraudShield AI provides an enterprise-grade visual command center built with React 19 + Vite 6 + Tailwind CSS. The UI adheres to modern human-computer interaction (HCI) standards:</w:t>
      </w:r>
    </w:p>
    <w:p>
      <w:pPr>
        <w:spacing w:line="360" w:lineRule="auto" w:after="120"/>
        <w:ind w:left="432"/>
      </w:pPr>
      <w:r>
        <w:rPr>
          <w:rFonts w:ascii="Times New Roman" w:hAnsi="Times New Roman"/>
          <w:sz w:val="24"/>
        </w:rPr>
        <w:t>1. Curated Color Tokens:</w:t>
      </w:r>
    </w:p>
    <w:p>
      <w:pPr>
        <w:spacing w:line="360" w:lineRule="auto" w:after="120"/>
        <w:ind w:left="432"/>
      </w:pPr>
      <w:r>
        <w:rPr>
          <w:rFonts w:ascii="Times New Roman" w:hAnsi="Times New Roman"/>
          <w:sz w:val="24"/>
        </w:rPr>
        <w:t>• Background: Deep Midnight Slate (#0B0F19)</w:t>
      </w:r>
    </w:p>
    <w:p>
      <w:pPr>
        <w:spacing w:line="360" w:lineRule="auto" w:after="120"/>
        <w:ind w:left="432"/>
      </w:pPr>
      <w:r>
        <w:rPr>
          <w:rFonts w:ascii="Times New Roman" w:hAnsi="Times New Roman"/>
          <w:sz w:val="24"/>
        </w:rPr>
        <w:t>• Card Surface: Glassmorphic Charcoal with $1\text{px}$ subtle border (#111827, border #1F2937)</w:t>
      </w:r>
    </w:p>
    <w:p>
      <w:pPr>
        <w:spacing w:line="360" w:lineRule="auto" w:after="120"/>
        <w:ind w:left="432"/>
      </w:pPr>
      <w:r>
        <w:rPr>
          <w:rFonts w:ascii="Times New Roman" w:hAnsi="Times New Roman"/>
          <w:sz w:val="24"/>
        </w:rPr>
        <w:t>• Risk Accents: 🟢 Emerald (#10B981), 🟡 Amber (#F59E0B), 🔴 Crimson (#EF4444), 🟣 Cyan/Violet (#06B6D4, #8B5CF6)</w:t>
      </w:r>
    </w:p>
    <w:p>
      <w:pPr>
        <w:spacing w:line="360" w:lineRule="auto" w:after="120"/>
        <w:ind w:left="432"/>
      </w:pPr>
      <w:r>
        <w:rPr>
          <w:rFonts w:ascii="Times New Roman" w:hAnsi="Times New Roman"/>
          <w:sz w:val="24"/>
        </w:rPr>
        <w:t>2. Typography: Set in Google Fonts Inter and Outfit with crisp monospace rendering for financial hashes and account numbers.</w:t>
      </w:r>
    </w:p>
    <w:p>
      <w:pPr>
        <w:spacing w:line="360" w:lineRule="auto" w:after="120"/>
        <w:ind w:left="432"/>
      </w:pPr>
      <w:r>
        <w:rPr>
          <w:rFonts w:ascii="Times New Roman" w:hAnsi="Times New Roman"/>
          <w:sz w:val="24"/>
        </w:rPr>
        <w:t>3. Micro-Animations: Powered by Framer Motion, providing instant visual feedback for risk tier transitions, expandable triage drawers, and modal overlays.</w:t>
      </w:r>
    </w:p>
    <w:p>
      <w:pPr>
        <w:keepNext/>
        <w:spacing w:before="240" w:after="120"/>
      </w:pPr>
      <w:r>
        <w:rPr>
          <w:rFonts w:ascii="Times New Roman" w:hAnsi="Times New Roman"/>
          <w:b/>
          <w:sz w:val="28"/>
        </w:rPr>
        <w:t>4.3.2 Screen Walkthroughs and Functional Capabilities</w:t>
      </w:r>
    </w:p>
    <w:p>
      <w:pPr>
        <w:spacing w:line="360" w:lineRule="auto" w:after="120"/>
        <w:ind w:left="432"/>
      </w:pPr>
      <w:r>
        <w:rPr>
          <w:rFonts w:ascii="Times New Roman" w:hAnsi="Times New Roman"/>
          <w:sz w:val="24"/>
        </w:rPr>
        <w:t>• 1. Threat Intelligence Dashboard (DashboardModule.jsx):</w:t>
      </w:r>
    </w:p>
    <w:p>
      <w:pPr>
        <w:spacing w:line="360" w:lineRule="auto" w:after="120"/>
        <w:jc w:val="both"/>
      </w:pPr>
      <w:r>
        <w:rPr>
          <w:rFonts w:ascii="Times New Roman" w:hAnsi="Times New Roman"/>
          <w:sz w:val="24"/>
        </w:rPr>
        <w:t>Provides an executive snapshot featuring four animated KPI counter cards: Total Transactions Analyzed (6.3M+), Active Fraud Detection Rate ($99.66\%$), Total Blocked Losses ($\$18.4\text{M}$), and Average Inference Latency ($42\text{ms}$). Includes an interactive Recharts volume curve and real-time domain breakdown donuts.</w:t>
      </w:r>
    </w:p>
    <w:p>
      <w:pPr>
        <w:spacing w:line="360" w:lineRule="auto" w:after="120"/>
        <w:ind w:left="432"/>
      </w:pPr>
      <w:r>
        <w:rPr>
          <w:rFonts w:ascii="Times New Roman" w:hAnsi="Times New Roman"/>
          <w:sz w:val="24"/>
        </w:rPr>
        <w:t>• 2. Live Stream Transaction Monitor (LiveMonitoringModule.jsx):</w:t>
      </w:r>
    </w:p>
    <w:p>
      <w:pPr>
        <w:spacing w:line="360" w:lineRule="auto" w:after="120"/>
        <w:jc w:val="both"/>
      </w:pPr>
      <w:r>
        <w:rPr>
          <w:rFonts w:ascii="Times New Roman" w:hAnsi="Times New Roman"/>
          <w:sz w:val="24"/>
        </w:rPr>
        <w:t>Simulates live terminal ingestion. New transactions slide smoothly into a virtualized list. Each row displays the timestamp, account origin, destination, amount, dynamic risk badge, and a "Triage" button. Clicking a transaction opens a slide-over drawer showing feature values and one-click block/approve actions.</w:t>
      </w:r>
    </w:p>
    <w:p>
      <w:pPr>
        <w:spacing w:line="360" w:lineRule="auto" w:after="120"/>
        <w:ind w:left="432"/>
      </w:pPr>
      <w:r>
        <w:rPr>
          <w:rFonts w:ascii="Times New Roman" w:hAnsi="Times New Roman"/>
          <w:sz w:val="24"/>
        </w:rPr>
        <w:t>• 3. Single Transaction Inspector (TransactionAnalysisModule.jsx):</w:t>
      </w:r>
    </w:p>
    <w:p>
      <w:pPr>
        <w:spacing w:line="360" w:lineRule="auto" w:after="120"/>
        <w:jc w:val="both"/>
      </w:pPr>
      <w:r>
        <w:rPr>
          <w:rFonts w:ascii="Times New Roman" w:hAnsi="Times New Roman"/>
          <w:sz w:val="24"/>
        </w:rPr>
        <w:t>A diagnostic sandbox allowing fraud investigators to select any of the four domain schemas, pre-populate benchmark test cases (e.g., Safe Merchant Payment vs. Account Drain Attack), modify individual feature values via interactive sliders, and trigger instant synchronous scoring.</w:t>
      </w:r>
    </w:p>
    <w:p>
      <w:pPr>
        <w:spacing w:line="360" w:lineRule="auto" w:after="120"/>
        <w:ind w:left="432"/>
      </w:pPr>
      <w:r>
        <w:rPr>
          <w:rFonts w:ascii="Times New Roman" w:hAnsi="Times New Roman"/>
          <w:sz w:val="24"/>
        </w:rPr>
        <w:t>• 4. Explainable AI &amp; FCRA Studio (ExplainableAIModule.jsx):</w:t>
      </w:r>
    </w:p>
    <w:p>
      <w:pPr>
        <w:spacing w:line="360" w:lineRule="auto" w:after="120"/>
        <w:jc w:val="both"/>
      </w:pPr>
      <w:r>
        <w:rPr>
          <w:rFonts w:ascii="Times New Roman" w:hAnsi="Times New Roman"/>
          <w:sz w:val="24"/>
        </w:rPr>
        <w:t>Renders the interactive TreeSHAP waterfall plot. Displays the base value $\phi0$, individual feature force vectors (red positive risk bars, green mitigating bars), and generates an official, downloadable FCRA Adverse Action Disclosure Statement in PDF/text format for regulatory audit compliance.</w:t>
      </w:r>
    </w:p>
    <w:p>
      <w:pPr>
        <w:spacing w:line="360" w:lineRule="auto" w:after="120"/>
        <w:ind w:left="432"/>
      </w:pPr>
      <w:r>
        <w:rPr>
          <w:rFonts w:ascii="Times New Roman" w:hAnsi="Times New Roman"/>
          <w:sz w:val="24"/>
        </w:rPr>
        <w:t>• 5. Graph Intelligence &amp; Mule Ring Forensics (GraphIntelligenceModule.jsx):</w:t>
      </w:r>
    </w:p>
    <w:p>
      <w:pPr>
        <w:spacing w:line="360" w:lineRule="auto" w:after="120"/>
        <w:jc w:val="both"/>
      </w:pPr>
      <w:r>
        <w:rPr>
          <w:rFonts w:ascii="Times New Roman" w:hAnsi="Times New Roman"/>
          <w:sz w:val="24"/>
        </w:rPr>
        <w:t>Renders an interactive directed network topology. Highlights cyclic edges in glowing crimson ($A \rightarrow B \rightarrow C \rightarrow A$) and computes node degree centrality to identify money laundering hubs.</w:t>
      </w:r>
    </w:p>
    <w:p>
      <w:pPr>
        <w:spacing w:line="360" w:lineRule="auto" w:after="120"/>
        <w:ind w:left="432"/>
      </w:pPr>
      <w:r>
        <w:rPr>
          <w:rFonts w:ascii="Times New Roman" w:hAnsi="Times New Roman"/>
          <w:sz w:val="24"/>
        </w:rPr>
        <w:t>• 6. MLOps Concept Drift Portal (ConceptDriftModule.jsx):</w:t>
      </w:r>
    </w:p>
    <w:p>
      <w:pPr>
        <w:spacing w:line="360" w:lineRule="auto" w:after="120"/>
        <w:jc w:val="both"/>
      </w:pPr>
      <w:r>
        <w:rPr>
          <w:rFonts w:ascii="Times New Roman" w:hAnsi="Times New Roman"/>
          <w:sz w:val="24"/>
        </w:rPr>
        <w:t>Displays real-time two-sample Kolmogorov-Smirnov test statistics and Population Stability Index (PSI) histograms. Features a "Drift Spike Simulator" button allowing administrators to inject synthetic adversarial distributions and witness automated alerting.</w:t>
      </w:r>
    </w:p>
    <w:p>
      <w:pPr>
        <w:spacing w:line="360" w:lineRule="auto" w:after="120"/>
        <w:ind w:left="432"/>
      </w:pPr>
      <w:r>
        <w:rPr>
          <w:rFonts w:ascii="Times New Roman" w:hAnsi="Times New Roman"/>
          <w:sz w:val="24"/>
        </w:rPr>
        <w:t>• 7. Federated Learning Simulator (FederatedLearningModule.jsx):</w:t>
      </w:r>
    </w:p>
    <w:p>
      <w:pPr>
        <w:spacing w:line="360" w:lineRule="auto" w:after="120"/>
        <w:jc w:val="both"/>
      </w:pPr>
      <w:r>
        <w:rPr>
          <w:rFonts w:ascii="Times New Roman" w:hAnsi="Times New Roman"/>
          <w:sz w:val="24"/>
        </w:rPr>
        <w:t>Visualizes decentralized collaborative training across Bank Alpha, Bank Beta, and Bank Gamma. Shows local F1-scores, federated aggregation round progress, and confirms zero transmission of customer PII.</w:t>
      </w:r>
    </w:p>
    <w:p>
      <w:pPr>
        <w:spacing w:line="360" w:lineRule="auto" w:after="120"/>
        <w:ind w:left="432"/>
      </w:pPr>
      <w:r>
        <w:rPr>
          <w:rFonts w:ascii="Times New Roman" w:hAnsi="Times New Roman"/>
          <w:sz w:val="24"/>
        </w:rPr>
        <w:t>• 8. Identity Portal &amp; RBAC Switching (AuthModal.jsx):</w:t>
      </w:r>
    </w:p>
    <w:p>
      <w:pPr>
        <w:spacing w:line="360" w:lineRule="auto" w:after="120"/>
        <w:jc w:val="both"/>
      </w:pPr>
      <w:r>
        <w:rPr>
          <w:rFonts w:ascii="Times New Roman" w:hAnsi="Times New Roman"/>
          <w:sz w:val="24"/>
        </w:rPr>
        <w:t>Allows 1-click persona switching between Sarah Chen (SOC Analyst), Marcus Vance (Compliance Officer), and Dr. Elena Rostova (Admin), dynamically tailoring sidebar navigation and API permissions.</w:t>
      </w:r>
    </w:p>
    <w:p>
      <w:pPr>
        <w:keepNext/>
        <w:spacing w:before="240" w:after="120"/>
      </w:pPr>
      <w:r>
        <w:rPr>
          <w:rFonts w:ascii="Times New Roman" w:hAnsi="Times New Roman"/>
          <w:b/>
          <w:sz w:val="28"/>
        </w:rPr>
        <w:t>4.3.3 Input Data Design &amp; Schema Contracts</w:t>
      </w:r>
    </w:p>
    <w:p>
      <w:pPr>
        <w:spacing w:line="360" w:lineRule="auto" w:after="120"/>
        <w:jc w:val="both"/>
      </w:pPr>
      <w:r>
        <w:rPr>
          <w:rFonts w:ascii="Times New Roman" w:hAnsi="Times New Roman"/>
          <w:sz w:val="24"/>
        </w:rPr>
        <w:t>FraudShield AI enforces strict JSON schema contracts across all four operational domain heads via Pydantic validators:</w:t>
      </w:r>
    </w:p>
    <w:p>
      <w:pPr>
        <w:keepNext/>
        <w:spacing w:before="200" w:after="80"/>
      </w:pPr>
      <w:r>
        <w:rPr>
          <w:rFonts w:ascii="Times New Roman" w:hAnsi="Times New Roman"/>
          <w:b/>
          <w:sz w:val="24"/>
        </w:rPr>
        <w:t>Schema 1: PaySim Mobile Money Ingestion Payload</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w:t>
              <w:br/>
              <w:t xml:space="preserve">  "domain": "paysim",</w:t>
              <w:br/>
              <w:t xml:space="preserve">  "step": 1,</w:t>
              <w:br/>
              <w:t xml:space="preserve">  "type": "TRANSFER",</w:t>
              <w:br/>
              <w:t xml:space="preserve">  "amount": 180000.00,</w:t>
              <w:br/>
              <w:t xml:space="preserve">  "nameOrig": "C1002341",</w:t>
              <w:br/>
              <w:t xml:space="preserve">  "oldbalanceOrg": 180000.00,</w:t>
              <w:br/>
              <w:t xml:space="preserve">  "newbalanceOrig": 0.00,</w:t>
              <w:br/>
              <w:t xml:space="preserve">  "nameDest": "M9081231",</w:t>
              <w:br/>
              <w:t xml:space="preserve">  "oldbalanceDest": 0.00,</w:t>
              <w:br/>
              <w:t xml:space="preserve">  "newbalanceDest": 0.00</w:t>
              <w:br/>
              <w:t>}</w:t>
            </w:r>
          </w:p>
        </w:tc>
      </w:tr>
    </w:tbl>
    <w:p>
      <w:pPr>
        <w:spacing w:after="120"/>
      </w:pPr>
    </w:p>
    <w:p>
      <w:pPr>
        <w:keepNext/>
        <w:spacing w:before="200" w:after="80"/>
      </w:pPr>
      <w:r>
        <w:rPr>
          <w:rFonts w:ascii="Times New Roman" w:hAnsi="Times New Roman"/>
          <w:b/>
          <w:sz w:val="24"/>
        </w:rPr>
        <w:t>Schema 2: European Credit Card PCA Ingestion Payload</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w:t>
              <w:br/>
              <w:t xml:space="preserve">  "domain": "creditcard",</w:t>
              <w:br/>
              <w:t xml:space="preserve">  "Time": 406.0,</w:t>
              <w:br/>
              <w:t xml:space="preserve">  "V1": -2.312226,</w:t>
              <w:br/>
              <w:t xml:space="preserve">  "V2": 1.951992,</w:t>
              <w:br/>
              <w:t xml:space="preserve">  "V3": -1.609851,</w:t>
              <w:br/>
              <w:t xml:space="preserve">  "V4": 3.997906,</w:t>
              <w:br/>
              <w:t xml:space="preserve">  "V5": -0.522188,</w:t>
              <w:br/>
              <w:t xml:space="preserve">  "V6": -1.426545,</w:t>
              <w:br/>
              <w:t xml:space="preserve">  "V7": -2.537387,</w:t>
              <w:br/>
              <w:t xml:space="preserve">  "V8": 1.391657,</w:t>
              <w:br/>
              <w:t xml:space="preserve">  "V9": -2.770089,</w:t>
              <w:br/>
              <w:t xml:space="preserve">  "V10": -2.772272,</w:t>
              <w:br/>
              <w:t xml:space="preserve">  "V11": 3.202033,</w:t>
              <w:br/>
              <w:t xml:space="preserve">  "V12": -2.899907,</w:t>
              <w:br/>
              <w:t xml:space="preserve">  "V13": -0.595222,</w:t>
              <w:br/>
              <w:t xml:space="preserve">  "V14": -4.289254,</w:t>
              <w:br/>
              <w:t xml:space="preserve">  "V15": 0.389724,</w:t>
              <w:br/>
              <w:t xml:space="preserve">  "V16": -1.140747,</w:t>
              <w:br/>
              <w:t xml:space="preserve">  "V17": -2.830056,</w:t>
              <w:br/>
              <w:t xml:space="preserve">  "V18": -0.016870,</w:t>
              <w:br/>
              <w:t xml:space="preserve">  "V19": 0.416956,</w:t>
              <w:br/>
              <w:t xml:space="preserve">  "V20": 0.126911,</w:t>
              <w:br/>
              <w:t xml:space="preserve">  "V21": 0.517232,</w:t>
              <w:br/>
              <w:t xml:space="preserve">  "V22": -0.035049,</w:t>
              <w:br/>
              <w:t xml:space="preserve">  "V23": -0.465211,</w:t>
              <w:br/>
              <w:t xml:space="preserve">  "V24": 0.320198,</w:t>
              <w:br/>
              <w:t xml:space="preserve">  "V25": 0.044519,</w:t>
              <w:br/>
              <w:t xml:space="preserve">  "V26": 0.177840,</w:t>
              <w:br/>
              <w:t xml:space="preserve">  "V27": 0.261145,</w:t>
              <w:br/>
              <w:t xml:space="preserve">  "V28": -0.143276,</w:t>
              <w:br/>
              <w:t xml:space="preserve">  "Amount": 0.00</w:t>
              <w:br/>
              <w:t>}</w:t>
            </w:r>
          </w:p>
        </w:tc>
      </w:tr>
    </w:tbl>
    <w:p>
      <w:pPr>
        <w:spacing w:after="120"/>
      </w:pPr>
    </w:p>
    <w:p>
      <w:pPr>
        <w:keepNext/>
        <w:spacing w:before="200" w:after="80"/>
      </w:pPr>
      <w:r>
        <w:rPr>
          <w:rFonts w:ascii="Times New Roman" w:hAnsi="Times New Roman"/>
          <w:b/>
          <w:sz w:val="24"/>
        </w:rPr>
        <w:t>Schema 3: Spatial &amp; Behavioral Ingestion Payload</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w:t>
              <w:br/>
              <w:t xml:space="preserve">  "domain": "spatial",</w:t>
              <w:br/>
              <w:t xml:space="preserve">  "lat": 40.7128,</w:t>
              <w:br/>
              <w:t xml:space="preserve">  "long": -74.0060,</w:t>
              <w:br/>
              <w:t xml:space="preserve">  "merch_lat": 41.8781,</w:t>
              <w:br/>
              <w:t xml:space="preserve">  "merch_long": -87.6298,</w:t>
              <w:br/>
              <w:t xml:space="preserve">  "amt": 985.50,</w:t>
              <w:br/>
              <w:t xml:space="preserve">  "category": "travel",</w:t>
              <w:br/>
              <w:t xml:space="preserve">  "hour": 3</w:t>
              <w:br/>
              <w:t>}</w:t>
            </w:r>
          </w:p>
        </w:tc>
      </w:tr>
    </w:tbl>
    <w:p>
      <w:pPr>
        <w:spacing w:after="120"/>
      </w:pPr>
    </w:p>
    <w:p>
      <w:pPr>
        <w:keepNext/>
        <w:spacing w:before="200" w:after="80"/>
      </w:pPr>
      <w:r>
        <w:rPr>
          <w:rFonts w:ascii="Times New Roman" w:hAnsi="Times New Roman"/>
          <w:b/>
          <w:sz w:val="24"/>
        </w:rPr>
        <w:t>Schema 4: BankSim Retail Ingestion Payload</w:t>
      </w:r>
    </w:p>
    <w:tbl>
      <w:tblPr>
        <w:tblW w:type="auto" w:w="0"/>
        <w:jc w:val="center"/>
        <w:tblLook w:firstColumn="1" w:firstRow="1" w:lastColumn="0" w:lastRow="0" w:noHBand="0" w:noVBand="1" w:val="04A0"/>
      </w:tblPr>
      <w:tblGrid>
        <w:gridCol w:w="10440"/>
      </w:tblGrid>
      <w:tr>
        <w:tc>
          <w:tcPr>
            <w:tcW w:type="dxa" w:w="10440"/>
            <w:shd w:fill="F3F4F6"/>
            <w:tcMar>
              <w:top w:w="150" w:type="dxa"/>
              <w:bottom w:w="150" w:type="dxa"/>
              <w:left w:w="200" w:type="dxa"/>
              <w:right w:w="200" w:type="dxa"/>
            </w:tcMar>
          </w:tcPr>
          <w:p>
            <w:pPr>
              <w:spacing w:line="276" w:lineRule="auto" w:after="40"/>
            </w:pPr>
            <w:r>
              <w:rPr>
                <w:rFonts w:ascii="Courier New" w:hAnsi="Courier New"/>
                <w:color w:val="1F2937"/>
                <w:sz w:val="19"/>
              </w:rPr>
              <w:t>{</w:t>
              <w:br/>
              <w:t xml:space="preserve">  "domain": "banksim",</w:t>
              <w:br/>
              <w:t xml:space="preserve">  "step": 12,</w:t>
              <w:br/>
              <w:t xml:space="preserve">  "customer": "C10938261",</w:t>
              <w:br/>
              <w:t xml:space="preserve">  "age": "3",</w:t>
              <w:br/>
              <w:t xml:space="preserve">  "gender": "M",</w:t>
              <w:br/>
              <w:t xml:space="preserve">  "zipcodeOri": "28007",</w:t>
              <w:br/>
              <w:t xml:space="preserve">  "merchant": "M3489346",</w:t>
              <w:br/>
              <w:t xml:space="preserve">  "category": "es_sportsandtoys",</w:t>
              <w:br/>
              <w:t xml:space="preserve">  "amount": 245.80</w:t>
              <w:br/>
              <w:t>}</w:t>
            </w:r>
          </w:p>
        </w:tc>
      </w:tr>
    </w:tbl>
    <w:p>
      <w:pPr>
        <w:spacing w:after="120"/>
      </w:pPr>
    </w:p>
    <w:p>
      <w:pPr>
        <w:keepNext/>
        <w:spacing w:before="280" w:after="160"/>
      </w:pPr>
      <w:r>
        <w:rPr>
          <w:rFonts w:ascii="Times New Roman" w:hAnsi="Times New Roman"/>
          <w:b/>
          <w:sz w:val="32"/>
        </w:rPr>
        <w:t>4.4 Experimental Setup and Tools (Software &amp; Hardware)</w:t>
      </w:r>
    </w:p>
    <w:p>
      <w:pPr>
        <w:keepNext/>
        <w:spacing w:before="240" w:after="120"/>
      </w:pPr>
      <w:r>
        <w:rPr>
          <w:rFonts w:ascii="Times New Roman" w:hAnsi="Times New Roman"/>
          <w:b/>
          <w:sz w:val="28"/>
        </w:rPr>
        <w:t>4.4.1 Hardware Specifications</w:t>
      </w:r>
    </w:p>
    <w:p>
      <w:pPr>
        <w:spacing w:line="360" w:lineRule="auto" w:after="120"/>
        <w:jc w:val="both"/>
      </w:pPr>
      <w:r>
        <w:rPr>
          <w:rFonts w:ascii="Times New Roman" w:hAnsi="Times New Roman"/>
          <w:sz w:val="24"/>
        </w:rPr>
        <w:t>Model training, empirical evaluations, and latency benchmarking were executed across standardized hardware configurations detailed in Table 4.1:</w:t>
      </w:r>
    </w:p>
    <w:p>
      <w:pPr>
        <w:keepNext/>
        <w:spacing w:before="200" w:after="80"/>
      </w:pPr>
      <w:r>
        <w:rPr>
          <w:rFonts w:ascii="Times New Roman" w:hAnsi="Times New Roman"/>
          <w:b/>
          <w:sz w:val="24"/>
        </w:rPr>
        <w:t>Table 4.1: Hardware Specification for Training and Staging</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2610"/>
        <w:gridCol w:w="2610"/>
        <w:gridCol w:w="2610"/>
        <w:gridCol w:w="2610"/>
      </w:tblGrid>
      <w:tr>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Component</w:t>
            </w:r>
          </w:p>
        </w:tc>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Training &amp; Benchmark Workstation</w:t>
            </w:r>
          </w:p>
        </w:tc>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Production Staging Container</w:t>
            </w:r>
          </w:p>
        </w:tc>
        <w:tc>
          <w:tcPr>
            <w:tcW w:type="dxa" w:w="2610"/>
            <w:shd w:fill="E5E7EB"/>
            <w:tcMar>
              <w:top w:w="120" w:type="dxa"/>
              <w:bottom w:w="120" w:type="dxa"/>
              <w:left w:w="140" w:type="dxa"/>
              <w:right w:w="140" w:type="dxa"/>
            </w:tcMar>
          </w:tcPr>
          <w:p>
            <w:pPr>
              <w:spacing w:line="276" w:lineRule="auto" w:after="40"/>
            </w:pPr>
            <w:r>
              <w:rPr>
                <w:rFonts w:ascii="Times New Roman" w:hAnsi="Times New Roman"/>
                <w:b/>
                <w:sz w:val="21"/>
              </w:rPr>
              <w:t>Minimum Edge Client</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Processor (CPU)</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AMD Ryzen 9 5950X (16 Cores, 32 Threads @ 4.9GHz)</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Intel Xeon Gold 6338 (4 vCPUs @ 2.6GHz)</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Intel Core i5 / Apple M1 (Quad-Core)</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Memory (RAM)</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64 GB DDR4 @ 3600 MHz</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8 GB ECC RAM</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4 GB LPDDR4</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Graphics (GPU)</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NVIDIA GeForce RTX 3090 (24 GB VRAM)</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Headless Cloud Instance</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Integrated GPU</w:t>
            </w:r>
          </w:p>
        </w:tc>
      </w:tr>
      <w:tr>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Storage</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2 TB NVMe PCIe 4.0 SSD ($7000\text{ MB/s}$)</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50 GB Cloud Block Storage SSD</w:t>
            </w:r>
          </w:p>
        </w:tc>
        <w:tc>
          <w:tcPr>
            <w:tcW w:type="dxa" w:w="2610"/>
            <w:shd w:fill="F9FAFB"/>
            <w:tcMar>
              <w:top w:w="100" w:type="dxa"/>
              <w:bottom w:w="100" w:type="dxa"/>
              <w:left w:w="120" w:type="dxa"/>
              <w:right w:w="120" w:type="dxa"/>
            </w:tcMar>
          </w:tcPr>
          <w:p>
            <w:pPr>
              <w:spacing w:line="276" w:lineRule="auto" w:after="40"/>
            </w:pPr>
            <w:r>
              <w:rPr>
                <w:rFonts w:ascii="Times New Roman" w:hAnsi="Times New Roman"/>
                <w:sz w:val="20"/>
              </w:rPr>
              <w:t>10 GB Free Storage</w:t>
            </w:r>
          </w:p>
        </w:tc>
      </w:tr>
      <w:tr>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Network</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1 Gbps Symmetric Fiber Backbone</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100 Mbps Cloud Virtual Interface</w:t>
            </w:r>
          </w:p>
        </w:tc>
        <w:tc>
          <w:tcPr>
            <w:tcW w:type="dxa" w:w="2610"/>
            <w:shd w:fill="FFFFFF"/>
            <w:tcMar>
              <w:top w:w="100" w:type="dxa"/>
              <w:bottom w:w="100" w:type="dxa"/>
              <w:left w:w="120" w:type="dxa"/>
              <w:right w:w="120" w:type="dxa"/>
            </w:tcMar>
          </w:tcPr>
          <w:p>
            <w:pPr>
              <w:spacing w:line="276" w:lineRule="auto" w:after="40"/>
            </w:pPr>
            <w:r>
              <w:rPr>
                <w:rFonts w:ascii="Times New Roman" w:hAnsi="Times New Roman"/>
                <w:sz w:val="20"/>
              </w:rPr>
              <w:t>Standard Broadband</w:t>
            </w:r>
          </w:p>
        </w:tc>
      </w:tr>
    </w:tbl>
    <w:p>
      <w:pPr>
        <w:spacing w:after="120"/>
      </w:pPr>
    </w:p>
    <w:p>
      <w:pPr>
        <w:keepNext/>
        <w:spacing w:before="240" w:after="120"/>
      </w:pPr>
      <w:r>
        <w:rPr>
          <w:rFonts w:ascii="Times New Roman" w:hAnsi="Times New Roman"/>
          <w:b/>
          <w:sz w:val="28"/>
        </w:rPr>
        <w:t>4.4.2 Software Environment</w:t>
      </w:r>
    </w:p>
    <w:p>
      <w:pPr>
        <w:spacing w:line="360" w:lineRule="auto" w:after="120"/>
        <w:ind w:left="432"/>
      </w:pPr>
      <w:r>
        <w:rPr>
          <w:rFonts w:ascii="Times New Roman" w:hAnsi="Times New Roman"/>
          <w:sz w:val="24"/>
        </w:rPr>
        <w:t>• Operating Systems: Windows 11 Enterprise (Host Development) / Ubuntu 22.04 LTS (Docker Container Environment)</w:t>
      </w:r>
    </w:p>
    <w:p>
      <w:pPr>
        <w:spacing w:line="360" w:lineRule="auto" w:after="120"/>
        <w:ind w:left="432"/>
      </w:pPr>
      <w:r>
        <w:rPr>
          <w:rFonts w:ascii="Times New Roman" w:hAnsi="Times New Roman"/>
          <w:sz w:val="24"/>
        </w:rPr>
        <w:t>• Python Runtime: Python 3.12.3 64-bit</w:t>
      </w:r>
    </w:p>
    <w:p>
      <w:pPr>
        <w:spacing w:line="360" w:lineRule="auto" w:after="120"/>
        <w:ind w:left="432"/>
      </w:pPr>
      <w:r>
        <w:rPr>
          <w:rFonts w:ascii="Times New Roman" w:hAnsi="Times New Roman"/>
          <w:sz w:val="24"/>
        </w:rPr>
        <w:t>• Node.js Environment: Node.js v20.14.0 LTS / npm v10.7.0</w:t>
      </w:r>
    </w:p>
    <w:p>
      <w:pPr>
        <w:spacing w:line="360" w:lineRule="auto" w:after="120"/>
        <w:ind w:left="432"/>
      </w:pPr>
      <w:r>
        <w:rPr>
          <w:rFonts w:ascii="Times New Roman" w:hAnsi="Times New Roman"/>
          <w:sz w:val="24"/>
        </w:rPr>
        <w:t>• Virtualization: Docker Engine 26.1.1 / Docker Compose v2.27.0</w:t>
      </w:r>
    </w:p>
    <w:p>
      <w:pPr>
        <w:spacing w:line="360" w:lineRule="auto" w:after="120"/>
        <w:ind w:left="432"/>
      </w:pPr>
      <w:r>
        <w:rPr>
          <w:rFonts w:ascii="Times New Roman" w:hAnsi="Times New Roman"/>
          <w:sz w:val="24"/>
        </w:rPr>
        <w:t>• Version Control: Git 2.45.0 / GitHub Enterprise</w:t>
      </w:r>
    </w:p>
    <w:p>
      <w:pPr>
        <w:keepNext/>
        <w:spacing w:before="240" w:after="120"/>
      </w:pPr>
      <w:r>
        <w:rPr>
          <w:rFonts w:ascii="Times New Roman" w:hAnsi="Times New Roman"/>
          <w:b/>
          <w:sz w:val="28"/>
        </w:rPr>
        <w:t>4.4.3 Benchmark Financial Datasets Summary</w:t>
      </w:r>
    </w:p>
    <w:p>
      <w:pPr>
        <w:spacing w:line="360" w:lineRule="auto" w:after="120"/>
        <w:jc w:val="both"/>
      </w:pPr>
      <w:r>
        <w:rPr>
          <w:rFonts w:ascii="Times New Roman" w:hAnsi="Times New Roman"/>
          <w:sz w:val="24"/>
        </w:rPr>
        <w:t>FraudShield AI was empirically trained and validated across four internationally recognized financial fraud benchmark datasets:</w:t>
      </w:r>
    </w:p>
    <w:p>
      <w:pPr>
        <w:keepNext/>
        <w:spacing w:before="200" w:after="80"/>
      </w:pPr>
      <w:r>
        <w:rPr>
          <w:rFonts w:ascii="Times New Roman" w:hAnsi="Times New Roman"/>
          <w:b/>
          <w:sz w:val="24"/>
        </w:rPr>
        <w:t>Table 4.2: Benchmark Financial Datasets Summary</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305"/>
        <w:gridCol w:w="1305"/>
        <w:gridCol w:w="1305"/>
        <w:gridCol w:w="1305"/>
        <w:gridCol w:w="1305"/>
        <w:gridCol w:w="1305"/>
        <w:gridCol w:w="1305"/>
        <w:gridCol w:w="1305"/>
      </w:tblGrid>
      <w:tr>
        <w:tc>
          <w:tcPr>
            <w:tcW w:type="dxa" w:w="1305"/>
            <w:shd w:fill="E5E7EB"/>
            <w:tcMar>
              <w:top w:w="120" w:type="dxa"/>
              <w:bottom w:w="120" w:type="dxa"/>
              <w:left w:w="140" w:type="dxa"/>
              <w:right w:w="140" w:type="dxa"/>
            </w:tcMar>
          </w:tcPr>
          <w:p>
            <w:pPr>
              <w:spacing w:line="276" w:lineRule="auto" w:after="40"/>
            </w:pPr>
            <w:r>
              <w:rPr>
                <w:rFonts w:ascii="Times New Roman" w:hAnsi="Times New Roman"/>
                <w:b/>
                <w:sz w:val="21"/>
              </w:rPr>
              <w:t>Dataset Identifier</w:t>
            </w:r>
          </w:p>
        </w:tc>
        <w:tc>
          <w:tcPr>
            <w:tcW w:type="dxa" w:w="1305"/>
            <w:shd w:fill="E5E7EB"/>
            <w:tcMar>
              <w:top w:w="120" w:type="dxa"/>
              <w:bottom w:w="120" w:type="dxa"/>
              <w:left w:w="140" w:type="dxa"/>
              <w:right w:w="140" w:type="dxa"/>
            </w:tcMar>
          </w:tcPr>
          <w:p>
            <w:pPr>
              <w:spacing w:line="276" w:lineRule="auto" w:after="40"/>
            </w:pPr>
            <w:r>
              <w:rPr>
                <w:rFonts w:ascii="Times New Roman" w:hAnsi="Times New Roman"/>
                <w:b/>
                <w:sz w:val="21"/>
              </w:rPr>
              <w:t>Domain &amp; Operational Context</w:t>
            </w:r>
          </w:p>
        </w:tc>
        <w:tc>
          <w:tcPr>
            <w:tcW w:type="dxa" w:w="1305"/>
            <w:shd w:fill="E5E7EB"/>
            <w:tcMar>
              <w:top w:w="120" w:type="dxa"/>
              <w:bottom w:w="120" w:type="dxa"/>
              <w:left w:w="140" w:type="dxa"/>
              <w:right w:w="140" w:type="dxa"/>
            </w:tcMar>
          </w:tcPr>
          <w:p>
            <w:pPr>
              <w:spacing w:line="276" w:lineRule="auto" w:after="40"/>
            </w:pPr>
            <w:r>
              <w:rPr>
                <w:rFonts w:ascii="Times New Roman" w:hAnsi="Times New Roman"/>
                <w:b/>
                <w:sz w:val="21"/>
              </w:rPr>
              <w:t>Total Records</w:t>
            </w:r>
          </w:p>
        </w:tc>
        <w:tc>
          <w:tcPr>
            <w:tcW w:type="dxa" w:w="1305"/>
            <w:shd w:fill="E5E7EB"/>
            <w:tcMar>
              <w:top w:w="120" w:type="dxa"/>
              <w:bottom w:w="120" w:type="dxa"/>
              <w:left w:w="140" w:type="dxa"/>
              <w:right w:w="140" w:type="dxa"/>
            </w:tcMar>
          </w:tcPr>
          <w:p>
            <w:pPr>
              <w:spacing w:line="276" w:lineRule="auto" w:after="40"/>
            </w:pPr>
            <w:r>
              <w:rPr>
                <w:rFonts w:ascii="Times New Roman" w:hAnsi="Times New Roman"/>
                <w:b/>
                <w:sz w:val="21"/>
              </w:rPr>
              <w:t>Fraudulent Records</w:t>
            </w:r>
          </w:p>
        </w:tc>
        <w:tc>
          <w:tcPr>
            <w:tcW w:type="dxa" w:w="1305"/>
            <w:shd w:fill="E5E7EB"/>
            <w:tcMar>
              <w:top w:w="120" w:type="dxa"/>
              <w:bottom w:w="120" w:type="dxa"/>
              <w:left w:w="140" w:type="dxa"/>
              <w:right w:w="140" w:type="dxa"/>
            </w:tcMar>
          </w:tcPr>
          <w:p>
            <w:pPr>
              <w:spacing w:line="276" w:lineRule="auto" w:after="40"/>
            </w:pPr>
            <w:r>
              <w:rPr>
                <w:rFonts w:ascii="Times New Roman" w:hAnsi="Times New Roman"/>
                <w:b/>
                <w:sz w:val="21"/>
              </w:rPr>
              <w:t>Benign Records</w:t>
            </w:r>
          </w:p>
        </w:tc>
        <w:tc>
          <w:tcPr>
            <w:tcW w:type="dxa" w:w="1305"/>
            <w:shd w:fill="E5E7EB"/>
            <w:tcMar>
              <w:top w:w="120" w:type="dxa"/>
              <w:bottom w:w="120" w:type="dxa"/>
              <w:left w:w="140" w:type="dxa"/>
              <w:right w:w="140" w:type="dxa"/>
            </w:tcMar>
          </w:tcPr>
          <w:p>
            <w:pPr>
              <w:spacing w:line="276" w:lineRule="auto" w:after="40"/>
            </w:pPr>
            <w:r>
              <w:rPr>
                <w:rFonts w:ascii="Times New Roman" w:hAnsi="Times New Roman"/>
                <w:b/>
                <w:sz w:val="21"/>
              </w:rPr>
              <w:t>Class Imbalance Ratio</w:t>
            </w:r>
          </w:p>
        </w:tc>
        <w:tc>
          <w:tcPr>
            <w:tcW w:type="dxa" w:w="1305"/>
            <w:shd w:fill="E5E7EB"/>
            <w:tcMar>
              <w:top w:w="120" w:type="dxa"/>
              <w:bottom w:w="120" w:type="dxa"/>
              <w:left w:w="140" w:type="dxa"/>
              <w:right w:w="140" w:type="dxa"/>
            </w:tcMar>
          </w:tcPr>
          <w:p>
            <w:pPr>
              <w:spacing w:line="276" w:lineRule="auto" w:after="40"/>
            </w:pPr>
            <w:r>
              <w:rPr>
                <w:rFonts w:ascii="Times New Roman" w:hAnsi="Times New Roman"/>
                <w:b/>
                <w:sz w:val="21"/>
              </w:rPr>
              <w:t>Feature Dimension</w:t>
            </w:r>
          </w:p>
        </w:tc>
        <w:tc>
          <w:tcPr>
            <w:tcW w:type="dxa" w:w="1305"/>
            <w:shd w:fill="E5E7EB"/>
            <w:tcMar>
              <w:top w:w="120" w:type="dxa"/>
              <w:bottom w:w="120" w:type="dxa"/>
              <w:left w:w="140" w:type="dxa"/>
              <w:right w:w="140" w:type="dxa"/>
            </w:tcMar>
          </w:tcPr>
          <w:p>
            <w:pPr>
              <w:spacing w:line="276" w:lineRule="auto" w:after="40"/>
            </w:pPr>
            <w:r>
              <w:rPr>
                <w:rFonts w:ascii="Times New Roman" w:hAnsi="Times New Roman"/>
                <w:b/>
                <w:sz w:val="21"/>
              </w:rPr>
              <w:t>Source &amp; Citation</w:t>
            </w:r>
          </w:p>
        </w:tc>
      </w:tr>
      <w:tr>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PaySim Mobile Money</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Mobile P2P Money Transfers</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6,362,620</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8,213</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6,354,407</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774 : 1 (0.129%)</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11 Features</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Lopez-Rojas et al. (2016)</w:t>
            </w:r>
          </w:p>
        </w:tc>
      </w:tr>
      <w:tr>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European Credit Card</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Anonymized Cardholder PCA</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284,807</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492</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284,315</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577 : 1 (0.172%)</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30 Features ($V1-V{28}$, Time, Amount)</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Dal Pozzolo et al. (2015)</w:t>
            </w:r>
          </w:p>
        </w:tc>
      </w:tr>
      <w:tr>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Spatial Behavioral</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Geospatial Card Transactions</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1,852,394</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9,651</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1,842,743</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191 : 1 (0.521%)</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22 Features (Coordinates, Merchant)</w:t>
            </w:r>
          </w:p>
        </w:tc>
        <w:tc>
          <w:tcPr>
            <w:tcW w:type="dxa" w:w="1305"/>
            <w:shd w:fill="FFFFFF"/>
            <w:tcMar>
              <w:top w:w="100" w:type="dxa"/>
              <w:bottom w:w="100" w:type="dxa"/>
              <w:left w:w="120" w:type="dxa"/>
              <w:right w:w="120" w:type="dxa"/>
            </w:tcMar>
          </w:tcPr>
          <w:p>
            <w:pPr>
              <w:spacing w:line="276" w:lineRule="auto" w:after="40"/>
            </w:pPr>
            <w:r>
              <w:rPr>
                <w:rFonts w:ascii="Times New Roman" w:hAnsi="Times New Roman"/>
                <w:sz w:val="20"/>
              </w:rPr>
              <w:t>Sparkov / Kaggle (2020)</w:t>
            </w:r>
          </w:p>
        </w:tc>
      </w:tr>
      <w:tr>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BankSim Retail</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Synthetic Agent Banking</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594,643</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7,200</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587,443</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81 : 1 (1.211%)</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10 Features (Merchant Categories)</w:t>
            </w:r>
          </w:p>
        </w:tc>
        <w:tc>
          <w:tcPr>
            <w:tcW w:type="dxa" w:w="1305"/>
            <w:shd w:fill="F9FAFB"/>
            <w:tcMar>
              <w:top w:w="100" w:type="dxa"/>
              <w:bottom w:w="100" w:type="dxa"/>
              <w:left w:w="120" w:type="dxa"/>
              <w:right w:w="120" w:type="dxa"/>
            </w:tcMar>
          </w:tcPr>
          <w:p>
            <w:pPr>
              <w:spacing w:line="276" w:lineRule="auto" w:after="40"/>
            </w:pPr>
            <w:r>
              <w:rPr>
                <w:rFonts w:ascii="Times New Roman" w:hAnsi="Times New Roman"/>
                <w:sz w:val="20"/>
              </w:rPr>
              <w:t>Lopez-Rojas &amp; Axelsson (2014)</w:t>
            </w:r>
          </w:p>
        </w:tc>
      </w:tr>
    </w:tbl>
    <w:p>
      <w:pPr>
        <w:spacing w:after="120"/>
      </w:pPr>
    </w:p>
    <w:p>
      <w:pPr>
        <w:keepNext/>
        <w:spacing w:before="280" w:after="160"/>
      </w:pPr>
      <w:r>
        <w:rPr>
          <w:rFonts w:ascii="Times New Roman" w:hAnsi="Times New Roman"/>
          <w:b/>
          <w:sz w:val="32"/>
        </w:rPr>
        <w:t>4.5 Implementation, Deployment and Testing</w:t>
      </w:r>
    </w:p>
    <w:p>
      <w:pPr>
        <w:keepNext/>
        <w:spacing w:before="240" w:after="120"/>
      </w:pPr>
      <w:r>
        <w:rPr>
          <w:rFonts w:ascii="Times New Roman" w:hAnsi="Times New Roman"/>
          <w:b/>
          <w:sz w:val="28"/>
        </w:rPr>
        <w:t>4.5.1 Automated Test Suite Execution Matrix</w:t>
      </w:r>
    </w:p>
    <w:p>
      <w:pPr>
        <w:spacing w:line="360" w:lineRule="auto" w:after="120"/>
        <w:jc w:val="both"/>
      </w:pPr>
      <w:r>
        <w:rPr>
          <w:rFonts w:ascii="Times New Roman" w:hAnsi="Times New Roman"/>
          <w:sz w:val="24"/>
        </w:rPr>
        <w:t>To guarantee production reliability, the system incorporates an exhaustive automated test suite implemented via pytest. The suite executes 100% automated regression runs across core modules:</w:t>
      </w:r>
    </w:p>
    <w:p>
      <w:pPr>
        <w:keepNext/>
        <w:spacing w:before="200" w:after="80"/>
      </w:pPr>
      <w:r>
        <w:rPr>
          <w:rFonts w:ascii="Times New Roman" w:hAnsi="Times New Roman"/>
          <w:b/>
          <w:sz w:val="24"/>
        </w:rPr>
        <w:t>Table 4.3: Automated Test Suite Execution Matrix</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2088"/>
        <w:gridCol w:w="2088"/>
        <w:gridCol w:w="2088"/>
        <w:gridCol w:w="2088"/>
        <w:gridCol w:w="2088"/>
      </w:tblGrid>
      <w:tr>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Test Suite Module</w:t>
            </w:r>
          </w:p>
        </w:tc>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Test Identifier</w:t>
            </w:r>
          </w:p>
        </w:tc>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Target Functionality / Endpoint</w:t>
            </w:r>
          </w:p>
        </w:tc>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Verification Objective</w:t>
            </w:r>
          </w:p>
        </w:tc>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Result</w:t>
            </w:r>
          </w:p>
        </w:tc>
      </w:tr>
      <w:tr>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testapi.py</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TC-API-01</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GET /health</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Validates API status, model loading, and memory health.</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testapi.py</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TC-API-02</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POST /auth/login</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Validates JWT token generation, expiry, and RBAC claims.</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testapi.py</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TC-API-03</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POST /analyze?domain=paysim</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Validates PaySim inference, calibrated score, and tier.</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testapi.py</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TC-API-04</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POST /analyze?domain=creditcard</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Validates Credit Card PCA inference with 28 PCA vectors.</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testapi.py</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TC-API-05</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POST /analyze?domain=spatial</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Validates Haversine distance calculation and geo-scoring.</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testapi.py</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TC-API-06</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POST /analyze?domain=banksim</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Validates retail category encoding and merchant risk.</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testcore.py</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TC-ML-01</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modelengine.predictproba()</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Validates Stacking Ensemble Level-0/Level-1 meta output.</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testcore.py</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TC-ML-02</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explainer.explaininstance()</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Validates TreeSHAP additive efficiency and reason codes.</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testcore.py</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TC-ML-03</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graphengine.detectcycles()</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Validates NetworkX multi-hop cyclic ring identification.</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testcore.py</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TC-ML-04</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driftmonitor.checkdrift()</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Validates 2-sample KS-test statistics and PSI calculation.</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testsecurity.py</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TC-SEC-01</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OWASP Security Headers</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Validates X-Content-Type-Options, X-Frame-Options.</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Passed</w:t>
            </w:r>
          </w:p>
        </w:tc>
      </w:tr>
      <w:tr>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testsecurity.py</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TC-SEC-02</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Sliding-Window Rate Limiter</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Verifies HTTP 429 Too Many Requests upon burst flood.</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Passed</w:t>
            </w:r>
          </w:p>
        </w:tc>
      </w:tr>
    </w:tbl>
    <w:p>
      <w:pPr>
        <w:spacing w:after="120"/>
      </w:pPr>
    </w:p>
    <w:p>
      <w:pPr>
        <w:keepNext/>
        <w:spacing w:before="280" w:after="160"/>
      </w:pPr>
      <w:r>
        <w:rPr>
          <w:rFonts w:ascii="Times New Roman" w:hAnsi="Times New Roman"/>
          <w:b/>
          <w:sz w:val="32"/>
        </w:rPr>
        <w:t>4.6 Performance Evaluation</w:t>
      </w:r>
    </w:p>
    <w:p>
      <w:pPr>
        <w:keepNext/>
        <w:spacing w:before="240" w:after="120"/>
      </w:pPr>
      <w:r>
        <w:rPr>
          <w:rFonts w:ascii="Times New Roman" w:hAnsi="Times New Roman"/>
          <w:b/>
          <w:sz w:val="28"/>
        </w:rPr>
        <w:t>4.6.1 Evaluation Metrics Formulation</w:t>
      </w:r>
    </w:p>
    <w:p>
      <w:pPr>
        <w:spacing w:line="360" w:lineRule="auto" w:after="120"/>
        <w:jc w:val="both"/>
      </w:pPr>
      <w:r>
        <w:rPr>
          <w:rFonts w:ascii="Times New Roman" w:hAnsi="Times New Roman"/>
          <w:sz w:val="24"/>
        </w:rPr>
        <w:t>Because financial transaction datasets exhibit extreme class imbalance, traditional accuracy:</w:t>
      </w:r>
    </w:p>
    <w:p>
      <w:pPr>
        <w:spacing w:line="360" w:lineRule="auto" w:after="120"/>
        <w:jc w:val="both"/>
      </w:pPr>
      <w:r>
        <w:rPr>
          <w:rFonts w:ascii="Times New Roman" w:hAnsi="Times New Roman"/>
          <w:sz w:val="24"/>
        </w:rPr>
        <w:t>$$\text{Accuracy} = \frac{TP + TN}{TP + TN + FP + FN}$$</w:t>
      </w:r>
    </w:p>
    <w:p>
      <w:pPr>
        <w:spacing w:line="360" w:lineRule="auto" w:after="120"/>
        <w:jc w:val="both"/>
      </w:pPr>
      <w:r>
        <w:rPr>
          <w:rFonts w:ascii="Times New Roman" w:hAnsi="Times New Roman"/>
          <w:sz w:val="24"/>
        </w:rPr>
        <w:t>is dangerously misleading. FraudShield AI utilizes robust imbalanced evaluation metrics:</w:t>
      </w:r>
    </w:p>
    <w:p>
      <w:pPr>
        <w:spacing w:line="360" w:lineRule="auto" w:after="120"/>
        <w:ind w:left="432"/>
      </w:pPr>
      <w:r>
        <w:rPr>
          <w:rFonts w:ascii="Times New Roman" w:hAnsi="Times New Roman"/>
          <w:sz w:val="24"/>
        </w:rPr>
        <w:t>1. Precision (Positive Predictive Value):</w:t>
      </w:r>
    </w:p>
    <w:p>
      <w:pPr>
        <w:spacing w:line="360" w:lineRule="auto" w:after="120"/>
        <w:jc w:val="both"/>
      </w:pPr>
      <w:r>
        <w:rPr>
          <w:rFonts w:ascii="Times New Roman" w:hAnsi="Times New Roman"/>
          <w:sz w:val="24"/>
        </w:rPr>
        <w:t>$$\text{Precision} = \frac{TP}{TP + FP}$$</w:t>
      </w:r>
    </w:p>
    <w:p>
      <w:pPr>
        <w:spacing w:line="360" w:lineRule="auto" w:after="120"/>
        <w:jc w:val="both"/>
      </w:pPr>
      <w:r>
        <w:rPr>
          <w:rFonts w:ascii="Times New Roman" w:hAnsi="Times New Roman"/>
          <w:sz w:val="24"/>
        </w:rPr>
        <w:t>Measures the proportion of flagged transactions that are genuinely fraudulent. High precision minimizes false alarms and customer friction.</w:t>
      </w:r>
    </w:p>
    <w:p>
      <w:pPr>
        <w:spacing w:line="360" w:lineRule="auto" w:after="120"/>
        <w:ind w:left="432"/>
      </w:pPr>
      <w:r>
        <w:rPr>
          <w:rFonts w:ascii="Times New Roman" w:hAnsi="Times New Roman"/>
          <w:sz w:val="24"/>
        </w:rPr>
        <w:t>2. Recall (Sensitivity / True Positive Rate):</w:t>
      </w:r>
    </w:p>
    <w:p>
      <w:pPr>
        <w:spacing w:line="360" w:lineRule="auto" w:after="120"/>
        <w:jc w:val="both"/>
      </w:pPr>
      <w:r>
        <w:rPr>
          <w:rFonts w:ascii="Times New Roman" w:hAnsi="Times New Roman"/>
          <w:sz w:val="24"/>
        </w:rPr>
        <w:t>$$\text{Recall} = \frac{TP}{TP + FN}$$</w:t>
      </w:r>
    </w:p>
    <w:p>
      <w:pPr>
        <w:spacing w:line="360" w:lineRule="auto" w:after="120"/>
        <w:jc w:val="both"/>
      </w:pPr>
      <w:r>
        <w:rPr>
          <w:rFonts w:ascii="Times New Roman" w:hAnsi="Times New Roman"/>
          <w:sz w:val="24"/>
        </w:rPr>
        <w:t>Measures the proportion of actual fraudulent events captured by the system. High recall guarantees financial loss containment.</w:t>
      </w:r>
    </w:p>
    <w:p>
      <w:pPr>
        <w:spacing w:line="360" w:lineRule="auto" w:after="120"/>
        <w:ind w:left="432"/>
      </w:pPr>
      <w:r>
        <w:rPr>
          <w:rFonts w:ascii="Times New Roman" w:hAnsi="Times New Roman"/>
          <w:sz w:val="24"/>
        </w:rPr>
        <w:t>3. F1-Score (Harmonic Mean):</w:t>
      </w:r>
    </w:p>
    <w:p>
      <w:pPr>
        <w:spacing w:line="360" w:lineRule="auto" w:after="120"/>
        <w:jc w:val="both"/>
      </w:pPr>
      <w:r>
        <w:rPr>
          <w:rFonts w:ascii="Times New Roman" w:hAnsi="Times New Roman"/>
          <w:sz w:val="24"/>
        </w:rPr>
        <w:t>$$F1 = 2 \cdot \frac{\text{Precision} \cdot \text{Recall}}{\text{Precision} + \text{Recall}} = \frac{2 TP}{2 TP + FP + FN}$$</w:t>
      </w:r>
    </w:p>
    <w:p>
      <w:pPr>
        <w:spacing w:line="360" w:lineRule="auto" w:after="120"/>
        <w:ind w:left="432"/>
      </w:pPr>
      <w:r>
        <w:rPr>
          <w:rFonts w:ascii="Times New Roman" w:hAnsi="Times New Roman"/>
          <w:sz w:val="24"/>
        </w:rPr>
        <w:t>4. Precision-Recall Area Under the Curve (PR-AUC):</w:t>
      </w:r>
    </w:p>
    <w:p>
      <w:pPr>
        <w:spacing w:line="360" w:lineRule="auto" w:after="120"/>
        <w:jc w:val="both"/>
      </w:pPr>
      <w:r>
        <w:rPr>
          <w:rFonts w:ascii="Times New Roman" w:hAnsi="Times New Roman"/>
          <w:sz w:val="24"/>
        </w:rPr>
        <w:t>Evaluates the integral of the precision-recall curve across all possible classification thresholds. PR-AUC is widely recognized as the gold-standard metric for imbalanced fraud classification.</w:t>
      </w:r>
    </w:p>
    <w:p>
      <w:pPr>
        <w:spacing w:line="360" w:lineRule="auto" w:after="120"/>
        <w:ind w:left="432"/>
      </w:pPr>
      <w:r>
        <w:rPr>
          <w:rFonts w:ascii="Times New Roman" w:hAnsi="Times New Roman"/>
          <w:sz w:val="24"/>
        </w:rPr>
        <w:t>5. Receiver Operating Characteristic Area Under the Curve (ROC-AUC):</w:t>
      </w:r>
    </w:p>
    <w:p>
      <w:pPr>
        <w:spacing w:line="360" w:lineRule="auto" w:after="120"/>
        <w:jc w:val="both"/>
      </w:pPr>
      <w:r>
        <w:rPr>
          <w:rFonts w:ascii="Times New Roman" w:hAnsi="Times New Roman"/>
          <w:sz w:val="24"/>
        </w:rPr>
        <w:t>Measures the trade-off between True Positive Rate and False Positive Rate ($FPR = FP / (FP + TN)$) across thresholds.</w:t>
      </w:r>
    </w:p>
    <w:p>
      <w:pPr>
        <w:keepNext/>
        <w:spacing w:before="240" w:after="120"/>
      </w:pPr>
      <w:r>
        <w:rPr>
          <w:rFonts w:ascii="Times New Roman" w:hAnsi="Times New Roman"/>
          <w:b/>
          <w:sz w:val="28"/>
        </w:rPr>
        <w:t>4.6.2 Cross-Validation Generalization Gap Analysis</w:t>
      </w:r>
    </w:p>
    <w:p>
      <w:pPr>
        <w:spacing w:line="360" w:lineRule="auto" w:after="120"/>
        <w:jc w:val="both"/>
      </w:pPr>
      <w:r>
        <w:rPr>
          <w:rFonts w:ascii="Times New Roman" w:hAnsi="Times New Roman"/>
          <w:sz w:val="24"/>
        </w:rPr>
        <w:t>To empirically confirm that the Stacking Ensemble does not overfit training partitions, 5-fold stratified cross-validation was conducted across all four domains. The Generalization Gap is defined as:</w:t>
      </w:r>
    </w:p>
    <w:p>
      <w:pPr>
        <w:spacing w:line="360" w:lineRule="auto" w:after="120"/>
        <w:jc w:val="both"/>
      </w:pPr>
      <w:r>
        <w:rPr>
          <w:rFonts w:ascii="Times New Roman" w:hAnsi="Times New Roman"/>
          <w:sz w:val="24"/>
        </w:rPr>
        <w:t>$$\Delta{\text{gen}} = |\text{Score}{\text{train}} - \text{Score}{\text{test}}|$$</w:t>
      </w:r>
    </w:p>
    <w:p>
      <w:pPr>
        <w:keepNext/>
        <w:spacing w:before="200" w:after="80"/>
      </w:pPr>
      <w:r>
        <w:rPr>
          <w:rFonts w:ascii="Times New Roman" w:hAnsi="Times New Roman"/>
          <w:b/>
          <w:sz w:val="24"/>
        </w:rPr>
        <w:t>Table 4.4: 5-Fold Cross-Validation Generalization Gap Analysis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2088"/>
        <w:gridCol w:w="2088"/>
        <w:gridCol w:w="2088"/>
        <w:gridCol w:w="2088"/>
        <w:gridCol w:w="2088"/>
      </w:tblGrid>
      <w:tr>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Domain Model Head</w:t>
            </w:r>
          </w:p>
        </w:tc>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5-Fold Mean Train F1</w:t>
            </w:r>
          </w:p>
        </w:tc>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5-Fold Mean Test F1</w:t>
            </w:r>
          </w:p>
        </w:tc>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Generalization Gap ($\Delta{\text{gen}}$)</w:t>
            </w:r>
          </w:p>
        </w:tc>
        <w:tc>
          <w:tcPr>
            <w:tcW w:type="dxa" w:w="2088"/>
            <w:shd w:fill="E5E7EB"/>
            <w:tcMar>
              <w:top w:w="120" w:type="dxa"/>
              <w:bottom w:w="120" w:type="dxa"/>
              <w:left w:w="140" w:type="dxa"/>
              <w:right w:w="140" w:type="dxa"/>
            </w:tcMar>
          </w:tcPr>
          <w:p>
            <w:pPr>
              <w:spacing w:line="276" w:lineRule="auto" w:after="40"/>
            </w:pPr>
            <w:r>
              <w:rPr>
                <w:rFonts w:ascii="Times New Roman" w:hAnsi="Times New Roman"/>
                <w:b/>
                <w:sz w:val="21"/>
              </w:rPr>
              <w:t>Overfitting Status</w:t>
            </w:r>
          </w:p>
        </w:tc>
      </w:tr>
      <w:tr>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PaySim Mobile Money Head</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$99.70\% \pm 0.02\%$</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$99.66\% \pm 0.04\%$</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0.04%</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Minimal / Robust</w:t>
            </w:r>
          </w:p>
        </w:tc>
      </w:tr>
      <w:tr>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Credit Card PCA Head</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$89.65\% \pm 0.18\%$</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$89.25\% \pm 0.22\%$</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0.40%</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Minimal / Robust</w:t>
            </w:r>
          </w:p>
        </w:tc>
      </w:tr>
      <w:tr>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Spatial Behavioral Head</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$85.90\% \pm 0.25\%$</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$85.57\% \pm 0.31\%$</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0.33%</w:t>
            </w:r>
          </w:p>
        </w:tc>
        <w:tc>
          <w:tcPr>
            <w:tcW w:type="dxa" w:w="2088"/>
            <w:shd w:fill="FFFFFF"/>
            <w:tcMar>
              <w:top w:w="100" w:type="dxa"/>
              <w:bottom w:w="100" w:type="dxa"/>
              <w:left w:w="120" w:type="dxa"/>
              <w:right w:w="120" w:type="dxa"/>
            </w:tcMar>
          </w:tcPr>
          <w:p>
            <w:pPr>
              <w:spacing w:line="276" w:lineRule="auto" w:after="40"/>
            </w:pPr>
            <w:r>
              <w:rPr>
                <w:rFonts w:ascii="Times New Roman" w:hAnsi="Times New Roman"/>
                <w:sz w:val="20"/>
              </w:rPr>
              <w:t>✅ Minimal / Robust</w:t>
            </w:r>
          </w:p>
        </w:tc>
      </w:tr>
      <w:tr>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BankSim Retail Head</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$97.40\% \pm 0.12\%$</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$97.14\% \pm 0.19\%$</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0.26%</w:t>
            </w:r>
          </w:p>
        </w:tc>
        <w:tc>
          <w:tcPr>
            <w:tcW w:type="dxa" w:w="2088"/>
            <w:shd w:fill="F9FAFB"/>
            <w:tcMar>
              <w:top w:w="100" w:type="dxa"/>
              <w:bottom w:w="100" w:type="dxa"/>
              <w:left w:w="120" w:type="dxa"/>
              <w:right w:w="120" w:type="dxa"/>
            </w:tcMar>
          </w:tcPr>
          <w:p>
            <w:pPr>
              <w:spacing w:line="276" w:lineRule="auto" w:after="40"/>
            </w:pPr>
            <w:r>
              <w:rPr>
                <w:rFonts w:ascii="Times New Roman" w:hAnsi="Times New Roman"/>
                <w:sz w:val="20"/>
              </w:rPr>
              <w:t>✅ Minimal / Robust</w:t>
            </w:r>
          </w:p>
        </w:tc>
      </w:tr>
    </w:tbl>
    <w:p>
      <w:pPr>
        <w:spacing w:after="120"/>
      </w:pPr>
    </w:p>
    <w:p>
      <w:pPr>
        <w:spacing w:line="360" w:lineRule="auto" w:after="120"/>
        <w:jc w:val="both"/>
      </w:pPr>
      <w:r>
        <w:rPr>
          <w:rFonts w:ascii="Times New Roman" w:hAnsi="Times New Roman"/>
          <w:sz w:val="24"/>
        </w:rPr>
        <w:t>As shown in Table 4.4, all generalization gaps remain strictly below $0.50\%$, confirming that the combination of OmniSMOTE resampling, tree depth limits, $L2$ meta-regularization, and class-weighting achieves exceptional out-of-sample generalization.</w:t>
      </w:r>
    </w:p>
    <w:p>
      <w:pPr>
        <w:keepNext/>
        <w:spacing w:before="280" w:after="160"/>
      </w:pPr>
      <w:r>
        <w:rPr>
          <w:rFonts w:ascii="Times New Roman" w:hAnsi="Times New Roman"/>
          <w:b/>
          <w:sz w:val="32"/>
        </w:rPr>
        <w:t>4.7 Summary</w:t>
      </w:r>
    </w:p>
    <w:p>
      <w:pPr>
        <w:spacing w:line="360" w:lineRule="auto" w:after="120"/>
        <w:jc w:val="both"/>
      </w:pPr>
      <w:r>
        <w:rPr>
          <w:rFonts w:ascii="Times New Roman" w:hAnsi="Times New Roman"/>
          <w:sz w:val="24"/>
        </w:rPr>
        <w:t>Chapter 4 detailed the complete system architecture, data flow representations, mathematical algorithms, user interface designs, and experimental verification infrastructure of FraudShield AI. By translating theoretical formulations into high-performance C++ and Python implementations, the platform achieves sub-100ms inference latencies, synchronous TreeSHAP explanations, and robust generalization under extreme class imbalance.</w:t>
      </w:r>
    </w:p>
    <w:p>
      <w:pPr>
        <w:spacing w:line="360" w:lineRule="auto" w:after="120"/>
        <w:jc w:val="both"/>
      </w:pPr>
      <w:r>
        <w:rPr>
          <w:rFonts w:ascii="Times New Roman" w:hAnsi="Times New Roman"/>
          <w:sz w:val="24"/>
        </w:rPr>
        <w:t>End of Chapter 4 — System Design and Experimental Set up</w:t>
      </w:r>
    </w:p>
    <w:p>
      <w:r>
        <w:br w:type="page"/>
      </w:r>
    </w:p>
    <w:p>
      <w:pPr>
        <w:keepNext/>
        <w:spacing w:before="400" w:after="200"/>
        <w:jc w:val="center"/>
      </w:pPr>
      <w:r>
        <w:rPr>
          <w:rFonts w:ascii="Times New Roman" w:hAnsi="Times New Roman"/>
          <w:b/>
          <w:sz w:val="36"/>
        </w:rPr>
        <w:t>Chapter 5: Results &amp; Discussion</w:t>
      </w:r>
    </w:p>
    <w:p>
      <w:pPr>
        <w:keepNext/>
        <w:spacing w:before="280" w:after="160"/>
      </w:pPr>
      <w:r>
        <w:rPr>
          <w:rFonts w:ascii="Times New Roman" w:hAnsi="Times New Roman"/>
          <w:b/>
          <w:sz w:val="32"/>
        </w:rPr>
        <w:t>5.1 Outputs &amp; Outcomes</w:t>
      </w:r>
    </w:p>
    <w:p>
      <w:pPr>
        <w:spacing w:line="360" w:lineRule="auto" w:after="120"/>
        <w:jc w:val="both"/>
      </w:pPr>
      <w:r>
        <w:rPr>
          <w:rFonts w:ascii="Times New Roman" w:hAnsi="Times New Roman"/>
          <w:sz w:val="24"/>
        </w:rPr>
        <w:t>This section presents the comprehensive empirical findings obtained from evaluating FraudShield AI across four internationally recognized financial transaction benchmark datasets. Benchmarking contrasts default standalone classifiers against domain-optimized Stacking Ensemble heads, evaluating classification metrics, explainability fidelity, graph forensic outcomes, and microservice latencies.</w:t>
      </w:r>
    </w:p>
    <w:p>
      <w:pPr>
        <w:keepNext/>
        <w:spacing w:before="240" w:after="120"/>
      </w:pPr>
      <w:r>
        <w:rPr>
          <w:rFonts w:ascii="Times New Roman" w:hAnsi="Times New Roman"/>
          <w:b/>
          <w:sz w:val="28"/>
        </w:rPr>
        <w:t>5.1.1 Master Empirical Performance Comparison</w:t>
      </w:r>
    </w:p>
    <w:p>
      <w:pPr>
        <w:spacing w:line="360" w:lineRule="auto" w:after="120"/>
        <w:jc w:val="both"/>
      </w:pPr>
      <w:r>
        <w:rPr>
          <w:rFonts w:ascii="Times New Roman" w:hAnsi="Times New Roman"/>
          <w:sz w:val="24"/>
        </w:rPr>
        <w:t>Table 5.1 summarizes the classification performance before optimization (default standalone models at standard $0.50$ decision thresholds) versus after optimization (dedicated Stacking Ensemble heads incorporating dynamic class-weighting, OmniSMOTE resampling, and threshold calibration):</w:t>
      </w:r>
    </w:p>
    <w:p>
      <w:pPr>
        <w:keepNext/>
        <w:spacing w:before="200" w:after="80"/>
      </w:pPr>
      <w:r>
        <w:rPr>
          <w:rFonts w:ascii="Times New Roman" w:hAnsi="Times New Roman"/>
          <w:b/>
          <w:sz w:val="24"/>
        </w:rPr>
        <w:t>Table 5.1: Master Empirical Performance Comparison (Before vs. After Optimization)</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740"/>
        <w:gridCol w:w="1740"/>
        <w:gridCol w:w="1740"/>
        <w:gridCol w:w="1740"/>
        <w:gridCol w:w="1740"/>
        <w:gridCol w:w="1740"/>
      </w:tblGrid>
      <w:tr>
        <w:tc>
          <w:tcPr>
            <w:tcW w:type="dxa" w:w="1740"/>
            <w:shd w:fill="E5E7EB"/>
            <w:tcMar>
              <w:top w:w="120" w:type="dxa"/>
              <w:bottom w:w="120" w:type="dxa"/>
              <w:left w:w="140" w:type="dxa"/>
              <w:right w:w="140" w:type="dxa"/>
            </w:tcMar>
          </w:tcPr>
          <w:p>
            <w:pPr>
              <w:spacing w:line="276" w:lineRule="auto" w:after="40"/>
            </w:pPr>
            <w:r>
              <w:rPr>
                <w:rFonts w:ascii="Times New Roman" w:hAnsi="Times New Roman"/>
                <w:b/>
                <w:sz w:val="21"/>
              </w:rPr>
              <w:t>Dataset Domain</w:t>
            </w:r>
          </w:p>
        </w:tc>
        <w:tc>
          <w:tcPr>
            <w:tcW w:type="dxa" w:w="1740"/>
            <w:shd w:fill="E5E7EB"/>
            <w:tcMar>
              <w:top w:w="120" w:type="dxa"/>
              <w:bottom w:w="120" w:type="dxa"/>
              <w:left w:w="140" w:type="dxa"/>
              <w:right w:w="140" w:type="dxa"/>
            </w:tcMar>
          </w:tcPr>
          <w:p>
            <w:pPr>
              <w:spacing w:line="276" w:lineRule="auto" w:after="40"/>
            </w:pPr>
            <w:r>
              <w:rPr>
                <w:rFonts w:ascii="Times New Roman" w:hAnsi="Times New Roman"/>
                <w:b/>
                <w:sz w:val="21"/>
              </w:rPr>
              <w:t>Evaluated Metric</w:t>
            </w:r>
          </w:p>
        </w:tc>
        <w:tc>
          <w:tcPr>
            <w:tcW w:type="dxa" w:w="1740"/>
            <w:shd w:fill="E5E7EB"/>
            <w:tcMar>
              <w:top w:w="120" w:type="dxa"/>
              <w:bottom w:w="120" w:type="dxa"/>
              <w:left w:w="140" w:type="dxa"/>
              <w:right w:w="140" w:type="dxa"/>
            </w:tcMar>
          </w:tcPr>
          <w:p>
            <w:pPr>
              <w:spacing w:line="276" w:lineRule="auto" w:after="40"/>
            </w:pPr>
            <w:r>
              <w:rPr>
                <w:rFonts w:ascii="Times New Roman" w:hAnsi="Times New Roman"/>
                <w:b/>
                <w:sz w:val="21"/>
              </w:rPr>
              <w:t>BEFORE Optimization (Default Unweighted)</w:t>
            </w:r>
          </w:p>
        </w:tc>
        <w:tc>
          <w:tcPr>
            <w:tcW w:type="dxa" w:w="1740"/>
            <w:shd w:fill="E5E7EB"/>
            <w:tcMar>
              <w:top w:w="120" w:type="dxa"/>
              <w:bottom w:w="120" w:type="dxa"/>
              <w:left w:w="140" w:type="dxa"/>
              <w:right w:w="140" w:type="dxa"/>
            </w:tcMar>
          </w:tcPr>
          <w:p>
            <w:pPr>
              <w:spacing w:line="276" w:lineRule="auto" w:after="40"/>
            </w:pPr>
            <w:r>
              <w:rPr>
                <w:rFonts w:ascii="Times New Roman" w:hAnsi="Times New Roman"/>
                <w:b/>
                <w:sz w:val="21"/>
              </w:rPr>
              <w:t>AFTER Optimization (FraudShield AI Head)</w:t>
            </w:r>
          </w:p>
        </w:tc>
        <w:tc>
          <w:tcPr>
            <w:tcW w:type="dxa" w:w="1740"/>
            <w:shd w:fill="E5E7EB"/>
            <w:tcMar>
              <w:top w:w="120" w:type="dxa"/>
              <w:bottom w:w="120" w:type="dxa"/>
              <w:left w:w="140" w:type="dxa"/>
              <w:right w:w="140" w:type="dxa"/>
            </w:tcMar>
          </w:tcPr>
          <w:p>
            <w:pPr>
              <w:spacing w:line="276" w:lineRule="auto" w:after="40"/>
            </w:pPr>
            <w:r>
              <w:rPr>
                <w:rFonts w:ascii="Times New Roman" w:hAnsi="Times New Roman"/>
                <w:b/>
                <w:sz w:val="21"/>
              </w:rPr>
              <w:t>Absolute Performance Improvement</w:t>
            </w:r>
          </w:p>
        </w:tc>
        <w:tc>
          <w:tcPr>
            <w:tcW w:type="dxa" w:w="1740"/>
            <w:shd w:fill="E5E7EB"/>
            <w:tcMar>
              <w:top w:w="120" w:type="dxa"/>
              <w:bottom w:w="120" w:type="dxa"/>
              <w:left w:w="140" w:type="dxa"/>
              <w:right w:w="140" w:type="dxa"/>
            </w:tcMar>
          </w:tcPr>
          <w:p>
            <w:pPr>
              <w:spacing w:line="276" w:lineRule="auto" w:after="40"/>
            </w:pPr>
            <w:r>
              <w:rPr>
                <w:rFonts w:ascii="Times New Roman" w:hAnsi="Times New Roman"/>
                <w:b/>
                <w:sz w:val="21"/>
              </w:rPr>
              <w:t>Optimal Calibrated Threshold</w:t>
            </w:r>
          </w:p>
        </w:tc>
      </w:tr>
      <w:tr>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Credit Card PCA</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F1-Score</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$80.85\%$</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89.25%</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 +8.40%</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0.9684</w:t>
            </w:r>
          </w:p>
        </w:tc>
      </w:tr>
      <w:tr>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Credit Card PCA</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Precision</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$85.07\%$</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94.32%</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 +9.25%</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0.9684</w:t>
            </w:r>
          </w:p>
        </w:tc>
      </w:tr>
      <w:tr>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Credit Card PCA</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Recall</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$77.03\%$</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84.69%</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 +7.66%</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0.9684</w:t>
            </w:r>
          </w:p>
        </w:tc>
      </w:tr>
      <w:tr>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Credit Card PCA</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ROC-AUC</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$0.9421$</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0.9845</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 +0.0424</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0.9684</w:t>
            </w:r>
          </w:p>
        </w:tc>
      </w:tr>
      <w:tr>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Spatial Behavioral</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F1-Score</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$81.10\%$</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85.57%</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 +4.47%</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0.9778</w:t>
            </w:r>
          </w:p>
        </w:tc>
      </w:tr>
      <w:tr>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Spatial Behavioral</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Precision</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$85.20\%$</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90.53%</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 +5.33%</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0.9778</w:t>
            </w:r>
          </w:p>
        </w:tc>
      </w:tr>
      <w:tr>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Spatial Behavioral</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Recall</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$77.38\%$</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81.12%</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 +3.74%</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0.9778</w:t>
            </w:r>
          </w:p>
        </w:tc>
      </w:tr>
      <w:tr>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BankSim Retail</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F1-Score</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$94.12\%$</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97.14%</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 +3.02%</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0.3293</w:t>
            </w:r>
          </w:p>
        </w:tc>
      </w:tr>
      <w:tr>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BankSim Retail</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Recall</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100.0%</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100.0%</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100% Perfect Retention</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0.3293</w:t>
            </w:r>
          </w:p>
        </w:tc>
      </w:tr>
      <w:tr>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BankSim Retail</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Precision</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$88.89\%$</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94.44%</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 +5.55%</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0.3293</w:t>
            </w:r>
          </w:p>
        </w:tc>
      </w:tr>
      <w:tr>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PaySim Mobile Money</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F1-Score</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$99.40\%$</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99.66%</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 +0.26%</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0.8896</w:t>
            </w:r>
          </w:p>
        </w:tc>
      </w:tr>
      <w:tr>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PaySim Mobile Money</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Precision</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$99.50\%$</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100.0%</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 +0.50% (Zero False Alarms)</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0.8896</w:t>
            </w:r>
          </w:p>
        </w:tc>
      </w:tr>
      <w:tr>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PaySim Mobile Money</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Recall</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$99.30\%$</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99.33%</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 +0.03%</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0.8896</w:t>
            </w:r>
          </w:p>
        </w:tc>
      </w:tr>
    </w:tbl>
    <w:p>
      <w:pPr>
        <w:spacing w:after="120"/>
      </w:pPr>
    </w:p>
    <w:p>
      <w:pPr>
        <w:keepNext/>
        <w:spacing w:before="240" w:after="120"/>
      </w:pPr>
      <w:r>
        <w:rPr>
          <w:rFonts w:ascii="Times New Roman" w:hAnsi="Times New Roman"/>
          <w:b/>
          <w:sz w:val="28"/>
        </w:rPr>
        <w:t>5.1.2 Confusion Matrix Breakdown</w:t>
      </w:r>
    </w:p>
    <w:p>
      <w:pPr>
        <w:spacing w:line="360" w:lineRule="auto" w:after="120"/>
        <w:jc w:val="both"/>
      </w:pPr>
      <w:r>
        <w:rPr>
          <w:rFonts w:ascii="Times New Roman" w:hAnsi="Times New Roman"/>
          <w:sz w:val="24"/>
        </w:rPr>
        <w:t>The operational effectiveness of the platform is reflected in the confusion matrix distributions across holdout test sets:</w:t>
      </w:r>
    </w:p>
    <w:p>
      <w:pPr>
        <w:spacing w:line="360" w:lineRule="auto" w:after="120"/>
        <w:ind w:left="432"/>
      </w:pPr>
      <w:r>
        <w:rPr>
          <w:rFonts w:ascii="Times New Roman" w:hAnsi="Times New Roman"/>
          <w:sz w:val="24"/>
        </w:rPr>
        <w:t>1. PaySim Mobile Money Test Split ($N = 1,272,524$ transactions):</w:t>
      </w:r>
    </w:p>
    <w:p>
      <w:pPr>
        <w:spacing w:line="360" w:lineRule="auto" w:after="120"/>
        <w:ind w:left="432"/>
      </w:pPr>
      <w:r>
        <w:rPr>
          <w:rFonts w:ascii="Times New Roman" w:hAnsi="Times New Roman"/>
          <w:sz w:val="24"/>
        </w:rPr>
        <w:t>• True Negatives (TN): $1,270,881$ (Legitimate transactions cleared automatically)</w:t>
      </w:r>
    </w:p>
    <w:p>
      <w:pPr>
        <w:spacing w:line="360" w:lineRule="auto" w:after="120"/>
        <w:ind w:left="432"/>
      </w:pPr>
      <w:r>
        <w:rPr>
          <w:rFonts w:ascii="Times New Roman" w:hAnsi="Times New Roman"/>
          <w:sz w:val="24"/>
        </w:rPr>
        <w:t>• False Positives (FP): 0 (Zero legitimate cardholders falsely blocked; $0.0\%$ FPR)</w:t>
      </w:r>
    </w:p>
    <w:p>
      <w:pPr>
        <w:spacing w:line="360" w:lineRule="auto" w:after="120"/>
        <w:ind w:left="432"/>
      </w:pPr>
      <w:r>
        <w:rPr>
          <w:rFonts w:ascii="Times New Roman" w:hAnsi="Times New Roman"/>
          <w:sz w:val="24"/>
        </w:rPr>
        <w:t>• False Negatives (FN): $11$ (Missed micro-fraud instances)</w:t>
      </w:r>
    </w:p>
    <w:p>
      <w:pPr>
        <w:spacing w:line="360" w:lineRule="auto" w:after="120"/>
        <w:ind w:left="432"/>
      </w:pPr>
      <w:r>
        <w:rPr>
          <w:rFonts w:ascii="Times New Roman" w:hAnsi="Times New Roman"/>
          <w:sz w:val="24"/>
        </w:rPr>
        <w:t>• True Positives (TP): $1,632$ (Confirmed fraudulent drain attacks blocked)</w:t>
      </w:r>
    </w:p>
    <w:p>
      <w:pPr>
        <w:spacing w:line="360" w:lineRule="auto" w:after="120"/>
        <w:ind w:left="432"/>
      </w:pPr>
      <w:r>
        <w:rPr>
          <w:rFonts w:ascii="Times New Roman" w:hAnsi="Times New Roman"/>
          <w:sz w:val="24"/>
        </w:rPr>
        <w:t>• Operational Impact: Demonstrates flawless precision, completely eliminating cardholder friction while capturing $99.33\%$ of fraud losses.</w:t>
      </w:r>
    </w:p>
    <w:p>
      <w:pPr>
        <w:spacing w:line="360" w:lineRule="auto" w:after="120"/>
        <w:ind w:left="432"/>
      </w:pPr>
      <w:r>
        <w:rPr>
          <w:rFonts w:ascii="Times New Roman" w:hAnsi="Times New Roman"/>
          <w:sz w:val="24"/>
        </w:rPr>
        <w:t>2. European Credit Card PCA Test Split ($N = 56,962$ transactions):</w:t>
      </w:r>
    </w:p>
    <w:p>
      <w:pPr>
        <w:spacing w:line="360" w:lineRule="auto" w:after="120"/>
        <w:ind w:left="432"/>
      </w:pPr>
      <w:r>
        <w:rPr>
          <w:rFonts w:ascii="Times New Roman" w:hAnsi="Times New Roman"/>
          <w:sz w:val="24"/>
        </w:rPr>
        <w:t>• True Negatives (TN): $56,859$ (Benign transactions cleared)</w:t>
      </w:r>
    </w:p>
    <w:p>
      <w:pPr>
        <w:spacing w:line="360" w:lineRule="auto" w:after="120"/>
        <w:ind w:left="432"/>
      </w:pPr>
      <w:r>
        <w:rPr>
          <w:rFonts w:ascii="Times New Roman" w:hAnsi="Times New Roman"/>
          <w:sz w:val="24"/>
        </w:rPr>
        <w:t>• False Positives (FP): $5$ (Minimal false alerts)</w:t>
      </w:r>
    </w:p>
    <w:p>
      <w:pPr>
        <w:spacing w:line="360" w:lineRule="auto" w:after="120"/>
        <w:ind w:left="432"/>
      </w:pPr>
      <w:r>
        <w:rPr>
          <w:rFonts w:ascii="Times New Roman" w:hAnsi="Times New Roman"/>
          <w:sz w:val="24"/>
        </w:rPr>
        <w:t>• False Negatives (FN): $15$ (Subtle multi-variable evasions)</w:t>
      </w:r>
    </w:p>
    <w:p>
      <w:pPr>
        <w:spacing w:line="360" w:lineRule="auto" w:after="120"/>
        <w:ind w:left="432"/>
      </w:pPr>
      <w:r>
        <w:rPr>
          <w:rFonts w:ascii="Times New Roman" w:hAnsi="Times New Roman"/>
          <w:sz w:val="24"/>
        </w:rPr>
        <w:t>• True Positives (TP): $83$ (Confirmed fraudulent transactions intercepted)</w:t>
      </w:r>
    </w:p>
    <w:p>
      <w:pPr>
        <w:spacing w:line="360" w:lineRule="auto" w:after="120"/>
        <w:ind w:left="432"/>
      </w:pPr>
      <w:r>
        <w:rPr>
          <w:rFonts w:ascii="Times New Roman" w:hAnsi="Times New Roman"/>
          <w:sz w:val="24"/>
        </w:rPr>
        <w:t>• Operational Impact: Yields a staggering $94.32\%$ Precision and $84.69\%$ Recall under extreme $577:1$ class imbalance, drastically outperforming standard unweighted classifiers.</w:t>
      </w:r>
    </w:p>
    <w:p>
      <w:pPr>
        <w:keepNext/>
        <w:spacing w:before="240" w:after="120"/>
      </w:pPr>
      <w:r>
        <w:rPr>
          <w:rFonts w:ascii="Times New Roman" w:hAnsi="Times New Roman"/>
          <w:b/>
          <w:sz w:val="28"/>
        </w:rPr>
        <w:t>5.1.3 Explainable AI (TreeSHAP) Empirical Outcomes</w:t>
      </w:r>
    </w:p>
    <w:p>
      <w:pPr>
        <w:spacing w:line="360" w:lineRule="auto" w:after="120"/>
        <w:jc w:val="both"/>
      </w:pPr>
      <w:r>
        <w:rPr>
          <w:rFonts w:ascii="Times New Roman" w:hAnsi="Times New Roman"/>
          <w:sz w:val="24"/>
        </w:rPr>
        <w:t>For every transaction processed, TreeSHAP extracted exact additive Shapley feature attributions. Table 5.3 summarizes the empirical feature attributions for a representative high-risk account drain transaction:</w:t>
      </w:r>
    </w:p>
    <w:p>
      <w:pPr>
        <w:keepNext/>
        <w:spacing w:before="200" w:after="80"/>
      </w:pPr>
      <w:r>
        <w:rPr>
          <w:rFonts w:ascii="Times New Roman" w:hAnsi="Times New Roman"/>
          <w:b/>
          <w:sz w:val="24"/>
        </w:rPr>
        <w:t>Table 5.3: TreeSHAP Feature Attribution Summary (High-Risk Account Drain Event)</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491"/>
        <w:gridCol w:w="1491"/>
        <w:gridCol w:w="1491"/>
        <w:gridCol w:w="1491"/>
        <w:gridCol w:w="1491"/>
        <w:gridCol w:w="1491"/>
        <w:gridCol w:w="1491"/>
      </w:tblGrid>
      <w:tr>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Feature Name</w:t>
            </w:r>
          </w:p>
        </w:tc>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Input Value</w:t>
            </w:r>
          </w:p>
        </w:tc>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Base Expected Value ($\phi0$)</w:t>
            </w:r>
          </w:p>
        </w:tc>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Shapley Attribution ($\phii$)</w:t>
            </w:r>
          </w:p>
        </w:tc>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Risk Directionality</w:t>
            </w:r>
          </w:p>
        </w:tc>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Mapped FCRA Reason Code</w:t>
            </w:r>
          </w:p>
        </w:tc>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Plain-English Reason Description</w:t>
            </w:r>
          </w:p>
        </w:tc>
      </w:tr>
      <w:tr>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errorBalanceOrig</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$\$180,000.00$</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$0.0013$</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+0.3842</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 Pushes to Fraud</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RC-BAL-01</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Origin Account Balance Reconciliation Discrepancy</w:t>
            </w:r>
          </w:p>
        </w:tc>
      </w:tr>
      <w:tr>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isdrained</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$1.0$ (True)</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$0.0013$</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+0.1245</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 Pushes to Fraud</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RC-BAL-02</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Complete Liquidation of Available Origin Balance</w:t>
            </w:r>
          </w:p>
        </w:tc>
      </w:tr>
      <w:tr>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amount</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$\$180,000.00$</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$0.0013$</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+0.0891</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 Pushes to Fraud</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RC-AMT-01</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Outlier Transaction Volume Exceeding Velocity Norms</w:t>
            </w:r>
          </w:p>
        </w:tc>
      </w:tr>
      <w:tr>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oldbalanceDest</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$\$0.00$</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$0.0013$</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+0.0412</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 Pushes to Fraud</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RC-ACC-03</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Destination Account Initial Inactivity Profile</w:t>
            </w:r>
          </w:p>
        </w:tc>
      </w:tr>
      <w:tr>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typeTRANSFER</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$1.0$ (True)</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$0.0013$</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+0.0210</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 Pushes to Fraud</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RC-TYP-01</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High-Risk Payment Conduit Channel Selected</w:t>
            </w:r>
          </w:p>
        </w:tc>
      </w:tr>
    </w:tbl>
    <w:p>
      <w:pPr>
        <w:spacing w:after="120"/>
      </w:pPr>
    </w:p>
    <w:p>
      <w:pPr>
        <w:spacing w:line="360" w:lineRule="auto" w:after="120"/>
        <w:jc w:val="both"/>
      </w:pPr>
      <w:r>
        <w:rPr>
          <w:rFonts w:ascii="Times New Roman" w:hAnsi="Times New Roman"/>
          <w:sz w:val="24"/>
        </w:rPr>
        <w:t>Total Model Displacement: $\sum \phii = +0.6600$. Final posterior probability $p = 0.0013 + 0.6600 = 0.6613$. Calibrated Risk Score $= 86.4\%$, successfully categorizing the transaction into the FRAUD tier.</w:t>
      </w:r>
    </w:p>
    <w:p>
      <w:pPr>
        <w:keepNext/>
        <w:spacing w:before="240" w:after="120"/>
      </w:pPr>
      <w:r>
        <w:rPr>
          <w:rFonts w:ascii="Times New Roman" w:hAnsi="Times New Roman"/>
          <w:b/>
          <w:sz w:val="28"/>
        </w:rPr>
        <w:t>5.1.4 Graph Intelligence &amp; Syndicate Ring Forensics Outcomes</w:t>
      </w:r>
    </w:p>
    <w:p>
      <w:pPr>
        <w:spacing w:line="360" w:lineRule="auto" w:after="120"/>
        <w:jc w:val="both"/>
      </w:pPr>
      <w:r>
        <w:rPr>
          <w:rFonts w:ascii="Times New Roman" w:hAnsi="Times New Roman"/>
          <w:sz w:val="24"/>
        </w:rPr>
        <w:t>The in-memory NetworkX graph engine evaluated 10,000 streaming transaction edges:</w:t>
      </w:r>
    </w:p>
    <w:p>
      <w:pPr>
        <w:spacing w:line="360" w:lineRule="auto" w:after="120"/>
        <w:ind w:left="432"/>
      </w:pPr>
      <w:r>
        <w:rPr>
          <w:rFonts w:ascii="Times New Roman" w:hAnsi="Times New Roman"/>
          <w:sz w:val="24"/>
        </w:rPr>
        <w:t>• Cyclic Rings Uncovered: The engine identified 14 distinct circular money laundering paths ($A</w:t>
      </w:r>
    </w:p>
    <w:p>
      <w:pPr>
        <w:spacing w:line="360" w:lineRule="auto" w:after="120"/>
        <w:jc w:val="both"/>
      </w:pPr>
      <w:r>
        <w:rPr>
          <w:rFonts w:ascii="Times New Roman" w:hAnsi="Times New Roman"/>
          <w:sz w:val="24"/>
        </w:rPr>
        <w:t>ightarrow B</w:t>
      </w:r>
    </w:p>
    <w:p>
      <w:pPr>
        <w:spacing w:line="360" w:lineRule="auto" w:after="120"/>
        <w:jc w:val="both"/>
      </w:pPr>
      <w:r>
        <w:rPr>
          <w:rFonts w:ascii="Times New Roman" w:hAnsi="Times New Roman"/>
          <w:sz w:val="24"/>
        </w:rPr>
        <w:t>ightarrow C</w:t>
      </w:r>
    </w:p>
    <w:p>
      <w:pPr>
        <w:spacing w:line="360" w:lineRule="auto" w:after="120"/>
        <w:jc w:val="both"/>
      </w:pPr>
      <w:r>
        <w:rPr>
          <w:rFonts w:ascii="Times New Roman" w:hAnsi="Times New Roman"/>
          <w:sz w:val="24"/>
        </w:rPr>
        <w:t>ightarrow A$) of lengths $k \in [3, 5]$.</w:t>
      </w:r>
    </w:p>
    <w:p>
      <w:pPr>
        <w:spacing w:line="360" w:lineRule="auto" w:after="120"/>
        <w:ind w:left="432"/>
      </w:pPr>
      <w:r>
        <w:rPr>
          <w:rFonts w:ascii="Times New Roman" w:hAnsi="Times New Roman"/>
          <w:sz w:val="24"/>
        </w:rPr>
        <w:t>• Mule Accounts Flagged: 42 accounts exhibited high pass-through ratios ($&gt; 0.80$) where in-degree and out-degree balanced within 15 minutes of deposit, indicating synthetic mule accounts.</w:t>
      </w:r>
    </w:p>
    <w:p>
      <w:pPr>
        <w:spacing w:line="360" w:lineRule="auto" w:after="120"/>
        <w:ind w:left="432"/>
      </w:pPr>
      <w:r>
        <w:rPr>
          <w:rFonts w:ascii="Times New Roman" w:hAnsi="Times New Roman"/>
          <w:sz w:val="24"/>
        </w:rPr>
        <w:t>• Latency: Graph cycle evaluation executed in an average of $6.4\text{ms}$ per edge, fully compatible with sub-100ms inline transaction scoring.</w:t>
      </w:r>
    </w:p>
    <w:p>
      <w:pPr>
        <w:keepNext/>
        <w:spacing w:before="240" w:after="120"/>
      </w:pPr>
      <w:r>
        <w:rPr>
          <w:rFonts w:ascii="Times New Roman" w:hAnsi="Times New Roman"/>
          <w:b/>
          <w:sz w:val="28"/>
        </w:rPr>
        <w:t>5.1.5 Federated Learning Consortium Simulation Outcomes</w:t>
      </w:r>
    </w:p>
    <w:p>
      <w:pPr>
        <w:spacing w:line="360" w:lineRule="auto" w:after="120"/>
        <w:jc w:val="both"/>
      </w:pPr>
      <w:r>
        <w:rPr>
          <w:rFonts w:ascii="Times New Roman" w:hAnsi="Times New Roman"/>
          <w:sz w:val="24"/>
        </w:rPr>
        <w:t>Simulating collaborative model training across three decentralized banking nodes (Bank Alpha, Beta, Gamma) over five aggregation rounds demonstrated the power of privacy-preserving defense:</w:t>
      </w:r>
    </w:p>
    <w:p>
      <w:pPr>
        <w:keepNext/>
        <w:spacing w:before="200" w:after="80"/>
      </w:pPr>
      <w:r>
        <w:rPr>
          <w:rFonts w:ascii="Times New Roman" w:hAnsi="Times New Roman"/>
          <w:b/>
          <w:sz w:val="24"/>
        </w:rPr>
        <w:t>Table 5.4: Federated Learning Aggregation Rounds vs. Consortium Performance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740"/>
        <w:gridCol w:w="1740"/>
        <w:gridCol w:w="1740"/>
        <w:gridCol w:w="1740"/>
        <w:gridCol w:w="1740"/>
        <w:gridCol w:w="1740"/>
      </w:tblGrid>
      <w:tr>
        <w:tc>
          <w:tcPr>
            <w:tcW w:type="dxa" w:w="1740"/>
            <w:shd w:fill="E5E7EB"/>
            <w:tcMar>
              <w:top w:w="120" w:type="dxa"/>
              <w:bottom w:w="120" w:type="dxa"/>
              <w:left w:w="140" w:type="dxa"/>
              <w:right w:w="140" w:type="dxa"/>
            </w:tcMar>
          </w:tcPr>
          <w:p>
            <w:pPr>
              <w:spacing w:line="276" w:lineRule="auto" w:after="40"/>
            </w:pPr>
            <w:r>
              <w:rPr>
                <w:rFonts w:ascii="Times New Roman" w:hAnsi="Times New Roman"/>
                <w:b/>
                <w:sz w:val="21"/>
              </w:rPr>
              <w:t>FedAvg Aggregation Round</w:t>
            </w:r>
          </w:p>
        </w:tc>
        <w:tc>
          <w:tcPr>
            <w:tcW w:type="dxa" w:w="1740"/>
            <w:shd w:fill="E5E7EB"/>
            <w:tcMar>
              <w:top w:w="120" w:type="dxa"/>
              <w:bottom w:w="120" w:type="dxa"/>
              <w:left w:w="140" w:type="dxa"/>
              <w:right w:w="140" w:type="dxa"/>
            </w:tcMar>
          </w:tcPr>
          <w:p>
            <w:pPr>
              <w:spacing w:line="276" w:lineRule="auto" w:after="40"/>
            </w:pPr>
            <w:r>
              <w:rPr>
                <w:rFonts w:ascii="Times New Roman" w:hAnsi="Times New Roman"/>
                <w:b/>
                <w:sz w:val="21"/>
              </w:rPr>
              <w:t>Bank Alpha Local F1</w:t>
            </w:r>
          </w:p>
        </w:tc>
        <w:tc>
          <w:tcPr>
            <w:tcW w:type="dxa" w:w="1740"/>
            <w:shd w:fill="E5E7EB"/>
            <w:tcMar>
              <w:top w:w="120" w:type="dxa"/>
              <w:bottom w:w="120" w:type="dxa"/>
              <w:left w:w="140" w:type="dxa"/>
              <w:right w:w="140" w:type="dxa"/>
            </w:tcMar>
          </w:tcPr>
          <w:p>
            <w:pPr>
              <w:spacing w:line="276" w:lineRule="auto" w:after="40"/>
            </w:pPr>
            <w:r>
              <w:rPr>
                <w:rFonts w:ascii="Times New Roman" w:hAnsi="Times New Roman"/>
                <w:b/>
                <w:sz w:val="21"/>
              </w:rPr>
              <w:t>Bank Beta Local F1</w:t>
            </w:r>
          </w:p>
        </w:tc>
        <w:tc>
          <w:tcPr>
            <w:tcW w:type="dxa" w:w="1740"/>
            <w:shd w:fill="E5E7EB"/>
            <w:tcMar>
              <w:top w:w="120" w:type="dxa"/>
              <w:bottom w:w="120" w:type="dxa"/>
              <w:left w:w="140" w:type="dxa"/>
              <w:right w:w="140" w:type="dxa"/>
            </w:tcMar>
          </w:tcPr>
          <w:p>
            <w:pPr>
              <w:spacing w:line="276" w:lineRule="auto" w:after="40"/>
            </w:pPr>
            <w:r>
              <w:rPr>
                <w:rFonts w:ascii="Times New Roman" w:hAnsi="Times New Roman"/>
                <w:b/>
                <w:sz w:val="21"/>
              </w:rPr>
              <w:t>Bank Gamma Local F1</w:t>
            </w:r>
          </w:p>
        </w:tc>
        <w:tc>
          <w:tcPr>
            <w:tcW w:type="dxa" w:w="1740"/>
            <w:shd w:fill="E5E7EB"/>
            <w:tcMar>
              <w:top w:w="120" w:type="dxa"/>
              <w:bottom w:w="120" w:type="dxa"/>
              <w:left w:w="140" w:type="dxa"/>
              <w:right w:w="140" w:type="dxa"/>
            </w:tcMar>
          </w:tcPr>
          <w:p>
            <w:pPr>
              <w:spacing w:line="276" w:lineRule="auto" w:after="40"/>
            </w:pPr>
            <w:r>
              <w:rPr>
                <w:rFonts w:ascii="Times New Roman" w:hAnsi="Times New Roman"/>
                <w:b/>
                <w:sz w:val="21"/>
              </w:rPr>
              <w:t>Aggregated Global Model F1</w:t>
            </w:r>
          </w:p>
        </w:tc>
        <w:tc>
          <w:tcPr>
            <w:tcW w:type="dxa" w:w="1740"/>
            <w:shd w:fill="E5E7EB"/>
            <w:tcMar>
              <w:top w:w="120" w:type="dxa"/>
              <w:bottom w:w="120" w:type="dxa"/>
              <w:left w:w="140" w:type="dxa"/>
              <w:right w:w="140" w:type="dxa"/>
            </w:tcMar>
          </w:tcPr>
          <w:p>
            <w:pPr>
              <w:spacing w:line="276" w:lineRule="auto" w:after="40"/>
            </w:pPr>
            <w:r>
              <w:rPr>
                <w:rFonts w:ascii="Times New Roman" w:hAnsi="Times New Roman"/>
                <w:b/>
                <w:sz w:val="21"/>
              </w:rPr>
              <w:t>PII Data Transmitted</w:t>
            </w:r>
          </w:p>
        </w:tc>
      </w:tr>
      <w:tr>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Round 0 (Local Pre-Train)</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$81.2\%$</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$78.4\%$</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$83.1\%$</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$80.9\%$</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0 Bytes (None)</w:t>
            </w:r>
          </w:p>
        </w:tc>
      </w:tr>
      <w:tr>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Round 1 (First FedAvg)</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$84.5\%$</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$82.0\%$</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$85.6\%$</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$84.0\%$</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0 Bytes (None)</w:t>
            </w:r>
          </w:p>
        </w:tc>
      </w:tr>
      <w:tr>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Round 2</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$87.1\%$</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$85.3\%$</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$88.2\%$</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$86.9\%$</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0 Bytes (None)</w:t>
            </w:r>
          </w:p>
        </w:tc>
      </w:tr>
      <w:tr>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Round 3</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$89.0\%$</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$87.6\%$</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$89.8\%$</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$88.8\%$</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0 Bytes (None)</w:t>
            </w:r>
          </w:p>
        </w:tc>
      </w:tr>
      <w:tr>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Round 4</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$90.1\%$</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$88.9\%$</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$90.7\%$</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$89.9\%$</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0 Bytes (None)</w:t>
            </w:r>
          </w:p>
        </w:tc>
      </w:tr>
      <w:tr>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Round 5 (Final Convergence)</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90.8%</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89.6%</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91.2%</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90.5%</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0 Bytes (None)</w:t>
            </w:r>
          </w:p>
        </w:tc>
      </w:tr>
    </w:tbl>
    <w:p>
      <w:pPr>
        <w:spacing w:after="120"/>
      </w:pPr>
    </w:p>
    <w:p>
      <w:pPr>
        <w:spacing w:line="360" w:lineRule="auto" w:after="120"/>
        <w:jc w:val="both"/>
      </w:pPr>
      <w:r>
        <w:rPr>
          <w:rFonts w:ascii="Times New Roman" w:hAnsi="Times New Roman"/>
          <w:sz w:val="24"/>
        </w:rPr>
        <w:t>As shown in Table 5.4, the global consortium model achieved an impressive 90.5% F1-Score, granting each participating bank an average performance boost of $+9.6\%$ without a single raw transaction record ever leaving institutional firewalls.</w:t>
      </w:r>
    </w:p>
    <w:p>
      <w:pPr>
        <w:keepNext/>
        <w:spacing w:before="280" w:after="160"/>
      </w:pPr>
      <w:r>
        <w:rPr>
          <w:rFonts w:ascii="Times New Roman" w:hAnsi="Times New Roman"/>
          <w:b/>
          <w:sz w:val="32"/>
        </w:rPr>
        <w:t>5.2 Analysis of Results &amp; Interpretation of Data</w:t>
      </w:r>
    </w:p>
    <w:p>
      <w:pPr>
        <w:keepNext/>
        <w:spacing w:before="240" w:after="120"/>
      </w:pPr>
      <w:r>
        <w:rPr>
          <w:rFonts w:ascii="Times New Roman" w:hAnsi="Times New Roman"/>
          <w:b/>
          <w:sz w:val="28"/>
        </w:rPr>
        <w:t>5.2.1 Mathematical Interpretation of Threshold Calibration</w:t>
      </w:r>
    </w:p>
    <w:p>
      <w:pPr>
        <w:spacing w:line="360" w:lineRule="auto" w:after="120"/>
        <w:jc w:val="both"/>
      </w:pPr>
      <w:r>
        <w:rPr>
          <w:rFonts w:ascii="Times New Roman" w:hAnsi="Times New Roman"/>
          <w:sz w:val="24"/>
        </w:rPr>
        <w:t>In standard machine learning literature, classification decisions default to a static threshold of $\theta = 0.50$. However, in asymmetric cost environments where $C{FN} \gg C{FP}$, threshold tuning is paramount.</w:t>
      </w:r>
    </w:p>
    <w:p>
      <w:pPr>
        <w:spacing w:line="360" w:lineRule="auto" w:after="120"/>
        <w:jc w:val="both"/>
      </w:pPr>
      <w:r>
        <w:rPr>
          <w:rFonts w:ascii="Times New Roman" w:hAnsi="Times New Roman"/>
          <w:sz w:val="24"/>
        </w:rPr>
        <w:t>The optimal Bayes decision threshold $\theta^$ is mathematically derived from the cost matrix:</w:t>
      </w:r>
    </w:p>
    <w:p>
      <w:pPr>
        <w:spacing w:line="360" w:lineRule="auto" w:after="120"/>
        <w:jc w:val="both"/>
      </w:pPr>
      <w:r>
        <w:rPr>
          <w:rFonts w:ascii="Times New Roman" w:hAnsi="Times New Roman"/>
          <w:sz w:val="24"/>
        </w:rPr>
        <w:t>$$\theta^ = \frac{C{FP}}{C{FP} + C{FN}}$$</w:t>
      </w:r>
    </w:p>
    <w:p>
      <w:pPr>
        <w:spacing w:line="360" w:lineRule="auto" w:after="120"/>
        <w:jc w:val="both"/>
      </w:pPr>
      <w:r>
        <w:rPr>
          <w:rFonts w:ascii="Times New Roman" w:hAnsi="Times New Roman"/>
          <w:sz w:val="24"/>
        </w:rPr>
        <w:t>When dynamic class weighting (scaleposweight $= N0 / N1$) is injected into tree gradients, the predicted probabilities become mathematically uncalibrated, shifting upward toward $1.0$. Consequently, evaluating the weighted model at $\theta = 0.50$ results in inflated false positive rates.</w:t>
      </w:r>
    </w:p>
    <w:p>
      <w:pPr>
        <w:spacing w:line="360" w:lineRule="auto" w:after="120"/>
        <w:jc w:val="both"/>
      </w:pPr>
      <w:r>
        <w:rPr>
          <w:rFonts w:ascii="Times New Roman" w:hAnsi="Times New Roman"/>
          <w:sz w:val="24"/>
        </w:rPr>
        <w:t>As detailed in Table 5.1, when the European Credit Card PCA head was evaluated at the calibrated optimal threshold of $\theta^ = 0.9684$:</w:t>
      </w:r>
    </w:p>
    <w:p>
      <w:pPr>
        <w:spacing w:line="360" w:lineRule="auto" w:after="120"/>
        <w:ind w:left="432"/>
      </w:pPr>
      <w:r>
        <w:rPr>
          <w:rFonts w:ascii="Times New Roman" w:hAnsi="Times New Roman"/>
          <w:sz w:val="24"/>
        </w:rPr>
        <w:t>• Precision surged from $85.07\%$ to $94.32\%$.</w:t>
      </w:r>
    </w:p>
    <w:p>
      <w:pPr>
        <w:spacing w:line="360" w:lineRule="auto" w:after="120"/>
        <w:ind w:left="432"/>
      </w:pPr>
      <w:r>
        <w:rPr>
          <w:rFonts w:ascii="Times New Roman" w:hAnsi="Times New Roman"/>
          <w:sz w:val="24"/>
        </w:rPr>
        <w:t>• F1-Score reached its maximum of $89.25\%$.</w:t>
      </w:r>
    </w:p>
    <w:p>
      <w:pPr>
        <w:spacing w:line="360" w:lineRule="auto" w:after="120"/>
        <w:ind w:left="432"/>
      </w:pPr>
      <w:r>
        <w:rPr>
          <w:rFonts w:ascii="Times New Roman" w:hAnsi="Times New Roman"/>
          <w:sz w:val="24"/>
        </w:rPr>
        <w:t>• False positive alerts dropped by $62.5\%$.</w:t>
      </w:r>
    </w:p>
    <w:p>
      <w:pPr>
        <w:spacing w:line="360" w:lineRule="auto" w:after="120"/>
        <w:jc w:val="both"/>
      </w:pPr>
      <w:r>
        <w:rPr>
          <w:rFonts w:ascii="Times New Roman" w:hAnsi="Times New Roman"/>
          <w:sz w:val="24"/>
        </w:rPr>
        <w:t>This confirms that coupling dynamic gradient weighting with post-hoc threshold calibration resolves the fundamental trade-off between sensitivity and precision in financial fraud detection.</w:t>
      </w:r>
    </w:p>
    <w:p>
      <w:pPr>
        <w:keepNext/>
        <w:spacing w:before="240" w:after="120"/>
      </w:pPr>
      <w:r>
        <w:rPr>
          <w:rFonts w:ascii="Times New Roman" w:hAnsi="Times New Roman"/>
          <w:b/>
          <w:sz w:val="28"/>
        </w:rPr>
        <w:t>5.2.2 Latency and Concurrency Benchmarking</w:t>
      </w:r>
    </w:p>
    <w:p>
      <w:pPr>
        <w:spacing w:line="360" w:lineRule="auto" w:after="120"/>
        <w:jc w:val="both"/>
      </w:pPr>
      <w:r>
        <w:rPr>
          <w:rFonts w:ascii="Times New Roman" w:hAnsi="Times New Roman"/>
          <w:sz w:val="24"/>
        </w:rPr>
        <w:t>System latency was evaluated using an automated HTTP load injection harness executing concurrent requests against /analyze:</w:t>
      </w:r>
    </w:p>
    <w:p>
      <w:pPr>
        <w:keepNext/>
        <w:spacing w:before="200" w:after="80"/>
      </w:pPr>
      <w:r>
        <w:rPr>
          <w:rFonts w:ascii="Times New Roman" w:hAnsi="Times New Roman"/>
          <w:b/>
          <w:sz w:val="24"/>
        </w:rPr>
        <w:t>Table 5.5: API Latency and Request Throughput Benchmarking Results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491"/>
        <w:gridCol w:w="1491"/>
        <w:gridCol w:w="1491"/>
        <w:gridCol w:w="1491"/>
        <w:gridCol w:w="1491"/>
        <w:gridCol w:w="1491"/>
        <w:gridCol w:w="1491"/>
      </w:tblGrid>
      <w:tr>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Concurrent Client Concurrency</w:t>
            </w:r>
          </w:p>
        </w:tc>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Average Latency (P50)</w:t>
            </w:r>
          </w:p>
        </w:tc>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95th Percentile Latency (P95)</w:t>
            </w:r>
          </w:p>
        </w:tc>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99th Percentile Latency (P99)</w:t>
            </w:r>
          </w:p>
        </w:tc>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Request Throughput (req/sec)</w:t>
            </w:r>
          </w:p>
        </w:tc>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CPU Utilization</w:t>
            </w:r>
          </w:p>
        </w:tc>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Memory Footprint</w:t>
            </w:r>
          </w:p>
        </w:tc>
      </w:tr>
      <w:tr>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10 Clients</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$32\text{ms}$</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$48\text{ms}$</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$64\text{ms}$</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$285\text{ req/s}$</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$18\%$</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$420\text{ MB}$</w:t>
            </w:r>
          </w:p>
        </w:tc>
      </w:tr>
      <w:tr>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25 Clients</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$44\text{ms}$</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$68\text{ms}$</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$92\text{ms}$</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$410\text{ req/s}$</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$34\%$</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$445\text{ MB}$</w:t>
            </w:r>
          </w:p>
        </w:tc>
      </w:tr>
      <w:tr>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50 Clients</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$62\text{ms}$</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$96\text{ms}$</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$142\text{ms}$</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560 req/s</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$58\%$</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$480\text{ MB}$</w:t>
            </w:r>
          </w:p>
        </w:tc>
      </w:tr>
      <w:tr>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100 Clients</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$112\text{ms}$</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$184\text{ms}$</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$248\text{ms}$</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$620\text{ req/s}$</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$82\%$</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$520\text{ MB}$</w:t>
            </w:r>
          </w:p>
        </w:tc>
      </w:tr>
    </w:tbl>
    <w:p>
      <w:pPr>
        <w:spacing w:after="120"/>
      </w:pPr>
    </w:p>
    <w:p>
      <w:pPr>
        <w:spacing w:line="360" w:lineRule="auto" w:after="120"/>
        <w:jc w:val="both"/>
      </w:pPr>
      <w:r>
        <w:rPr>
          <w:rFonts w:ascii="Times New Roman" w:hAnsi="Times New Roman"/>
          <w:sz w:val="24"/>
        </w:rPr>
        <w:t>Under typical operational loads (50 concurrent connections), FraudShield AI sustains 560 requests per second with a median latency of 62ms, easily satisfying the stringent sub-100ms inline banking SLA.</w:t>
      </w:r>
    </w:p>
    <w:p>
      <w:pPr>
        <w:keepNext/>
        <w:spacing w:before="280" w:after="160"/>
      </w:pPr>
      <w:r>
        <w:rPr>
          <w:rFonts w:ascii="Times New Roman" w:hAnsi="Times New Roman"/>
          <w:b/>
          <w:sz w:val="32"/>
        </w:rPr>
        <w:t>5.3 Discussion of Results &amp; Limitations of the System</w:t>
      </w:r>
    </w:p>
    <w:p>
      <w:pPr>
        <w:keepNext/>
        <w:spacing w:before="240" w:after="120"/>
      </w:pPr>
      <w:r>
        <w:rPr>
          <w:rFonts w:ascii="Times New Roman" w:hAnsi="Times New Roman"/>
          <w:b/>
          <w:sz w:val="28"/>
        </w:rPr>
        <w:t>5.3.1 Comparison with Published State-of-the-Art Literature</w:t>
      </w:r>
    </w:p>
    <w:p>
      <w:pPr>
        <w:spacing w:line="360" w:lineRule="auto" w:after="120"/>
        <w:jc w:val="both"/>
      </w:pPr>
      <w:r>
        <w:rPr>
          <w:rFonts w:ascii="Times New Roman" w:hAnsi="Times New Roman"/>
          <w:sz w:val="24"/>
        </w:rPr>
        <w:t>To rigorously benchmark FraudShield AI against the international research community, Table 5.6 compares its empirical performance against recently published studies on the European Credit Card PCA benchmark:</w:t>
      </w:r>
    </w:p>
    <w:p>
      <w:pPr>
        <w:keepNext/>
        <w:spacing w:before="200" w:after="80"/>
      </w:pPr>
      <w:r>
        <w:rPr>
          <w:rFonts w:ascii="Times New Roman" w:hAnsi="Times New Roman"/>
          <w:b/>
          <w:sz w:val="24"/>
        </w:rPr>
        <w:t>Table 5.6: Comparative Evaluation against Published Literature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491"/>
        <w:gridCol w:w="1491"/>
        <w:gridCol w:w="1491"/>
        <w:gridCol w:w="1491"/>
        <w:gridCol w:w="1491"/>
        <w:gridCol w:w="1491"/>
        <w:gridCol w:w="1491"/>
      </w:tblGrid>
      <w:tr>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Research Study</w:t>
            </w:r>
          </w:p>
        </w:tc>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Author(s) &amp; Year</w:t>
            </w:r>
          </w:p>
        </w:tc>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Architecture / Classifier Deployed</w:t>
            </w:r>
          </w:p>
        </w:tc>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Precision</w:t>
            </w:r>
          </w:p>
        </w:tc>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Recall</w:t>
            </w:r>
          </w:p>
        </w:tc>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F1-Score</w:t>
            </w:r>
          </w:p>
        </w:tc>
        <w:tc>
          <w:tcPr>
            <w:tcW w:type="dxa" w:w="1491"/>
            <w:shd w:fill="E5E7EB"/>
            <w:tcMar>
              <w:top w:w="120" w:type="dxa"/>
              <w:bottom w:w="120" w:type="dxa"/>
              <w:left w:w="140" w:type="dxa"/>
              <w:right w:w="140" w:type="dxa"/>
            </w:tcMar>
          </w:tcPr>
          <w:p>
            <w:pPr>
              <w:spacing w:line="276" w:lineRule="auto" w:after="40"/>
            </w:pPr>
            <w:r>
              <w:rPr>
                <w:rFonts w:ascii="Times New Roman" w:hAnsi="Times New Roman"/>
                <w:b/>
                <w:sz w:val="21"/>
              </w:rPr>
              <w:t>Real-Time XAI Included?</w:t>
            </w:r>
          </w:p>
        </w:tc>
      </w:tr>
      <w:tr>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Dal Pozzolo et al.</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Dal Pozzolo et al. (2015)</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Random Forest + Undersampling</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$84.2\%$</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$76.8\%$</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$80.3\%$</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No</w:t>
            </w:r>
          </w:p>
        </w:tc>
      </w:tr>
      <w:tr>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Carcillo et al.</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Carcillo et al. (2018)</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Ensemble Active Learning</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$86.5\%$</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$78.4\%$</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$82.2\%$</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No</w:t>
            </w:r>
          </w:p>
        </w:tc>
      </w:tr>
      <w:tr>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Pumsirirat &amp; Yan</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Pumsirirat &amp; Yan (2018)</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Deep Autoencoders + K-Means</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$81.2\%$</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$82.5\%$</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$81.8\%$</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No</w:t>
            </w:r>
          </w:p>
        </w:tc>
      </w:tr>
      <w:tr>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Benchaji et al.</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Benchaji et al. (2021)</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XGBoost + Genetic Algorithm SMOTE</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$91.4\%$</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$81.9\%$</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$86.4\%$</w:t>
            </w:r>
          </w:p>
        </w:tc>
        <w:tc>
          <w:tcPr>
            <w:tcW w:type="dxa" w:w="1491"/>
            <w:shd w:fill="F9FAFB"/>
            <w:tcMar>
              <w:top w:w="100" w:type="dxa"/>
              <w:bottom w:w="100" w:type="dxa"/>
              <w:left w:w="120" w:type="dxa"/>
              <w:right w:w="120" w:type="dxa"/>
            </w:tcMar>
          </w:tcPr>
          <w:p>
            <w:pPr>
              <w:spacing w:line="276" w:lineRule="auto" w:after="40"/>
            </w:pPr>
            <w:r>
              <w:rPr>
                <w:rFonts w:ascii="Times New Roman" w:hAnsi="Times New Roman"/>
                <w:sz w:val="20"/>
              </w:rPr>
              <w:t>No</w:t>
            </w:r>
          </w:p>
        </w:tc>
      </w:tr>
      <w:tr>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FraudShield AI</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TCET Research Team (2026)</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OmniSMOTE + Hybrid Stacking (XGB+LGBM+RF+Meta)</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94.32%</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84.69%</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89.25%</w:t>
            </w:r>
          </w:p>
        </w:tc>
        <w:tc>
          <w:tcPr>
            <w:tcW w:type="dxa" w:w="1491"/>
            <w:shd w:fill="FFFFFF"/>
            <w:tcMar>
              <w:top w:w="100" w:type="dxa"/>
              <w:bottom w:w="100" w:type="dxa"/>
              <w:left w:w="120" w:type="dxa"/>
              <w:right w:w="120" w:type="dxa"/>
            </w:tcMar>
          </w:tcPr>
          <w:p>
            <w:pPr>
              <w:spacing w:line="276" w:lineRule="auto" w:after="40"/>
            </w:pPr>
            <w:r>
              <w:rPr>
                <w:rFonts w:ascii="Times New Roman" w:hAnsi="Times New Roman"/>
                <w:sz w:val="20"/>
              </w:rPr>
              <w:t>YES (TreeSHAP)</w:t>
            </w:r>
          </w:p>
        </w:tc>
      </w:tr>
    </w:tbl>
    <w:p>
      <w:pPr>
        <w:spacing w:after="120"/>
      </w:pPr>
    </w:p>
    <w:p>
      <w:pPr>
        <w:spacing w:line="360" w:lineRule="auto" w:after="120"/>
        <w:jc w:val="both"/>
      </w:pPr>
      <w:r>
        <w:rPr>
          <w:rFonts w:ascii="Times New Roman" w:hAnsi="Times New Roman"/>
          <w:sz w:val="24"/>
        </w:rPr>
        <w:t>As demonstrated in Table 5.6, FraudShield AI achieves superior Precision ($94.32\%$) and F1-Score ($89.25\%$), while being the only platform providing synchronous, regulatory-compliant Explainable AI (TreeSHAP) and FCRA Adverse Action reason codes.</w:t>
      </w:r>
    </w:p>
    <w:p>
      <w:pPr>
        <w:keepNext/>
        <w:spacing w:before="240" w:after="120"/>
      </w:pPr>
      <w:r>
        <w:rPr>
          <w:rFonts w:ascii="Times New Roman" w:hAnsi="Times New Roman"/>
          <w:b/>
          <w:sz w:val="28"/>
        </w:rPr>
        <w:t>5.3.2 Limitations of the System</w:t>
      </w:r>
    </w:p>
    <w:p>
      <w:pPr>
        <w:spacing w:line="360" w:lineRule="auto" w:after="120"/>
        <w:jc w:val="both"/>
      </w:pPr>
      <w:r>
        <w:rPr>
          <w:rFonts w:ascii="Times New Roman" w:hAnsi="Times New Roman"/>
          <w:sz w:val="24"/>
        </w:rPr>
        <w:t>Despite exceptional empirical results, several real-world engineering constraints must be acknowledged:</w:t>
      </w:r>
    </w:p>
    <w:p>
      <w:pPr>
        <w:spacing w:line="360" w:lineRule="auto" w:after="120"/>
        <w:ind w:left="432"/>
      </w:pPr>
      <w:r>
        <w:rPr>
          <w:rFonts w:ascii="Times New Roman" w:hAnsi="Times New Roman"/>
          <w:sz w:val="24"/>
        </w:rPr>
        <w:t>1. Cold-Start Latency for TreeSHAP: When an API worker first initializes, compiling the TreeSHAP tree ensemble into memory incurs a one-time cold-start latency of approximately 1.8 seconds. This is mitigated in production via container warm-up probes.</w:t>
      </w:r>
    </w:p>
    <w:p>
      <w:pPr>
        <w:spacing w:line="360" w:lineRule="auto" w:after="120"/>
        <w:ind w:left="432"/>
      </w:pPr>
      <w:r>
        <w:rPr>
          <w:rFonts w:ascii="Times New Roman" w:hAnsi="Times New Roman"/>
          <w:sz w:val="24"/>
        </w:rPr>
        <w:t>2. In-Memory Graph Scalability Boundaries: The NetworkX graph intelligence engine currently executes in-memory on a single node. While highly performant for networks up to 100,000 edges, petabyte-scale global banking networks require distributed graph database engines (such as Neo4j or Amazon Neptune).</w:t>
      </w:r>
    </w:p>
    <w:p>
      <w:pPr>
        <w:spacing w:line="360" w:lineRule="auto" w:after="120"/>
        <w:ind w:left="432"/>
      </w:pPr>
      <w:r>
        <w:rPr>
          <w:rFonts w:ascii="Times New Roman" w:hAnsi="Times New Roman"/>
          <w:sz w:val="24"/>
        </w:rPr>
        <w:t>3. Adversarial Perturbation Attacks: Highly sophisticated fraudsters who gain black-box query access to the API could theoretically craft adversarial feature perturbations (e.g., structuring amounts to manipulate Shapley value weights) to bypass detection.</w:t>
      </w:r>
    </w:p>
    <w:p>
      <w:pPr>
        <w:spacing w:line="360" w:lineRule="auto" w:after="120"/>
        <w:jc w:val="both"/>
      </w:pPr>
      <w:r>
        <w:rPr>
          <w:rFonts w:ascii="Times New Roman" w:hAnsi="Times New Roman"/>
          <w:sz w:val="24"/>
        </w:rPr>
        <w:t>End of Chapter 5 — Results &amp; Discussion</w:t>
      </w:r>
    </w:p>
    <w:p>
      <w:r>
        <w:br w:type="page"/>
      </w:r>
    </w:p>
    <w:p>
      <w:pPr>
        <w:keepNext/>
        <w:spacing w:before="400" w:after="200"/>
        <w:jc w:val="center"/>
      </w:pPr>
      <w:r>
        <w:rPr>
          <w:rFonts w:ascii="Times New Roman" w:hAnsi="Times New Roman"/>
          <w:b/>
          <w:sz w:val="36"/>
        </w:rPr>
        <w:t>Chapter 6: Conclusion &amp; Future Scope</w:t>
      </w:r>
    </w:p>
    <w:p>
      <w:pPr>
        <w:keepNext/>
        <w:spacing w:before="280" w:after="160"/>
      </w:pPr>
      <w:r>
        <w:rPr>
          <w:rFonts w:ascii="Times New Roman" w:hAnsi="Times New Roman"/>
          <w:b/>
          <w:sz w:val="32"/>
        </w:rPr>
        <w:t>6.1 Summary of Work Completed</w:t>
      </w:r>
    </w:p>
    <w:p>
      <w:pPr>
        <w:spacing w:line="360" w:lineRule="auto" w:after="120"/>
        <w:jc w:val="both"/>
      </w:pPr>
      <w:r>
        <w:rPr>
          <w:rFonts w:ascii="Times New Roman" w:hAnsi="Times New Roman"/>
          <w:sz w:val="24"/>
        </w:rPr>
        <w:t>Financial transaction fraud represents one of the most critical threats facing modern digital economies. This project successfully conceptualized, designed, implemented, and empirically validated FraudShield AI, an enterprise-grade, multi-domain, explainable financial transaction and credit card fraud detection platform.</w:t>
      </w:r>
    </w:p>
    <w:p>
      <w:pPr>
        <w:spacing w:line="360" w:lineRule="auto" w:after="120"/>
        <w:jc w:val="both"/>
      </w:pPr>
      <w:r>
        <w:rPr>
          <w:rFonts w:ascii="Times New Roman" w:hAnsi="Times New Roman"/>
          <w:sz w:val="24"/>
        </w:rPr>
        <w:t>The major technical milestones completed in this work include:</w:t>
      </w:r>
    </w:p>
    <w:p>
      <w:pPr>
        <w:spacing w:line="360" w:lineRule="auto" w:after="120"/>
        <w:ind w:left="432"/>
      </w:pPr>
      <w:r>
        <w:rPr>
          <w:rFonts w:ascii="Times New Roman" w:hAnsi="Times New Roman"/>
          <w:sz w:val="24"/>
        </w:rPr>
        <w:t>1. Multi-Domain Stacking Ensemble Architecture: Constructed a dynamic model registry housing four pre-trained model heads (PaySim Mobile Money, European Credit Card PCA, Spatial Behavioral, and BankSim Retail). Each head integrates XGBoost, LightGBM, and Random Forest base classifiers orchestrated by a cross-validated Logistic Regression meta-learner.</w:t>
      </w:r>
    </w:p>
    <w:p>
      <w:pPr>
        <w:spacing w:line="360" w:lineRule="auto" w:after="120"/>
        <w:ind w:left="432"/>
      </w:pPr>
      <w:r>
        <w:rPr>
          <w:rFonts w:ascii="Times New Roman" w:hAnsi="Times New Roman"/>
          <w:sz w:val="24"/>
        </w:rPr>
        <w:t>2. Advanced Imbalance Mitigation: Successfully integrated OmniSMOTE topological oversampling and dynamic gradient class weighting (scaleposweight), boosting the F1-Score on extreme imbalanced credit card data by $+8.40\%$ to 89.25% with 94.32% Precision.</w:t>
      </w:r>
    </w:p>
    <w:p>
      <w:pPr>
        <w:spacing w:line="360" w:lineRule="auto" w:after="120"/>
        <w:ind w:left="432"/>
      </w:pPr>
      <w:r>
        <w:rPr>
          <w:rFonts w:ascii="Times New Roman" w:hAnsi="Times New Roman"/>
          <w:sz w:val="24"/>
        </w:rPr>
        <w:t>3. Calibrated Continuous Risk Engine: Eliminated score polarization by mapping raw probabilities into a smooth 3-tier operational spectrum: SAFE ($&lt; 45\%$), NEEDS REVIEW ($45\%-75\%$), and FRAUD ($\ge 75\%$), protecting human-in-the-loop analyst workflows.</w:t>
      </w:r>
    </w:p>
    <w:p>
      <w:pPr>
        <w:spacing w:line="360" w:lineRule="auto" w:after="120"/>
        <w:ind w:left="432"/>
      </w:pPr>
      <w:r>
        <w:rPr>
          <w:rFonts w:ascii="Times New Roman" w:hAnsi="Times New Roman"/>
          <w:sz w:val="24"/>
        </w:rPr>
        <w:t>4. Synchronous Explainable AI &amp; FCRA Compliance: Embedded an optimized TreeSHAP engine delivering sub-50ms exact additive feature attributions ($\phii$) and automatically generating human-understandable FCRA Adverse Action Reason Codes and downloadable compliance letters.</w:t>
      </w:r>
    </w:p>
    <w:p>
      <w:pPr>
        <w:spacing w:line="360" w:lineRule="auto" w:after="120"/>
        <w:ind w:left="432"/>
      </w:pPr>
      <w:r>
        <w:rPr>
          <w:rFonts w:ascii="Times New Roman" w:hAnsi="Times New Roman"/>
          <w:sz w:val="24"/>
        </w:rPr>
        <w:t>5. Graph Intelligence &amp; Syndicate Forensics: Developed an in-memory transactional multi-graph using NetworkX, detecting cyclic money laundering rings ($A \rightarrow B \rightarrow C \rightarrow A$) and computing composite mule risk scores in sub-10ms latency.</w:t>
      </w:r>
    </w:p>
    <w:p>
      <w:pPr>
        <w:spacing w:line="360" w:lineRule="auto" w:after="120"/>
        <w:ind w:left="432"/>
      </w:pPr>
      <w:r>
        <w:rPr>
          <w:rFonts w:ascii="Times New Roman" w:hAnsi="Times New Roman"/>
          <w:sz w:val="24"/>
        </w:rPr>
        <w:t>6. Continuous MLOps Auditing &amp; Federated Defense: Implemented two-sample Kolmogorov-Smirnov tests and Population Stability Index (PSI) drift monitoring with an adversarial drift injection sandbox, coupled with a decentralized Federated Learning (FedAvg) simulator proving cross-institutional collaborative defense without customer PII sharing.</w:t>
      </w:r>
    </w:p>
    <w:p>
      <w:pPr>
        <w:spacing w:line="360" w:lineRule="auto" w:after="120"/>
        <w:ind w:left="432"/>
      </w:pPr>
      <w:r>
        <w:rPr>
          <w:rFonts w:ascii="Times New Roman" w:hAnsi="Times New Roman"/>
          <w:sz w:val="24"/>
        </w:rPr>
        <w:t>7. Production Microservices &amp; Modern Dashboard: Deployed an asynchronous FastAPI backend secured with cryptographic JWT RBAC, OWASP security headers, and sliding-window rate limiting, paired with a modern, responsive React 19 + Vite 6 + Tailwind CSS dashboard.</w:t>
      </w:r>
    </w:p>
    <w:p>
      <w:pPr>
        <w:keepNext/>
        <w:spacing w:before="280" w:after="160"/>
      </w:pPr>
      <w:r>
        <w:rPr>
          <w:rFonts w:ascii="Times New Roman" w:hAnsi="Times New Roman"/>
          <w:b/>
          <w:sz w:val="32"/>
        </w:rPr>
        <w:t>6.2 Future Scope</w:t>
      </w:r>
    </w:p>
    <w:p>
      <w:pPr>
        <w:spacing w:line="360" w:lineRule="auto" w:after="120"/>
        <w:jc w:val="both"/>
      </w:pPr>
      <w:r>
        <w:rPr>
          <w:rFonts w:ascii="Times New Roman" w:hAnsi="Times New Roman"/>
          <w:sz w:val="24"/>
        </w:rPr>
        <w:t>The technological roadmap for subsequent iterations of FraudShield AI encompasses several promising research trajectories:</w:t>
      </w:r>
    </w:p>
    <w:p>
      <w:pPr>
        <w:spacing w:line="360" w:lineRule="auto" w:after="120"/>
        <w:ind w:left="432"/>
      </w:pPr>
      <w:r>
        <w:rPr>
          <w:rFonts w:ascii="Times New Roman" w:hAnsi="Times New Roman"/>
          <w:sz w:val="24"/>
        </w:rPr>
        <w:t>1. Real-Time Graph Neural Networks (GNNs):</w:t>
      </w:r>
    </w:p>
    <w:p>
      <w:pPr>
        <w:spacing w:line="360" w:lineRule="auto" w:after="120"/>
        <w:jc w:val="both"/>
      </w:pPr>
      <w:r>
        <w:rPr>
          <w:rFonts w:ascii="Times New Roman" w:hAnsi="Times New Roman"/>
          <w:sz w:val="24"/>
        </w:rPr>
        <w:t>Future work will integrate inductive Graph Neural Network architectures (such as Graph Convolutional Networks - GCNs and Graph Attention Networks - GATs) into the streaming pipeline, allowing the model to learn structural node embeddings directly from live transaction graphs in real time.</w:t>
      </w:r>
    </w:p>
    <w:p>
      <w:pPr>
        <w:spacing w:line="360" w:lineRule="auto" w:after="120"/>
        <w:ind w:left="432"/>
      </w:pPr>
      <w:r>
        <w:rPr>
          <w:rFonts w:ascii="Times New Roman" w:hAnsi="Times New Roman"/>
          <w:sz w:val="24"/>
        </w:rPr>
        <w:t>2. Fully Homomorphic Encryption (FHE) for Federated Learning:</w:t>
      </w:r>
    </w:p>
    <w:p>
      <w:pPr>
        <w:spacing w:line="360" w:lineRule="auto" w:after="120"/>
        <w:jc w:val="both"/>
      </w:pPr>
      <w:r>
        <w:rPr>
          <w:rFonts w:ascii="Times New Roman" w:hAnsi="Times New Roman"/>
          <w:sz w:val="24"/>
        </w:rPr>
        <w:t>While the current Federated Learning module aggregates cleartext model weights, integrating Fully Homomorphic Encryption (e.g., CKKS scheme) will enable multi-bank weight aggregation over encrypted ciphertexts, providing mathematical guarantees against gradient inversion attacks.</w:t>
      </w:r>
    </w:p>
    <w:p>
      <w:pPr>
        <w:spacing w:line="360" w:lineRule="auto" w:after="120"/>
        <w:ind w:left="432"/>
      </w:pPr>
      <w:r>
        <w:rPr>
          <w:rFonts w:ascii="Times New Roman" w:hAnsi="Times New Roman"/>
          <w:sz w:val="24"/>
        </w:rPr>
        <w:t>3. Quantum-Resilient Cryptographic Security:</w:t>
      </w:r>
    </w:p>
    <w:p>
      <w:pPr>
        <w:spacing w:line="360" w:lineRule="auto" w:after="120"/>
        <w:jc w:val="both"/>
      </w:pPr>
      <w:r>
        <w:rPr>
          <w:rFonts w:ascii="Times New Roman" w:hAnsi="Times New Roman"/>
          <w:sz w:val="24"/>
        </w:rPr>
        <w:t>As quantum computing matures, upgrading the API gateway’s JWT signature schemes to post-quantum cryptographic standards (e.g., CRYSTALS-Dilithium and Falcon) will future-proof the platform against quantum decryption.</w:t>
      </w:r>
    </w:p>
    <w:p>
      <w:pPr>
        <w:spacing w:line="360" w:lineRule="auto" w:after="120"/>
        <w:ind w:left="432"/>
      </w:pPr>
      <w:r>
        <w:rPr>
          <w:rFonts w:ascii="Times New Roman" w:hAnsi="Times New Roman"/>
          <w:sz w:val="24"/>
        </w:rPr>
        <w:t>4. Hardware Acceleration on FPGA/ASIC:</w:t>
      </w:r>
    </w:p>
    <w:p>
      <w:pPr>
        <w:spacing w:line="360" w:lineRule="auto" w:after="120"/>
        <w:jc w:val="both"/>
      </w:pPr>
      <w:r>
        <w:rPr>
          <w:rFonts w:ascii="Times New Roman" w:hAnsi="Times New Roman"/>
          <w:sz w:val="24"/>
        </w:rPr>
        <w:t>Deploying the TreeSHAP calculation kernel onto field-programmable gate arrays (FPGAs) or tensor processing units (TPUs) to achieve sub-millisecond inference latencies suitable for ultra-high-frequency stock exchange and clearinghouse settlements.</w:t>
      </w:r>
    </w:p>
    <w:p>
      <w:pPr>
        <w:spacing w:line="360" w:lineRule="auto" w:after="120"/>
        <w:jc w:val="both"/>
      </w:pPr>
      <w:r>
        <w:rPr>
          <w:rFonts w:ascii="Times New Roman" w:hAnsi="Times New Roman"/>
          <w:sz w:val="24"/>
        </w:rPr>
        <w:t>End of Chapter 6 — Conclusion &amp; Future Scope</w:t>
      </w:r>
    </w:p>
    <w:p>
      <w:r>
        <w:br w:type="page"/>
      </w:r>
    </w:p>
    <w:p>
      <w:pPr>
        <w:keepNext/>
        <w:spacing w:before="400" w:after="200"/>
        <w:jc w:val="center"/>
      </w:pPr>
      <w:r>
        <w:rPr>
          <w:rFonts w:ascii="Times New Roman" w:hAnsi="Times New Roman"/>
          <w:b/>
          <w:sz w:val="36"/>
        </w:rPr>
        <w:t>REFERENCES</w:t>
      </w:r>
    </w:p>
    <w:p>
      <w:pPr>
        <w:spacing w:line="360" w:lineRule="auto" w:after="120"/>
        <w:ind w:left="432"/>
      </w:pPr>
      <w:r>
        <w:rPr>
          <w:rFonts w:ascii="Times New Roman" w:hAnsi="Times New Roman"/>
          <w:sz w:val="24"/>
        </w:rPr>
        <w:t>1. A. Dal Pozzolo, O. Caelen, R. A. Johnson, and G. Bontempi, "Calibrating probability with undersampling for fraud detection in credit cards," IEEE Computational Intelligence Magazine, vol. 10, no. 4, pp. 56–64, Nov. 2015.</w:t>
      </w:r>
    </w:p>
    <w:p>
      <w:pPr>
        <w:spacing w:line="360" w:lineRule="auto" w:after="120"/>
        <w:ind w:left="432"/>
      </w:pPr>
      <w:r>
        <w:rPr>
          <w:rFonts w:ascii="Times New Roman" w:hAnsi="Times New Roman"/>
          <w:sz w:val="24"/>
        </w:rPr>
        <w:t>2. F. Carcillo, A. Dal Pozzolo, Y. A. Le Borgne, O. Caelen, Y. Mazzerbo, and G. Bontempi, "Scarff: a framework for addressing drift and latency in credit card fraud detection," Information Sciences, vol. 468, pp. 126–144, Oct. 2018.</w:t>
      </w:r>
    </w:p>
    <w:p>
      <w:pPr>
        <w:spacing w:line="360" w:lineRule="auto" w:after="120"/>
        <w:ind w:left="432"/>
      </w:pPr>
      <w:r>
        <w:rPr>
          <w:rFonts w:ascii="Times New Roman" w:hAnsi="Times New Roman"/>
          <w:sz w:val="24"/>
        </w:rPr>
        <w:t>3. N. V. Chawla, K. W. Bowyer, L. O. Hall, and W. P. Kegelmeyer, "SMOTE: synthetic minority over-sampling technique," Journal of Artificial Intelligence Research, vol. 16, pp. 321–357, June 2002.</w:t>
      </w:r>
    </w:p>
    <w:p>
      <w:pPr>
        <w:spacing w:line="360" w:lineRule="auto" w:after="120"/>
        <w:ind w:left="432"/>
      </w:pPr>
      <w:r>
        <w:rPr>
          <w:rFonts w:ascii="Times New Roman" w:hAnsi="Times New Roman"/>
          <w:sz w:val="24"/>
        </w:rPr>
        <w:t>4. H. He, Y. Bai, E. A. Garcia, and S. Li, "ADASYN: Adaptive synthetic sampling approach for imbalanced learning," in IEEE International Joint Conference on Neural Networks (IEEE World Congress on Computational Intelligence), Hong Kong, 2008, pp. 1322–1328.</w:t>
      </w:r>
    </w:p>
    <w:p>
      <w:pPr>
        <w:spacing w:line="360" w:lineRule="auto" w:after="120"/>
        <w:ind w:left="432"/>
      </w:pPr>
      <w:r>
        <w:rPr>
          <w:rFonts w:ascii="Times New Roman" w:hAnsi="Times New Roman"/>
          <w:sz w:val="24"/>
        </w:rPr>
        <w:t>5. H. Han, W. Y. Wang, and B. H. Mao, "Borderline-SMOTE: a new over-sampling method in imbalanced data sets learning," in International Conference on Intelligent Computing, Berlin, Heidelberg, 2005, pp. 878–887.</w:t>
      </w:r>
    </w:p>
    <w:p>
      <w:pPr>
        <w:spacing w:line="360" w:lineRule="auto" w:after="120"/>
        <w:ind w:left="432"/>
      </w:pPr>
      <w:r>
        <w:rPr>
          <w:rFonts w:ascii="Times New Roman" w:hAnsi="Times New Roman"/>
          <w:sz w:val="24"/>
        </w:rPr>
        <w:t>6. T. Chen and C. Guestrin, "XGBoost: A scalable tree boosting system," in Proceedings of the 22nd ACM SIGKDD International Conference on Knowledge Discovery and Data Mining, San Francisco, CA, USA, 2016, pp. 785–794.</w:t>
      </w:r>
    </w:p>
    <w:p>
      <w:pPr>
        <w:spacing w:line="360" w:lineRule="auto" w:after="120"/>
        <w:ind w:left="432"/>
      </w:pPr>
      <w:r>
        <w:rPr>
          <w:rFonts w:ascii="Times New Roman" w:hAnsi="Times New Roman"/>
          <w:sz w:val="24"/>
        </w:rPr>
        <w:t>7. G. Ke, Q. Meng, T. Finley, T. Wang, W. Chen, W. Ma, Q. Ye, and T. Y. Liu, "LightGBM: A highly efficient gradient boosting decision tree," Advances in Neural Information Processing Systems (NeurIPS 30), vol. 30, pp. 3146–3154, 2017.</w:t>
      </w:r>
    </w:p>
    <w:p>
      <w:pPr>
        <w:spacing w:line="360" w:lineRule="auto" w:after="120"/>
        <w:ind w:left="432"/>
      </w:pPr>
      <w:r>
        <w:rPr>
          <w:rFonts w:ascii="Times New Roman" w:hAnsi="Times New Roman"/>
          <w:sz w:val="24"/>
        </w:rPr>
        <w:t>8. L. Breiman, "Bagging predictors," Machine Learning, vol. 24, no. 2, pp. 123–140, Aug. 1996.</w:t>
      </w:r>
    </w:p>
    <w:p>
      <w:pPr>
        <w:spacing w:line="360" w:lineRule="auto" w:after="120"/>
        <w:ind w:left="432"/>
      </w:pPr>
      <w:r>
        <w:rPr>
          <w:rFonts w:ascii="Times New Roman" w:hAnsi="Times New Roman"/>
          <w:sz w:val="24"/>
        </w:rPr>
        <w:t>9. L. Breiman, "Random forests," Machine Learning, vol. 45, no. 1, pp. 5–32, Oct. 2001.</w:t>
      </w:r>
    </w:p>
    <w:p>
      <w:pPr>
        <w:spacing w:line="360" w:lineRule="auto" w:after="120"/>
        <w:ind w:left="432"/>
      </w:pPr>
      <w:r>
        <w:rPr>
          <w:rFonts w:ascii="Times New Roman" w:hAnsi="Times New Roman"/>
          <w:sz w:val="24"/>
        </w:rPr>
        <w:t>10. D. H. Wolpert, "Stacked generalization," Neural Networks, vol. 5, no. 2, pp. 241–259, 1992.</w:t>
      </w:r>
    </w:p>
    <w:p>
      <w:pPr>
        <w:spacing w:line="360" w:lineRule="auto" w:after="120"/>
        <w:ind w:left="432"/>
      </w:pPr>
      <w:r>
        <w:rPr>
          <w:rFonts w:ascii="Times New Roman" w:hAnsi="Times New Roman"/>
          <w:sz w:val="24"/>
        </w:rPr>
        <w:t>11. J. H. Friedman, "Greedy function approximation: a gradient boosting machine," Annals of Statistics, vol. 29, no. 5, pp. 1189–1232, Oct. 2001.</w:t>
      </w:r>
    </w:p>
    <w:p>
      <w:pPr>
        <w:spacing w:line="360" w:lineRule="auto" w:after="120"/>
        <w:ind w:left="432"/>
      </w:pPr>
      <w:r>
        <w:rPr>
          <w:rFonts w:ascii="Times New Roman" w:hAnsi="Times New Roman"/>
          <w:sz w:val="24"/>
        </w:rPr>
        <w:t>12. S. M. Lundberg and S. I. Lee, "A unified approach to interpreting model predictions," Advances in Neural Information Processing Systems (NeurIPS 30), vol. 30, pp. 4765–4774, 2017.</w:t>
      </w:r>
    </w:p>
    <w:p>
      <w:pPr>
        <w:spacing w:line="360" w:lineRule="auto" w:after="120"/>
        <w:ind w:left="432"/>
      </w:pPr>
      <w:r>
        <w:rPr>
          <w:rFonts w:ascii="Times New Roman" w:hAnsi="Times New Roman"/>
          <w:sz w:val="24"/>
        </w:rPr>
        <w:t>13. S. M. Lundberg, G. Erion, H. Chen, A. DeGrave, J. M. Prutkin, B. Nair, R. Katz, M. Himmelfarb, N. Bansal, and S. I. Lee, "From local explanations to global understanding with explainable AI for trees," Nature Machine Intelligence, vol. 2, no. 1, pp. 56–67, Jan. 2020.</w:t>
      </w:r>
    </w:p>
    <w:p>
      <w:pPr>
        <w:spacing w:line="360" w:lineRule="auto" w:after="120"/>
        <w:ind w:left="432"/>
      </w:pPr>
      <w:r>
        <w:rPr>
          <w:rFonts w:ascii="Times New Roman" w:hAnsi="Times New Roman"/>
          <w:sz w:val="24"/>
        </w:rPr>
        <w:t>14. M. T. Ribeiro, S. Singh, and C. Guestrin, ""Why should I trust you?": Explaining the predictions of any classifier," in Proceedings of the 22nd ACM SIGKDD International Conference on Knowledge Discovery and Data Mining, San Francisco, CA, USA, 2016, pp. 1135–1144.</w:t>
      </w:r>
    </w:p>
    <w:p>
      <w:pPr>
        <w:spacing w:line="360" w:lineRule="auto" w:after="120"/>
        <w:ind w:left="432"/>
      </w:pPr>
      <w:r>
        <w:rPr>
          <w:rFonts w:ascii="Times New Roman" w:hAnsi="Times New Roman"/>
          <w:sz w:val="24"/>
        </w:rPr>
        <w:t>15. E. A. Lopez-Rojas, A. Elmir, and S. Axelsson, "PaySim: A financial mobile money simulator for fraud detection," in 28th European Modeling and Simulation Symposium (EMSS), Larnaca, Cyprus, 2016, pp. 249–255.</w:t>
      </w:r>
    </w:p>
    <w:p>
      <w:pPr>
        <w:spacing w:line="360" w:lineRule="auto" w:after="120"/>
        <w:ind w:left="432"/>
      </w:pPr>
      <w:r>
        <w:rPr>
          <w:rFonts w:ascii="Times New Roman" w:hAnsi="Times New Roman"/>
          <w:sz w:val="24"/>
        </w:rPr>
        <w:t>16. E. A. Lopez-Rojas and S. Axelsson, "BankSim: A bank payment simulation for fraud detection research," in 26th European Modeling and Simulation Symposium (EMSS), Bordeaux, France, 2014, pp. 341–347.</w:t>
      </w:r>
    </w:p>
    <w:p>
      <w:pPr>
        <w:spacing w:line="360" w:lineRule="auto" w:after="120"/>
        <w:ind w:left="432"/>
      </w:pPr>
      <w:r>
        <w:rPr>
          <w:rFonts w:ascii="Times New Roman" w:hAnsi="Times New Roman"/>
          <w:sz w:val="24"/>
        </w:rPr>
        <w:t>17. L. Akoglu, R. Chandy, and C. Faloutsos, "Graph based anomaly detection and description: a survey," Data Mining and Knowledge Discovery, vol. 29, no. 3, pp. 626–688, May 2015.</w:t>
      </w:r>
    </w:p>
    <w:p>
      <w:pPr>
        <w:spacing w:line="360" w:lineRule="auto" w:after="120"/>
        <w:ind w:left="432"/>
      </w:pPr>
      <w:r>
        <w:rPr>
          <w:rFonts w:ascii="Times New Roman" w:hAnsi="Times New Roman"/>
          <w:sz w:val="24"/>
        </w:rPr>
        <w:t>18. B. McMahan, E. Moore, D. Ramage, S. Hampson, and B. A. y Arcas, "Communication-efficient learning of deep networks from decentralized data," in Artificial Intelligence and Statistics (AISTATS), Fort Lauderdale, FL, USA, 2017, pp. 1273–1282.</w:t>
      </w:r>
    </w:p>
    <w:p>
      <w:pPr>
        <w:spacing w:line="360" w:lineRule="auto" w:after="120"/>
        <w:ind w:left="432"/>
      </w:pPr>
      <w:r>
        <w:rPr>
          <w:rFonts w:ascii="Times New Roman" w:hAnsi="Times New Roman"/>
          <w:sz w:val="24"/>
        </w:rPr>
        <w:t>19. Q. Yang, Y. Liu, T. Chen, and Y. Tong, "Federated machine learning: Concept and applications," ACM Transactions on Intelligent Systems and Technology (TIST), vol. 10, no. 2, pp. 1–19, Feb. 2019.</w:t>
      </w:r>
    </w:p>
    <w:p>
      <w:pPr>
        <w:spacing w:line="360" w:lineRule="auto" w:after="120"/>
        <w:ind w:left="432"/>
      </w:pPr>
      <w:r>
        <w:rPr>
          <w:rFonts w:ascii="Times New Roman" w:hAnsi="Times New Roman"/>
          <w:sz w:val="24"/>
        </w:rPr>
        <w:t>20. C. Elkan, "The foundations of cost-sensitive learning," in International Joint Conference on Artificial Intelligence (IJCAI), Seattle, WA, USA, 2001, vol. 17, pp. 973–978.</w:t>
      </w:r>
    </w:p>
    <w:p>
      <w:pPr>
        <w:spacing w:line="360" w:lineRule="auto" w:after="120"/>
        <w:ind w:left="432"/>
      </w:pPr>
      <w:r>
        <w:rPr>
          <w:rFonts w:ascii="Times New Roman" w:hAnsi="Times New Roman"/>
          <w:sz w:val="24"/>
        </w:rPr>
        <w:t>21. European Parliament and Council, "Artificial Intelligence Act (Regulation EU 2024/1689)," Official Journal of the European Union, July 2024.</w:t>
      </w:r>
    </w:p>
    <w:p>
      <w:pPr>
        <w:spacing w:line="360" w:lineRule="auto" w:after="120"/>
        <w:ind w:left="432"/>
      </w:pPr>
      <w:r>
        <w:rPr>
          <w:rFonts w:ascii="Times New Roman" w:hAnsi="Times New Roman"/>
          <w:sz w:val="24"/>
        </w:rPr>
        <w:t>22. European Parliament and Council, "General Data Protection Regulation (Regulation EU 2016/679)," Official Journal of the European Union, Apr. 2016.</w:t>
      </w:r>
    </w:p>
    <w:p>
      <w:pPr>
        <w:spacing w:line="360" w:lineRule="auto" w:after="120"/>
        <w:ind w:left="432"/>
      </w:pPr>
      <w:r>
        <w:rPr>
          <w:rFonts w:ascii="Times New Roman" w:hAnsi="Times New Roman"/>
          <w:sz w:val="24"/>
        </w:rPr>
        <w:t>23. Federal Trade Commission, "Fair Credit Reporting Act (15 U.S.C. Section 1681 et seq.)," FTC Regulatory Compendium, 2023.</w:t>
      </w:r>
    </w:p>
    <w:p>
      <w:pPr>
        <w:spacing w:line="360" w:lineRule="auto" w:after="120"/>
        <w:ind w:left="432"/>
      </w:pPr>
      <w:r>
        <w:rPr>
          <w:rFonts w:ascii="Times New Roman" w:hAnsi="Times New Roman"/>
          <w:sz w:val="24"/>
        </w:rPr>
        <w:t>24. R. J. Bolton and D. J. Hand, "Statistical fraud detection: A review," Statistical Science, vol. 17, no. 3, pp. 235–255, Aug. 2002.</w:t>
      </w:r>
    </w:p>
    <w:p>
      <w:pPr>
        <w:spacing w:line="360" w:lineRule="auto" w:after="120"/>
        <w:ind w:left="432"/>
      </w:pPr>
      <w:r>
        <w:rPr>
          <w:rFonts w:ascii="Times New Roman" w:hAnsi="Times New Roman"/>
          <w:sz w:val="24"/>
        </w:rPr>
        <w:t>25. E. Aleskerov, B. Freisleben, and B. Rao, "CARDWATCH: a neural network based database mining system for credit card fraud detection," in IEEE Computational Intelligence for Financial Engineering, New York, NY, USA, 1997, pp. 220–226.</w:t>
      </w:r>
    </w:p>
    <w:p>
      <w:pPr>
        <w:spacing w:line="360" w:lineRule="auto" w:after="120"/>
        <w:ind w:left="432"/>
      </w:pPr>
      <w:r>
        <w:rPr>
          <w:rFonts w:ascii="Times New Roman" w:hAnsi="Times New Roman"/>
          <w:sz w:val="24"/>
        </w:rPr>
        <w:t>26. J. R. Quinlan, C4.5: Programs for Machine Learning, San Mateo, CA: Morgan Kaufmann Publishers, 1993.</w:t>
      </w:r>
    </w:p>
    <w:p>
      <w:pPr>
        <w:spacing w:line="360" w:lineRule="auto" w:after="120"/>
        <w:ind w:left="432"/>
      </w:pPr>
      <w:r>
        <w:rPr>
          <w:rFonts w:ascii="Times New Roman" w:hAnsi="Times New Roman"/>
          <w:sz w:val="24"/>
        </w:rPr>
        <w:t>27. S. Pumsirirat and L. Yan, "Credit card fraud detection using deep learning based on auto-encoder and restricted Boltzmann machine," International Journal of Advanced Computer Science and Applications, vol. 9, no. 1, pp. 18–25, 2018.</w:t>
      </w:r>
    </w:p>
    <w:p>
      <w:pPr>
        <w:spacing w:line="360" w:lineRule="auto" w:after="120"/>
        <w:ind w:left="432"/>
      </w:pPr>
      <w:r>
        <w:rPr>
          <w:rFonts w:ascii="Times New Roman" w:hAnsi="Times New Roman"/>
          <w:sz w:val="24"/>
        </w:rPr>
        <w:t>28. I. Benchaji, S. Douzi, and B. El Ouahidi, "Using genetic algorithm to improve classification of imbalanced credit card fraud data," IEEE Access, vol. 9, pp. 99486–99496, July 2021.</w:t>
      </w:r>
    </w:p>
    <w:p>
      <w:pPr>
        <w:spacing w:line="360" w:lineRule="auto" w:after="120"/>
        <w:ind w:left="432"/>
      </w:pPr>
      <w:r>
        <w:rPr>
          <w:rFonts w:ascii="Times New Roman" w:hAnsi="Times New Roman"/>
          <w:sz w:val="24"/>
        </w:rPr>
        <w:t>29. P. Flach, Machine Learning: The Art and Science of Algorithms that Make Sense of Data, Cambridge University Press, 2012.</w:t>
      </w:r>
    </w:p>
    <w:p>
      <w:pPr>
        <w:spacing w:line="360" w:lineRule="auto" w:after="120"/>
        <w:ind w:left="432"/>
      </w:pPr>
      <w:r>
        <w:rPr>
          <w:rFonts w:ascii="Times New Roman" w:hAnsi="Times New Roman"/>
          <w:sz w:val="24"/>
        </w:rPr>
        <w:t>30. F. Pedregosa et al., "Scikit-learn: Machine learning in Python," Journal of Machine Learning Research, vol. 12, pp. 2825–2830, 2011.</w:t>
      </w:r>
    </w:p>
    <w:p>
      <w:r>
        <w:br w:type="page"/>
      </w:r>
    </w:p>
    <w:p>
      <w:pPr>
        <w:keepNext/>
        <w:spacing w:before="400" w:after="200"/>
        <w:jc w:val="center"/>
      </w:pPr>
      <w:r>
        <w:rPr>
          <w:rFonts w:ascii="Times New Roman" w:hAnsi="Times New Roman"/>
          <w:b/>
          <w:sz w:val="36"/>
        </w:rPr>
        <w:t>RESEARCH PAPER</w:t>
      </w:r>
    </w:p>
    <w:p>
      <w:pPr>
        <w:keepNext/>
        <w:spacing w:before="240" w:after="120"/>
      </w:pPr>
      <w:r>
        <w:rPr>
          <w:rFonts w:ascii="Times New Roman" w:hAnsi="Times New Roman"/>
          <w:b/>
          <w:sz w:val="28"/>
        </w:rPr>
        <w:t>(Publication-Ready Academic Paper)</w:t>
      </w:r>
    </w:p>
    <w:p>
      <w:pPr>
        <w:keepNext/>
        <w:spacing w:before="280" w:after="160"/>
      </w:pPr>
      <w:r>
        <w:rPr>
          <w:rFonts w:ascii="Times New Roman" w:hAnsi="Times New Roman"/>
          <w:b/>
          <w:sz w:val="32"/>
        </w:rPr>
        <w:t>FraudShield AI: Multi-Domain Financial Fraud Detection via Stacking Ensembles, Calibrated Risk Scoring, and TreeSHAP Explainability</w:t>
      </w:r>
    </w:p>
    <w:p>
      <w:pPr>
        <w:spacing w:line="360" w:lineRule="auto" w:after="120"/>
        <w:jc w:val="both"/>
      </w:pPr>
      <w:r>
        <w:rPr>
          <w:rFonts w:ascii="Times New Roman" w:hAnsi="Times New Roman"/>
          <w:sz w:val="24"/>
        </w:rPr>
        <w:t>Ashmit Singh, Sumit Singh, Shivam Singh, and Ms. Tanmayi Nagale</w:t>
      </w:r>
    </w:p>
    <w:p>
      <w:pPr>
        <w:spacing w:line="360" w:lineRule="auto" w:after="120"/>
        <w:jc w:val="both"/>
      </w:pPr>
      <w:r>
        <w:rPr>
          <w:rFonts w:ascii="Times New Roman" w:hAnsi="Times New Roman"/>
          <w:sz w:val="24"/>
        </w:rPr>
        <w:t>Department of Computer Engineering, Thakur College of Engineering &amp; Technology, Mumbai, India</w:t>
      </w:r>
    </w:p>
    <w:p>
      <w:pPr>
        <w:spacing w:line="360" w:lineRule="auto" w:after="120"/>
        <w:jc w:val="both"/>
      </w:pPr>
      <w:r>
        <w:rPr>
          <w:rFonts w:ascii="Times New Roman" w:hAnsi="Times New Roman"/>
          <w:sz w:val="24"/>
        </w:rPr>
        <w:t>(Autonomous Institute Affiliated to University of Mumbai)</w:t>
      </w:r>
    </w:p>
    <w:p>
      <w:pPr>
        <w:keepNext/>
        <w:spacing w:before="240" w:after="120"/>
      </w:pPr>
      <w:r>
        <w:rPr>
          <w:rFonts w:ascii="Times New Roman" w:hAnsi="Times New Roman"/>
          <w:b/>
          <w:sz w:val="28"/>
        </w:rPr>
        <w:t>Abstract</w:t>
      </w:r>
    </w:p>
    <w:p>
      <w:pPr>
        <w:spacing w:line="360" w:lineRule="auto" w:after="120"/>
        <w:jc w:val="both"/>
      </w:pPr>
      <w:r>
        <w:rPr>
          <w:rFonts w:ascii="Times New Roman" w:hAnsi="Times New Roman"/>
          <w:sz w:val="24"/>
        </w:rPr>
        <w:t>Financial fraud detection presents significant challenges to machine learning systems due to extreme class imbalance (often exceeding 1:500), severe domain shifts across payment ecosystems (e.g., mobile money vs. credit card PCA vectors vs. spatial geolocation), and the strict requirement for model explainability in regulatory environments. In this paper, we present FraudShield AI, a multi-domain fraud detection architecture powered by a Stacking Ensemble classifier (XGBoost, LightGBM, Random Forest) with domain-specific model heads, class-weighted optimization, and continuous risk calibration. Evaluated across four benchmark financial datasets—PaySim Mobile Money, European Credit Card PCA, Spatial Behavioral Credit Card, and BankSim Retail Banking—FraudShield AI achieves near-perfect F1-scores on mobile money transactions (99.66% F1, 100% Precision) and achieves an 8.40% boost in F1-Score (to 89.25% F1, 94.32% Precision) on extreme imbalanced PCA vector data. Furthermore, we integrate TreeSHAP for feature attribution and implement a continuous 3-tier risk classification system (SAFE &lt; 45%, NEEDS REVIEW 45%–75%, FRAUD ≥ 75%) deployed via FastAPI and React.</w:t>
      </w:r>
    </w:p>
    <w:p>
      <w:pPr>
        <w:spacing w:line="360" w:lineRule="auto" w:after="120"/>
        <w:jc w:val="both"/>
      </w:pPr>
      <w:r>
        <w:rPr>
          <w:rFonts w:ascii="Times New Roman" w:hAnsi="Times New Roman"/>
          <w:sz w:val="24"/>
        </w:rPr>
        <w:t>Keywords: Financial Fraud Detection, Stacking Ensemble, Extreme Class Imbalance, Explainable AI (XAI), TreeSHAP, Regulatory Compliance, FCRA Reason Codes.</w:t>
      </w:r>
    </w:p>
    <w:p>
      <w:pPr>
        <w:keepNext/>
        <w:spacing w:before="240" w:after="120"/>
      </w:pPr>
      <w:r>
        <w:rPr>
          <w:rFonts w:ascii="Times New Roman" w:hAnsi="Times New Roman"/>
          <w:b/>
          <w:sz w:val="28"/>
        </w:rPr>
        <w:t>I. Introduction</w:t>
      </w:r>
    </w:p>
    <w:p>
      <w:pPr>
        <w:spacing w:line="360" w:lineRule="auto" w:after="120"/>
        <w:jc w:val="both"/>
      </w:pPr>
      <w:r>
        <w:rPr>
          <w:rFonts w:ascii="Times New Roman" w:hAnsi="Times New Roman"/>
          <w:sz w:val="24"/>
        </w:rPr>
        <w:t>Financial institutions face staggering economic losses exceeding $48 billion annually due to fraudulent payment activities across card-not-present (CNP) channels, peer-to-peer (P2P) transfers, and unauthorized wire settlements. Legacy detection platforms rely on static rule engines that inflict massive false positive rates (exceeding 90%), inducing severe friction for legitimate cardholders and overwhelming fraud analysts.</w:t>
      </w:r>
    </w:p>
    <w:p>
      <w:pPr>
        <w:spacing w:line="360" w:lineRule="auto" w:after="120"/>
        <w:jc w:val="both"/>
      </w:pPr>
      <w:r>
        <w:rPr>
          <w:rFonts w:ascii="Times New Roman" w:hAnsi="Times New Roman"/>
          <w:sz w:val="24"/>
        </w:rPr>
        <w:t>While supervised machine learning models capture complex non-linear relationships, they encounter four critical hurdles:</w:t>
      </w:r>
    </w:p>
    <w:p>
      <w:pPr>
        <w:spacing w:line="360" w:lineRule="auto" w:after="120"/>
        <w:ind w:left="432"/>
      </w:pPr>
      <w:r>
        <w:rPr>
          <w:rFonts w:ascii="Times New Roman" w:hAnsi="Times New Roman"/>
          <w:sz w:val="24"/>
        </w:rPr>
        <w:t>1. Extreme Class Imbalance: Genuine transactions overwhelmingly outnumber fraudulent events (frequently $&lt; 0.17\%$ prevalence). Standard classifiers optimize for majority class accuracy, producing 0% recall.</w:t>
      </w:r>
    </w:p>
    <w:p>
      <w:pPr>
        <w:spacing w:line="360" w:lineRule="auto" w:after="120"/>
        <w:ind w:left="432"/>
      </w:pPr>
      <w:r>
        <w:rPr>
          <w:rFonts w:ascii="Times New Roman" w:hAnsi="Times New Roman"/>
          <w:sz w:val="24"/>
        </w:rPr>
        <w:t>2. Domain Incompatibility: Models trained on mobile wallet balance equations fail when evaluated on anonymized PCA vectors or geographic coordinates.</w:t>
      </w:r>
    </w:p>
    <w:p>
      <w:pPr>
        <w:spacing w:line="360" w:lineRule="auto" w:after="120"/>
        <w:ind w:left="432"/>
      </w:pPr>
      <w:r>
        <w:rPr>
          <w:rFonts w:ascii="Times New Roman" w:hAnsi="Times New Roman"/>
          <w:sz w:val="24"/>
        </w:rPr>
        <w:t>3. Black-Box Opacity: Modern gradient boosted trees do not provide interpretable justifications required by GDPR Article 22 and the Fair Credit Reporting Act (FCRA).</w:t>
      </w:r>
    </w:p>
    <w:p>
      <w:pPr>
        <w:spacing w:line="360" w:lineRule="auto" w:after="120"/>
        <w:ind w:left="432"/>
      </w:pPr>
      <w:r>
        <w:rPr>
          <w:rFonts w:ascii="Times New Roman" w:hAnsi="Times New Roman"/>
          <w:sz w:val="24"/>
        </w:rPr>
        <w:t>4. Probability Polarization: Standard cross-entropy training clusters predicted probabilities at $0.00$ or $1.00$, eliminating the intermediate review tier.</w:t>
      </w:r>
    </w:p>
    <w:p>
      <w:pPr>
        <w:spacing w:line="360" w:lineRule="auto" w:after="120"/>
        <w:jc w:val="both"/>
      </w:pPr>
      <w:r>
        <w:rPr>
          <w:rFonts w:ascii="Times New Roman" w:hAnsi="Times New Roman"/>
          <w:sz w:val="24"/>
        </w:rPr>
        <w:t>To solve these challenges, we introduce FraudShield AI, an integrated platform combining multi-domain stacking ensembles, continuous risk calibration, TreeSHAP interpretability, and in-memory graph intelligence.</w:t>
      </w:r>
    </w:p>
    <w:p>
      <w:pPr>
        <w:keepNext/>
        <w:spacing w:before="240" w:after="120"/>
      </w:pPr>
      <w:r>
        <w:rPr>
          <w:rFonts w:ascii="Times New Roman" w:hAnsi="Times New Roman"/>
          <w:b/>
          <w:sz w:val="28"/>
        </w:rPr>
        <w:t>II. System Architecture &amp; Methodology</w:t>
      </w:r>
    </w:p>
    <w:p>
      <w:pPr>
        <w:keepNext/>
        <w:spacing w:before="200" w:after="80"/>
      </w:pPr>
      <w:r>
        <w:rPr>
          <w:rFonts w:ascii="Times New Roman" w:hAnsi="Times New Roman"/>
          <w:b/>
          <w:sz w:val="24"/>
        </w:rPr>
        <w:t>A. Multi-Domain Model Registry</w:t>
      </w:r>
    </w:p>
    <w:p>
      <w:pPr>
        <w:spacing w:line="360" w:lineRule="auto" w:after="120"/>
        <w:jc w:val="both"/>
      </w:pPr>
      <w:r>
        <w:rPr>
          <w:rFonts w:ascii="Times New Roman" w:hAnsi="Times New Roman"/>
          <w:sz w:val="24"/>
        </w:rPr>
        <w:t>FraudShield AI maintains dedicated pre-trained model heads for four distinct financial transaction schemas:</w:t>
      </w:r>
    </w:p>
    <w:p>
      <w:pPr>
        <w:spacing w:line="360" w:lineRule="auto" w:after="120"/>
        <w:ind w:left="432"/>
      </w:pPr>
      <w:r>
        <w:rPr>
          <w:rFonts w:ascii="Times New Roman" w:hAnsi="Times New Roman"/>
          <w:sz w:val="24"/>
        </w:rPr>
        <w:t>1. paysim: Mobile Money P2P transactions handling balance reconciliation delta features (errorBalanceOrig, errorBalanceDest).</w:t>
      </w:r>
    </w:p>
    <w:p>
      <w:pPr>
        <w:spacing w:line="360" w:lineRule="auto" w:after="120"/>
        <w:ind w:left="432"/>
      </w:pPr>
      <w:r>
        <w:rPr>
          <w:rFonts w:ascii="Times New Roman" w:hAnsi="Times New Roman"/>
          <w:sz w:val="24"/>
        </w:rPr>
        <w:t>2. creditcard: European Cardholder PCA vectors handling 28 anonymized components ($V1 \dots V{28}$) with $577:1$ imbalance.</w:t>
      </w:r>
    </w:p>
    <w:p>
      <w:pPr>
        <w:spacing w:line="360" w:lineRule="auto" w:after="120"/>
        <w:ind w:left="432"/>
      </w:pPr>
      <w:r>
        <w:rPr>
          <w:rFonts w:ascii="Times New Roman" w:hAnsi="Times New Roman"/>
          <w:sz w:val="24"/>
        </w:rPr>
        <w:t>3. spatial: Geospatial transactions computing Haversine geodesic distance between cardholder $(</w:t>
        <w:tab/>
        <w:t xml:space="preserve">ext{lat}, </w:t>
        <w:tab/>
        <w:t>ext{long})$ and merchant coordinates.</w:t>
      </w:r>
    </w:p>
    <w:p>
      <w:pPr>
        <w:spacing w:line="360" w:lineRule="auto" w:after="120"/>
        <w:ind w:left="432"/>
      </w:pPr>
      <w:r>
        <w:rPr>
          <w:rFonts w:ascii="Times New Roman" w:hAnsi="Times New Roman"/>
          <w:sz w:val="24"/>
        </w:rPr>
        <w:t>4. banksim: Retail banking simulator tracking category-encoded merchant spending patterns.</w:t>
      </w:r>
    </w:p>
    <w:p>
      <w:pPr>
        <w:keepNext/>
        <w:spacing w:before="200" w:after="80"/>
      </w:pPr>
      <w:r>
        <w:rPr>
          <w:rFonts w:ascii="Times New Roman" w:hAnsi="Times New Roman"/>
          <w:b/>
          <w:sz w:val="24"/>
        </w:rPr>
        <w:t>B. Stacking Ensemble Engine</w:t>
      </w:r>
    </w:p>
    <w:p>
      <w:pPr>
        <w:spacing w:line="360" w:lineRule="auto" w:after="120"/>
        <w:jc w:val="both"/>
      </w:pPr>
      <w:r>
        <w:rPr>
          <w:rFonts w:ascii="Times New Roman" w:hAnsi="Times New Roman"/>
          <w:sz w:val="24"/>
        </w:rPr>
        <w:t>Each domain head utilizes a two-tier Stacking Ensemble:</w:t>
      </w:r>
    </w:p>
    <w:p>
      <w:pPr>
        <w:spacing w:line="360" w:lineRule="auto" w:after="120"/>
        <w:ind w:left="432"/>
      </w:pPr>
      <w:r>
        <w:rPr>
          <w:rFonts w:ascii="Times New Roman" w:hAnsi="Times New Roman"/>
          <w:sz w:val="24"/>
        </w:rPr>
        <w:t>• Level-0 Base Learners: XGBoost (XGBClassifier), LightGBM (LGBMClassifier), and Random Forest (RandomForestClassifier).</w:t>
      </w:r>
    </w:p>
    <w:p>
      <w:pPr>
        <w:spacing w:line="360" w:lineRule="auto" w:after="120"/>
        <w:ind w:left="432"/>
      </w:pPr>
      <w:r>
        <w:rPr>
          <w:rFonts w:ascii="Times New Roman" w:hAnsi="Times New Roman"/>
          <w:sz w:val="24"/>
        </w:rPr>
        <w:t>• Level-1 Meta-Learner: Calibrated Logistic Regression synthesizing base probability vectors.</w:t>
      </w:r>
    </w:p>
    <w:p>
      <w:pPr>
        <w:spacing w:line="360" w:lineRule="auto" w:after="120"/>
        <w:jc w:val="both"/>
      </w:pPr>
      <w:r>
        <w:rPr>
          <w:rFonts w:ascii="Times New Roman" w:hAnsi="Times New Roman"/>
          <w:sz w:val="24"/>
        </w:rPr>
        <w:t>To combat extreme class imbalance during training, XGBoost and LightGBM utilize dynamic positive class weighting:</w:t>
      </w:r>
    </w:p>
    <w:p>
      <w:pPr>
        <w:spacing w:line="360" w:lineRule="auto" w:after="120"/>
        <w:jc w:val="both"/>
      </w:pPr>
      <w:r>
        <w:rPr>
          <w:rFonts w:ascii="Times New Roman" w:hAnsi="Times New Roman"/>
          <w:sz w:val="24"/>
        </w:rPr>
        <w:t>$$</w:t>
        <w:tab/>
        <w:t>ext{scale\pos\weight} = rac{N{</w:t>
        <w:tab/>
        <w:t>ext{majority}}}{N{</w:t>
        <w:tab/>
        <w:t>ext{minority}}}$$</w:t>
      </w:r>
    </w:p>
    <w:p>
      <w:pPr>
        <w:keepNext/>
        <w:spacing w:before="200" w:after="80"/>
      </w:pPr>
      <w:r>
        <w:rPr>
          <w:rFonts w:ascii="Times New Roman" w:hAnsi="Times New Roman"/>
          <w:b/>
          <w:sz w:val="24"/>
        </w:rPr>
        <w:t>C. Continuous Calibrated Risk Engine</w:t>
      </w:r>
    </w:p>
    <w:p>
      <w:pPr>
        <w:spacing w:line="360" w:lineRule="auto" w:after="120"/>
        <w:jc w:val="both"/>
      </w:pPr>
      <w:r>
        <w:rPr>
          <w:rFonts w:ascii="Times New Roman" w:hAnsi="Times New Roman"/>
          <w:sz w:val="24"/>
        </w:rPr>
        <w:t>To prevent binary probability polarization, FraudShield AI maps raw probabilities $p$ into a continuous risk score:</w:t>
      </w:r>
    </w:p>
    <w:p>
      <w:pPr>
        <w:spacing w:line="360" w:lineRule="auto" w:after="120"/>
        <w:jc w:val="both"/>
      </w:pPr>
      <w:r>
        <w:rPr>
          <w:rFonts w:ascii="Times New Roman" w:hAnsi="Times New Roman"/>
          <w:sz w:val="24"/>
        </w:rPr>
        <w:t>$$</w:t>
        <w:tab/>
        <w:t>ext{RiskScore}(p, \mathbf{x}) = egin{cases}</w:t>
      </w:r>
    </w:p>
    <w:p>
      <w:pPr>
        <w:spacing w:line="360" w:lineRule="auto" w:after="120"/>
        <w:jc w:val="both"/>
      </w:pPr>
      <w:r>
        <w:rPr>
          <w:rFonts w:ascii="Times New Roman" w:hAnsi="Times New Roman"/>
          <w:sz w:val="24"/>
        </w:rPr>
        <w:t>0.75 + 0.08 \cdot \left(rac{p - 0.5}{0.5}</w:t>
      </w:r>
    </w:p>
    <w:p>
      <w:pPr>
        <w:spacing w:line="360" w:lineRule="auto" w:after="120"/>
        <w:jc w:val="both"/>
      </w:pPr>
      <w:r>
        <w:rPr>
          <w:rFonts w:ascii="Times New Roman" w:hAnsi="Times New Roman"/>
          <w:sz w:val="24"/>
        </w:rPr>
        <w:t>ight) + 0.08 \cdot f{</w:t>
        <w:tab/>
        <w:t>ext{amt}}(\mathbf{x}) + 0.08 \cdot \mathbb{I}{</w:t>
        <w:tab/>
        <w:t>ext{drain}}, &amp; p &gt; 0.5 \[4pt]</w:t>
      </w:r>
    </w:p>
    <w:p>
      <w:pPr>
        <w:spacing w:line="360" w:lineRule="auto" w:after="120"/>
        <w:jc w:val="both"/>
      </w:pPr>
      <w:r>
        <w:rPr>
          <w:rFonts w:ascii="Times New Roman" w:hAnsi="Times New Roman"/>
          <w:sz w:val="24"/>
        </w:rPr>
        <w:t>0.15 \cdot f{</w:t>
        <w:tab/>
        <w:t xml:space="preserve">ext{amt}}(\mathbf{x}), &amp; p \le 0.5 \land </w:t>
        <w:tab/>
        <w:t>ext{Type}</w:t>
      </w:r>
    </w:p>
    <w:p>
      <w:pPr>
        <w:spacing w:line="360" w:lineRule="auto" w:after="120"/>
        <w:jc w:val="both"/>
      </w:pPr>
      <w:r>
        <w:rPr>
          <w:rFonts w:ascii="Times New Roman" w:hAnsi="Times New Roman"/>
          <w:sz w:val="24"/>
        </w:rPr>
        <w:t>otin \{</w:t>
        <w:tab/>
        <w:t xml:space="preserve">ext{TRANSFER}, </w:t>
        <w:tab/>
        <w:t>ext{CASH\OUT}\} \[4pt]</w:t>
      </w:r>
    </w:p>
    <w:p>
      <w:pPr>
        <w:spacing w:line="360" w:lineRule="auto" w:after="120"/>
        <w:jc w:val="both"/>
      </w:pPr>
      <w:r>
        <w:rPr>
          <w:rFonts w:ascii="Times New Roman" w:hAnsi="Times New Roman"/>
          <w:sz w:val="24"/>
        </w:rPr>
        <w:t>0.15 + 0.25 \cdot f{</w:t>
        <w:tab/>
        <w:t>ext{amt}} + 0.20 \cdot \mathbb{I}{</w:t>
        <w:tab/>
        <w:t>ext{drain}} + 0.10 \cdot \mathbb{I}{</w:t>
        <w:tab/>
        <w:t>ext{err}} + 0.05 \cdot \left(rac{p}{0.5}</w:t>
      </w:r>
    </w:p>
    <w:p>
      <w:pPr>
        <w:spacing w:line="360" w:lineRule="auto" w:after="120"/>
        <w:jc w:val="both"/>
      </w:pPr>
      <w:r>
        <w:rPr>
          <w:rFonts w:ascii="Times New Roman" w:hAnsi="Times New Roman"/>
          <w:sz w:val="24"/>
        </w:rPr>
        <w:t xml:space="preserve">ight), &amp; </w:t>
        <w:tab/>
        <w:t>ext{otherwise}</w:t>
      </w:r>
    </w:p>
    <w:p>
      <w:pPr>
        <w:spacing w:line="360" w:lineRule="auto" w:after="120"/>
        <w:jc w:val="both"/>
      </w:pPr>
      <w:r>
        <w:rPr>
          <w:rFonts w:ascii="Times New Roman" w:hAnsi="Times New Roman"/>
          <w:sz w:val="24"/>
        </w:rPr>
        <w:t>\end{cases}$$</w:t>
      </w:r>
    </w:p>
    <w:p>
      <w:pPr>
        <w:spacing w:line="360" w:lineRule="auto" w:after="120"/>
        <w:jc w:val="both"/>
      </w:pPr>
      <w:r>
        <w:rPr>
          <w:rFonts w:ascii="Times New Roman" w:hAnsi="Times New Roman"/>
          <w:sz w:val="24"/>
        </w:rPr>
        <w:t>The risk score determines the operational tier: SAFE ($&lt; 45\%$), NEEDS REVIEW ($45\%-75\%$), or FRAUD ($\ge 75\%$).</w:t>
      </w:r>
    </w:p>
    <w:p>
      <w:pPr>
        <w:keepNext/>
        <w:spacing w:before="200" w:after="80"/>
      </w:pPr>
      <w:r>
        <w:rPr>
          <w:rFonts w:ascii="Times New Roman" w:hAnsi="Times New Roman"/>
          <w:b/>
          <w:sz w:val="24"/>
        </w:rPr>
        <w:t>D. Exact TreeSHAP Feature Attribution</w:t>
      </w:r>
    </w:p>
    <w:p>
      <w:pPr>
        <w:spacing w:line="360" w:lineRule="auto" w:after="120"/>
        <w:jc w:val="both"/>
      </w:pPr>
      <w:r>
        <w:rPr>
          <w:rFonts w:ascii="Times New Roman" w:hAnsi="Times New Roman"/>
          <w:sz w:val="24"/>
        </w:rPr>
        <w:t>For every transaction, the system computes exact Shapley values in polynomial time $\mathcal{O}(T L D^2)$, converting top positive attributions into standardized FCRA Adverse Action reason codes (e.g., RC-BAL-02: Account Liquidation Anomaly).</w:t>
      </w:r>
    </w:p>
    <w:p>
      <w:pPr>
        <w:keepNext/>
        <w:spacing w:before="240" w:after="120"/>
      </w:pPr>
      <w:r>
        <w:rPr>
          <w:rFonts w:ascii="Times New Roman" w:hAnsi="Times New Roman"/>
          <w:b/>
          <w:sz w:val="28"/>
        </w:rPr>
        <w:t>III. Empirical Results &amp; Discussion</w:t>
      </w:r>
    </w:p>
    <w:p>
      <w:pPr>
        <w:spacing w:line="360" w:lineRule="auto" w:after="120"/>
        <w:jc w:val="both"/>
      </w:pPr>
      <w:r>
        <w:rPr>
          <w:rFonts w:ascii="Times New Roman" w:hAnsi="Times New Roman"/>
          <w:sz w:val="24"/>
        </w:rPr>
        <w:t>Evaluations were conducted across test splits of all four benchmark datasets: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1740"/>
        <w:gridCol w:w="1740"/>
        <w:gridCol w:w="1740"/>
        <w:gridCol w:w="1740"/>
        <w:gridCol w:w="1740"/>
        <w:gridCol w:w="1740"/>
      </w:tblGrid>
      <w:tr>
        <w:tc>
          <w:tcPr>
            <w:tcW w:type="dxa" w:w="1740"/>
            <w:shd w:fill="E5E7EB"/>
            <w:tcMar>
              <w:top w:w="120" w:type="dxa"/>
              <w:bottom w:w="120" w:type="dxa"/>
              <w:left w:w="140" w:type="dxa"/>
              <w:right w:w="140" w:type="dxa"/>
            </w:tcMar>
          </w:tcPr>
          <w:p>
            <w:pPr>
              <w:spacing w:line="276" w:lineRule="auto" w:after="40"/>
            </w:pPr>
            <w:r>
              <w:rPr>
                <w:rFonts w:ascii="Times New Roman" w:hAnsi="Times New Roman"/>
                <w:b/>
                <w:sz w:val="21"/>
              </w:rPr>
              <w:t>Dataset Domain</w:t>
            </w:r>
          </w:p>
        </w:tc>
        <w:tc>
          <w:tcPr>
            <w:tcW w:type="dxa" w:w="1740"/>
            <w:shd w:fill="E5E7EB"/>
            <w:tcMar>
              <w:top w:w="120" w:type="dxa"/>
              <w:bottom w:w="120" w:type="dxa"/>
              <w:left w:w="140" w:type="dxa"/>
              <w:right w:w="140" w:type="dxa"/>
            </w:tcMar>
          </w:tcPr>
          <w:p>
            <w:pPr>
              <w:spacing w:line="276" w:lineRule="auto" w:after="40"/>
            </w:pPr>
            <w:r>
              <w:rPr>
                <w:rFonts w:ascii="Times New Roman" w:hAnsi="Times New Roman"/>
                <w:b/>
                <w:sz w:val="21"/>
              </w:rPr>
              <w:t>Precision</w:t>
            </w:r>
          </w:p>
        </w:tc>
        <w:tc>
          <w:tcPr>
            <w:tcW w:type="dxa" w:w="1740"/>
            <w:shd w:fill="E5E7EB"/>
            <w:tcMar>
              <w:top w:w="120" w:type="dxa"/>
              <w:bottom w:w="120" w:type="dxa"/>
              <w:left w:w="140" w:type="dxa"/>
              <w:right w:w="140" w:type="dxa"/>
            </w:tcMar>
          </w:tcPr>
          <w:p>
            <w:pPr>
              <w:spacing w:line="276" w:lineRule="auto" w:after="40"/>
            </w:pPr>
            <w:r>
              <w:rPr>
                <w:rFonts w:ascii="Times New Roman" w:hAnsi="Times New Roman"/>
                <w:b/>
                <w:sz w:val="21"/>
              </w:rPr>
              <w:t>Recall</w:t>
            </w:r>
          </w:p>
        </w:tc>
        <w:tc>
          <w:tcPr>
            <w:tcW w:type="dxa" w:w="1740"/>
            <w:shd w:fill="E5E7EB"/>
            <w:tcMar>
              <w:top w:w="120" w:type="dxa"/>
              <w:bottom w:w="120" w:type="dxa"/>
              <w:left w:w="140" w:type="dxa"/>
              <w:right w:w="140" w:type="dxa"/>
            </w:tcMar>
          </w:tcPr>
          <w:p>
            <w:pPr>
              <w:spacing w:line="276" w:lineRule="auto" w:after="40"/>
            </w:pPr>
            <w:r>
              <w:rPr>
                <w:rFonts w:ascii="Times New Roman" w:hAnsi="Times New Roman"/>
                <w:b/>
                <w:sz w:val="21"/>
              </w:rPr>
              <w:t>F1-Score</w:t>
            </w:r>
          </w:p>
        </w:tc>
        <w:tc>
          <w:tcPr>
            <w:tcW w:type="dxa" w:w="1740"/>
            <w:shd w:fill="E5E7EB"/>
            <w:tcMar>
              <w:top w:w="120" w:type="dxa"/>
              <w:bottom w:w="120" w:type="dxa"/>
              <w:left w:w="140" w:type="dxa"/>
              <w:right w:w="140" w:type="dxa"/>
            </w:tcMar>
          </w:tcPr>
          <w:p>
            <w:pPr>
              <w:spacing w:line="276" w:lineRule="auto" w:after="40"/>
            </w:pPr>
            <w:r>
              <w:rPr>
                <w:rFonts w:ascii="Times New Roman" w:hAnsi="Times New Roman"/>
                <w:b/>
                <w:sz w:val="21"/>
              </w:rPr>
              <w:t>ROC-AUC</w:t>
            </w:r>
          </w:p>
        </w:tc>
        <w:tc>
          <w:tcPr>
            <w:tcW w:type="dxa" w:w="1740"/>
            <w:shd w:fill="E5E7EB"/>
            <w:tcMar>
              <w:top w:w="120" w:type="dxa"/>
              <w:bottom w:w="120" w:type="dxa"/>
              <w:left w:w="140" w:type="dxa"/>
              <w:right w:w="140" w:type="dxa"/>
            </w:tcMar>
          </w:tcPr>
          <w:p>
            <w:pPr>
              <w:spacing w:line="276" w:lineRule="auto" w:after="40"/>
            </w:pPr>
            <w:r>
              <w:rPr>
                <w:rFonts w:ascii="Times New Roman" w:hAnsi="Times New Roman"/>
                <w:b/>
                <w:sz w:val="21"/>
              </w:rPr>
              <w:t>Optimal Threshold</w:t>
            </w:r>
          </w:p>
        </w:tc>
      </w:tr>
      <w:tr>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Credit Card PCA</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94.32%</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84.69%</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89.25%</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0.9845</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0.9684</w:t>
            </w:r>
          </w:p>
        </w:tc>
      </w:tr>
      <w:tr>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Spatial Behavioral</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90.53%</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81.12%</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85.57%</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0.9632</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0.9778</w:t>
            </w:r>
          </w:p>
        </w:tc>
      </w:tr>
      <w:tr>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BankSim Retail</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94.44%</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100.0%</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97.14%</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0.9981</w:t>
            </w:r>
          </w:p>
        </w:tc>
        <w:tc>
          <w:tcPr>
            <w:tcW w:type="dxa" w:w="1740"/>
            <w:shd w:fill="FFFFFF"/>
            <w:tcMar>
              <w:top w:w="100" w:type="dxa"/>
              <w:bottom w:w="100" w:type="dxa"/>
              <w:left w:w="120" w:type="dxa"/>
              <w:right w:w="120" w:type="dxa"/>
            </w:tcMar>
          </w:tcPr>
          <w:p>
            <w:pPr>
              <w:spacing w:line="276" w:lineRule="auto" w:after="40"/>
            </w:pPr>
            <w:r>
              <w:rPr>
                <w:rFonts w:ascii="Times New Roman" w:hAnsi="Times New Roman"/>
                <w:sz w:val="20"/>
              </w:rPr>
              <w:t>0.3293</w:t>
            </w:r>
          </w:p>
        </w:tc>
      </w:tr>
      <w:tr>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PaySim Mobile Money</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100.0%</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99.33%</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99.66%</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0.9998</w:t>
            </w:r>
          </w:p>
        </w:tc>
        <w:tc>
          <w:tcPr>
            <w:tcW w:type="dxa" w:w="1740"/>
            <w:shd w:fill="F9FAFB"/>
            <w:tcMar>
              <w:top w:w="100" w:type="dxa"/>
              <w:bottom w:w="100" w:type="dxa"/>
              <w:left w:w="120" w:type="dxa"/>
              <w:right w:w="120" w:type="dxa"/>
            </w:tcMar>
          </w:tcPr>
          <w:p>
            <w:pPr>
              <w:spacing w:line="276" w:lineRule="auto" w:after="40"/>
            </w:pPr>
            <w:r>
              <w:rPr>
                <w:rFonts w:ascii="Times New Roman" w:hAnsi="Times New Roman"/>
                <w:sz w:val="20"/>
              </w:rPr>
              <w:t>0.8896</w:t>
            </w:r>
          </w:p>
        </w:tc>
      </w:tr>
    </w:tbl>
    <w:p>
      <w:pPr>
        <w:spacing w:after="120"/>
      </w:pPr>
    </w:p>
    <w:p>
      <w:pPr>
        <w:spacing w:line="360" w:lineRule="auto" w:after="120"/>
        <w:jc w:val="both"/>
      </w:pPr>
      <w:r>
        <w:rPr>
          <w:rFonts w:ascii="Times New Roman" w:hAnsi="Times New Roman"/>
          <w:sz w:val="24"/>
        </w:rPr>
        <w:t>5-fold cross-validation confirmed that generalization gaps ($|</w:t>
        <w:tab/>
        <w:t xml:space="preserve">ext{Train F1} - </w:t>
        <w:tab/>
        <w:t>ext{Test F1}|$) remained strictly below $0.40\%$, proving absence of overfitting. Under concurrent load testing, the asynchronous FastAPI backend sustained 560 requests/sec with a median latency of 62ms.</w:t>
      </w:r>
    </w:p>
    <w:p>
      <w:pPr>
        <w:keepNext/>
        <w:spacing w:before="240" w:after="120"/>
      </w:pPr>
      <w:r>
        <w:rPr>
          <w:rFonts w:ascii="Times New Roman" w:hAnsi="Times New Roman"/>
          <w:b/>
          <w:sz w:val="28"/>
        </w:rPr>
        <w:t>IV. Conclusion</w:t>
      </w:r>
    </w:p>
    <w:p>
      <w:pPr>
        <w:spacing w:line="360" w:lineRule="auto" w:after="120"/>
        <w:jc w:val="both"/>
      </w:pPr>
      <w:r>
        <w:rPr>
          <w:rFonts w:ascii="Times New Roman" w:hAnsi="Times New Roman"/>
          <w:sz w:val="24"/>
        </w:rPr>
        <w:t>FraudShield AI demonstrates that combining domain-specialized Stacking Ensembles with dynamic class weighting, continuous risk calibration, and TreeSHAP explainability overcomes the triple challenges of class imbalance, domain shift, and regulatory opacity. Future work will investigate streaming Graph Neural Networks and homomorphic encrypted federated learning.</w:t>
      </w:r>
    </w:p>
    <w:p>
      <w:pPr>
        <w:keepNext/>
        <w:spacing w:before="240" w:after="120"/>
      </w:pPr>
      <w:r>
        <w:rPr>
          <w:rFonts w:ascii="Times New Roman" w:hAnsi="Times New Roman"/>
          <w:b/>
          <w:sz w:val="28"/>
        </w:rPr>
        <w:t>References</w:t>
      </w:r>
    </w:p>
    <w:p>
      <w:pPr>
        <w:spacing w:line="360" w:lineRule="auto" w:after="120"/>
        <w:ind w:left="432"/>
      </w:pPr>
      <w:r>
        <w:rPr>
          <w:rFonts w:ascii="Times New Roman" w:hAnsi="Times New Roman"/>
          <w:sz w:val="24"/>
        </w:rPr>
        <w:t>1. A. Dal Pozzolo et al., "Calibrating probability with undersampling for fraud detection," IEEE CIM, 2015.</w:t>
      </w:r>
    </w:p>
    <w:p>
      <w:pPr>
        <w:spacing w:line="360" w:lineRule="auto" w:after="120"/>
        <w:ind w:left="432"/>
      </w:pPr>
      <w:r>
        <w:rPr>
          <w:rFonts w:ascii="Times New Roman" w:hAnsi="Times New Roman"/>
          <w:sz w:val="24"/>
        </w:rPr>
        <w:t>2. T. Chen and C. Guestrin, "XGBoost: A scalable tree boosting system," in ACM KDD, 2016.</w:t>
      </w:r>
    </w:p>
    <w:p>
      <w:pPr>
        <w:spacing w:line="360" w:lineRule="auto" w:after="120"/>
        <w:ind w:left="432"/>
      </w:pPr>
      <w:r>
        <w:rPr>
          <w:rFonts w:ascii="Times New Roman" w:hAnsi="Times New Roman"/>
          <w:sz w:val="24"/>
        </w:rPr>
        <w:t>3. S. M. Lundberg et al., "From local explanations to global understanding with explainable AI for trees," Nature Machine Intelligence, 2020.</w:t>
      </w:r>
    </w:p>
    <w:p>
      <w:pPr>
        <w:spacing w:line="360" w:lineRule="auto" w:after="120"/>
        <w:ind w:left="432"/>
      </w:pPr>
      <w:r>
        <w:rPr>
          <w:rFonts w:ascii="Times New Roman" w:hAnsi="Times New Roman"/>
          <w:sz w:val="24"/>
        </w:rPr>
        <w:t>4. E. A. Lopez-Rojas et al., "PaySim: A financial mobile money simulator," in EMSS, 2016.</w:t>
      </w:r>
    </w:p>
    <w:p>
      <w:r>
        <w:br w:type="page"/>
      </w:r>
    </w:p>
    <w:p>
      <w:pPr>
        <w:keepNext/>
        <w:spacing w:before="400" w:after="200"/>
      </w:pPr>
      <w:r>
        <w:rPr>
          <w:rFonts w:ascii="Times New Roman" w:hAnsi="Times New Roman"/>
          <w:b/>
          <w:sz w:val="36"/>
        </w:rPr>
        <w:t>Appendix A: Abbreviation and Symbols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single" w:sz="4" w:space="0" w:color="D1D5DB"/>
          <w:right w:val="single" w:sz="4" w:space="0" w:color="D1D5DB"/>
        </w:tblBorders>
      </w:tblPr>
      <w:tblGrid>
        <w:gridCol w:w="5220"/>
        <w:gridCol w:w="5220"/>
      </w:tblGrid>
      <w:tr>
        <w:tc>
          <w:tcPr>
            <w:tcW w:type="dxa" w:w="5220"/>
            <w:shd w:fill="E5E7EB"/>
            <w:tcMar>
              <w:top w:w="120" w:type="dxa"/>
              <w:bottom w:w="120" w:type="dxa"/>
              <w:left w:w="140" w:type="dxa"/>
              <w:right w:w="140" w:type="dxa"/>
            </w:tcMar>
          </w:tcPr>
          <w:p>
            <w:pPr>
              <w:spacing w:line="276" w:lineRule="auto" w:after="40"/>
            </w:pPr>
            <w:r>
              <w:rPr>
                <w:rFonts w:ascii="Times New Roman" w:hAnsi="Times New Roman"/>
                <w:b/>
                <w:sz w:val="21"/>
              </w:rPr>
              <w:t>Abbreviation / Symbol</w:t>
            </w:r>
          </w:p>
        </w:tc>
        <w:tc>
          <w:tcPr>
            <w:tcW w:type="dxa" w:w="5220"/>
            <w:shd w:fill="E5E7EB"/>
            <w:tcMar>
              <w:top w:w="120" w:type="dxa"/>
              <w:bottom w:w="120" w:type="dxa"/>
              <w:left w:w="140" w:type="dxa"/>
              <w:right w:w="140" w:type="dxa"/>
            </w:tcMar>
          </w:tcPr>
          <w:p>
            <w:pPr>
              <w:spacing w:line="276" w:lineRule="auto" w:after="40"/>
            </w:pPr>
            <w:r>
              <w:rPr>
                <w:rFonts w:ascii="Times New Roman" w:hAnsi="Times New Roman"/>
                <w:b/>
                <w:sz w:val="21"/>
              </w:rPr>
              <w:t>Full Meaning / Mathematical Definition</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AI</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Artificial Intelligence</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ML</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Machine Learning</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XAI</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Explainable Artificial Intelligence</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API</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Application Programming Interface</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REST</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Representational State Transfer</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ASGI</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Asynchronous Server Gateway Interface</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SPA</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Single Page Application</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JWT</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JSON Web Token</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RBAC</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Role-Based Access Control</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GDPR</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General Data Protection Regulation (EU 2016/679)</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FCRA</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Fair Credit Reporting Act (15 U.S.C. § 1681)</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ECOA</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Equal Credit Opportunity Act</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FPR</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False Positive Rate ($FP / (FP + TN)$)</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FNR</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False Negative Rate ($FN / (TP + FN)$)</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TPR</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True Positive Rate / Recall ($TP / (TP + FN)$)</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PPV</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Positive Predictive Value / Precision ($TP / (TP + FP)$)</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ROC-AUC</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Receiver Operating Characteristic Area Under Curve</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PR-AUC</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Precision-Recall Area Under Curve</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SMOTE</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Synthetic Minority Over-sampling Technique</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ADASYN</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Adaptive Synthetic Sampling</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IQR</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Interquartile Range ($Q3 - Q1$)</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XGBoost</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Extreme Gradient Boosting</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LightGBM</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Light Gradient Boosting Machine</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GOSS</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Gradient-based One-Side Sampling</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EFB</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Exclusive Feature Bundling</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RF</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Random Forest</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LR</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Logistic Regression</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SHAP</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SHapley Additive exPlanations</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LIME</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Local Interpretable Model-agnostic Explanations</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KS Test</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Two-Sample Kolmogorov-Smirnov Test</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PSI</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Population Stability Index</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FedAvg</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Federated Averaging Algorithm</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PII</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Personally Identifiable Information</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P2P</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Peer-to-Peer Electronic Money Transfers</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CNP</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Card Not Present (Online / E-Commerce Payment)</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POS</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Point of Sale Terminal</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SLA</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Service Level Agreement</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DFD</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Data Flow Diagram</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UML</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Unified Modeling Language</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DFS</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Depth First Search</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HMR</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Hot Module Replacement</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$V1 - V{28}$</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28 Anonymized Principal Components from European Credit Card Dataset</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$\phii$</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Marginal Shapley Additive Attribution Value for Feature $i$</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$\phi0$</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Base Expected Model Value across Reference Distribution</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$w{\text{pos}}$</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Dynamic Positive Class Weighting Parameter (scaleposweight)</w:t>
            </w:r>
          </w:p>
        </w:tc>
      </w:tr>
      <w:tr>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$\theta^$</w:t>
            </w:r>
          </w:p>
        </w:tc>
        <w:tc>
          <w:tcPr>
            <w:tcW w:type="dxa" w:w="5220"/>
            <w:shd w:fill="F9FAFB"/>
            <w:tcMar>
              <w:top w:w="100" w:type="dxa"/>
              <w:bottom w:w="100" w:type="dxa"/>
              <w:left w:w="120" w:type="dxa"/>
              <w:right w:w="120" w:type="dxa"/>
            </w:tcMar>
          </w:tcPr>
          <w:p>
            <w:pPr>
              <w:spacing w:line="276" w:lineRule="auto" w:after="40"/>
            </w:pPr>
            <w:r>
              <w:rPr>
                <w:rFonts w:ascii="Times New Roman" w:hAnsi="Times New Roman"/>
                <w:sz w:val="20"/>
              </w:rPr>
              <w:t>Calibrated Optimal Bayes Decision Threshold</w:t>
            </w:r>
          </w:p>
        </w:tc>
      </w:tr>
      <w:tr>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$\Delta{\text{gen}}$</w:t>
            </w:r>
          </w:p>
        </w:tc>
        <w:tc>
          <w:tcPr>
            <w:tcW w:type="dxa" w:w="5220"/>
            <w:shd w:fill="FFFFFF"/>
            <w:tcMar>
              <w:top w:w="100" w:type="dxa"/>
              <w:bottom w:w="100" w:type="dxa"/>
              <w:left w:w="120" w:type="dxa"/>
              <w:right w:w="120" w:type="dxa"/>
            </w:tcMar>
          </w:tcPr>
          <w:p>
            <w:pPr>
              <w:spacing w:line="276" w:lineRule="auto" w:after="40"/>
            </w:pPr>
            <w:r>
              <w:rPr>
                <w:rFonts w:ascii="Times New Roman" w:hAnsi="Times New Roman"/>
                <w:sz w:val="20"/>
              </w:rPr>
              <w:t>Cross-Validation Generalization Gap ($</w:t>
            </w:r>
          </w:p>
        </w:tc>
      </w:tr>
    </w:tbl>
    <w:p>
      <w:pPr>
        <w:spacing w:after="120"/>
      </w:pPr>
    </w:p>
    <w:p>
      <w:r>
        <w:br w:type="page"/>
      </w:r>
    </w:p>
    <w:p>
      <w:pPr>
        <w:keepNext/>
        <w:spacing w:before="400" w:after="200"/>
      </w:pPr>
      <w:r>
        <w:rPr>
          <w:rFonts w:ascii="Times New Roman" w:hAnsi="Times New Roman"/>
          <w:b/>
          <w:sz w:val="36"/>
        </w:rPr>
        <w:t>Appendix B: Definitions</w:t>
      </w:r>
    </w:p>
    <w:p>
      <w:pPr>
        <w:spacing w:line="360" w:lineRule="auto" w:after="120"/>
        <w:ind w:left="432"/>
      </w:pPr>
      <w:r>
        <w:rPr>
          <w:rFonts w:ascii="Times New Roman" w:hAnsi="Times New Roman"/>
          <w:sz w:val="24"/>
        </w:rPr>
        <w:t>1. Class Imbalance: A dataset distribution property where instances of one class (genuine transactions) severely outnumber instances of another class (fraudulent transactions), frequently exceeding ratios of $500:1$.</w:t>
      </w:r>
    </w:p>
    <w:p>
      <w:pPr>
        <w:spacing w:line="360" w:lineRule="auto" w:after="120"/>
        <w:ind w:left="432"/>
      </w:pPr>
      <w:r>
        <w:rPr>
          <w:rFonts w:ascii="Times New Roman" w:hAnsi="Times New Roman"/>
          <w:sz w:val="24"/>
        </w:rPr>
        <w:t>2. Concept Drift: The statistical phenomenon whereby the underlying joint probability distribution $P(\mathbf{x}, y)$ of input features and target labels shifts over time due to macroeconomic changes or evolving adversary evasion tactics.</w:t>
      </w:r>
    </w:p>
    <w:p>
      <w:pPr>
        <w:spacing w:line="360" w:lineRule="auto" w:after="120"/>
        <w:ind w:left="432"/>
      </w:pPr>
      <w:r>
        <w:rPr>
          <w:rFonts w:ascii="Times New Roman" w:hAnsi="Times New Roman"/>
          <w:sz w:val="24"/>
        </w:rPr>
        <w:t>3. Stacking Ensemble (Stacked Generalization): A meta-learning ensemble paradigm where out-of-fold probabilistic predictions from diverse Level-0 base models serve as inputs to train a Level-1 meta-learner to optimize the final decision boundary.</w:t>
      </w:r>
    </w:p>
    <w:p>
      <w:pPr>
        <w:spacing w:line="360" w:lineRule="auto" w:after="120"/>
        <w:ind w:left="432"/>
      </w:pPr>
      <w:r>
        <w:rPr>
          <w:rFonts w:ascii="Times New Roman" w:hAnsi="Times New Roman"/>
          <w:sz w:val="24"/>
        </w:rPr>
        <w:t>4. TreeSHAP: A computationally optimized algorithm calculating exact Shapley additive feature attributions for decision tree ensembles in polynomial time $\mathcal{O}(T L D^2)$, satisfying local accuracy, missingness, and consistency.</w:t>
      </w:r>
    </w:p>
    <w:p>
      <w:pPr>
        <w:spacing w:line="360" w:lineRule="auto" w:after="120"/>
        <w:ind w:left="432"/>
      </w:pPr>
      <w:r>
        <w:rPr>
          <w:rFonts w:ascii="Times New Roman" w:hAnsi="Times New Roman"/>
          <w:sz w:val="24"/>
        </w:rPr>
        <w:t>5. FCRA Adverse Action Reason Code: A standardized alphanumeric disclosure identifier mandated by the U.S. Fair Credit Reporting Act informing a consumer of the primary factor contributing to an unfavorable credit or payment decision.</w:t>
      </w:r>
    </w:p>
    <w:p>
      <w:pPr>
        <w:spacing w:line="360" w:lineRule="auto" w:after="120"/>
        <w:ind w:left="432"/>
      </w:pPr>
      <w:r>
        <w:rPr>
          <w:rFonts w:ascii="Times New Roman" w:hAnsi="Times New Roman"/>
          <w:sz w:val="24"/>
        </w:rPr>
        <w:t>6. OmniSMOTE: An advanced boundary-calibrated synthetic oversampling technique that synthesizes minority instances exclusively along manifold regions that do not invade the convex hull of legitimate transactions.</w:t>
      </w:r>
    </w:p>
    <w:p>
      <w:pPr>
        <w:spacing w:line="360" w:lineRule="auto" w:after="120"/>
        <w:ind w:left="432"/>
      </w:pPr>
      <w:r>
        <w:rPr>
          <w:rFonts w:ascii="Times New Roman" w:hAnsi="Times New Roman"/>
          <w:sz w:val="24"/>
        </w:rPr>
        <w:t>7. Population Stability Index (PSI): A binned statistical metric measuring the degree of divergence between a reference baseline feature distribution and a live operational stream distribution.</w:t>
      </w:r>
    </w:p>
    <w:p>
      <w:pPr>
        <w:spacing w:line="360" w:lineRule="auto" w:after="120"/>
        <w:ind w:left="432"/>
      </w:pPr>
      <w:r>
        <w:rPr>
          <w:rFonts w:ascii="Times New Roman" w:hAnsi="Times New Roman"/>
          <w:sz w:val="24"/>
        </w:rPr>
        <w:t>8. Kolmogorov-Smirnov (KS) Test: A non-parametric two-sample hypothesis test comparing continuous empirical cumulative distribution functions to determine whether incoming streaming data originates from the reference distribution.</w:t>
      </w:r>
    </w:p>
    <w:p>
      <w:pPr>
        <w:spacing w:line="360" w:lineRule="auto" w:after="120"/>
        <w:ind w:left="432"/>
      </w:pPr>
      <w:r>
        <w:rPr>
          <w:rFonts w:ascii="Times New Roman" w:hAnsi="Times New Roman"/>
          <w:sz w:val="24"/>
        </w:rPr>
        <w:t>9. Federated Averaging (FedAvg): A distributed iterative optimization algorithm wherein decentralized client nodes perform local training on internal data and transmit parameter weights to a central server for weighted aggregation without sharing raw data.</w:t>
      </w:r>
    </w:p>
    <w:p>
      <w:pPr>
        <w:spacing w:line="360" w:lineRule="auto" w:after="120"/>
        <w:ind w:left="432"/>
      </w:pPr>
      <w:r>
        <w:rPr>
          <w:rFonts w:ascii="Times New Roman" w:hAnsi="Times New Roman"/>
          <w:sz w:val="24"/>
        </w:rPr>
        <w:t>10. Money Mule Ring: A coordinated criminal network topology where multiple individuals receive illicit transfers into intermediary accounts and rapidly transfer the funds onward through circular or structuring paths to obfuscate origin.</w:t>
      </w:r>
    </w:p>
    <w:p>
      <w:pPr>
        <w:spacing w:line="360" w:lineRule="auto" w:after="120"/>
        <w:ind w:left="432"/>
      </w:pPr>
      <w:r>
        <w:rPr>
          <w:rFonts w:ascii="Times New Roman" w:hAnsi="Times New Roman"/>
          <w:sz w:val="24"/>
        </w:rPr>
        <w:t>11. Haversine Geodesic Distance: The great-circle distance between two points on the surface of a sphere given their longitudes and latitudes, used to quantify physical distance discrepancies in payment transactions.</w:t>
      </w:r>
    </w:p>
    <w:p>
      <w:pPr>
        <w:spacing w:line="360" w:lineRule="auto" w:after="120"/>
        <w:ind w:left="432"/>
      </w:pPr>
      <w:r>
        <w:rPr>
          <w:rFonts w:ascii="Times New Roman" w:hAnsi="Times New Roman"/>
          <w:sz w:val="24"/>
        </w:rPr>
        <w:t>12. Sliding-Window Rate Limiting: An API security mechanism that tracks client request frequencies within a moving temporal window, dynamically rejecting flood bursts that exceed provisioned thresholds.</w:t>
      </w:r>
    </w:p>
    <w:p>
      <w:r>
        <w:br w:type="page"/>
      </w:r>
    </w:p>
    <w:p>
      <w:pPr>
        <w:keepNext/>
        <w:spacing w:before="400" w:after="200"/>
      </w:pPr>
      <w:r>
        <w:rPr>
          <w:rFonts w:ascii="Times New Roman" w:hAnsi="Times New Roman"/>
          <w:b/>
          <w:sz w:val="36"/>
        </w:rPr>
        <w:t>Appendix C: List of Publications</w:t>
      </w:r>
    </w:p>
    <w:p>
      <w:pPr>
        <w:keepNext/>
        <w:spacing w:before="240" w:after="120"/>
      </w:pPr>
      <w:r>
        <w:rPr>
          <w:rFonts w:ascii="Times New Roman" w:hAnsi="Times New Roman"/>
          <w:b/>
          <w:sz w:val="28"/>
        </w:rPr>
        <w:t>Academic Publications (IEEE Format):</w:t>
      </w:r>
    </w:p>
    <w:p>
      <w:pPr>
        <w:spacing w:line="360" w:lineRule="auto" w:after="120"/>
        <w:ind w:left="432"/>
      </w:pPr>
      <w:r>
        <w:rPr>
          <w:rFonts w:ascii="Times New Roman" w:hAnsi="Times New Roman"/>
          <w:sz w:val="24"/>
        </w:rPr>
        <w:t>1. A. Singh, S. Singh, S. Singh, and T. Nagale, "FraudShield AI: Multi-Domain Financial Fraud Detection via Stacking Ensembles, Calibrated Risk Scoring, and TreeSHAP Explainability," in Proceedings of the International Conference on Advances in Computing, Communication and Control (ICAC3 2026), Mumbai, India, Dec. 2026. (Under Review / Accepted for Oral Presentation).</w:t>
      </w:r>
    </w:p>
    <w:p>
      <w:pPr>
        <w:spacing w:line="360" w:lineRule="auto" w:after="120"/>
        <w:ind w:left="432"/>
      </w:pPr>
      <w:r>
        <w:rPr>
          <w:rFonts w:ascii="Times New Roman" w:hAnsi="Times New Roman"/>
          <w:sz w:val="24"/>
        </w:rPr>
        <w:t>2. A. Singh, S. Singh, and T. Nagale, "Explainable AI in Algorithmic Credit Decisioning: Bridging the Gap Between Gradient Boosted Trees and FCRA Regulatory Compliance," International Journal of Computer Applications (IJCA), vol. 188, no. 14, pp. 22–29, Oct. 2026.</w:t>
      </w:r>
    </w:p>
    <w:p>
      <w:pPr>
        <w:spacing w:line="360" w:lineRule="auto" w:after="120"/>
        <w:jc w:val="both"/>
      </w:pPr>
      <w:r>
        <w:rPr>
          <w:rFonts w:ascii="Times New Roman" w:hAnsi="Times New Roman"/>
          <w:sz w:val="24"/>
        </w:rPr>
        <w:t>End of Project Report (Part I) — FraudShield AI</w:t>
      </w:r>
    </w:p>
    <w:sectPr w:rsidR="00186547">
      <w:pgSz w:w="12240" w:h="15840"/>
      <w:pgMar w:top="1360" w:right="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30862"/>
    <w:multiLevelType w:val="hybridMultilevel"/>
    <w:tmpl w:val="B46C1A84"/>
    <w:lvl w:ilvl="0" w:tplc="7A30EEAA">
      <w:numFmt w:val="bullet"/>
      <w:lvlText w:val=""/>
      <w:lvlJc w:val="left"/>
      <w:pPr>
        <w:ind w:left="933" w:hanging="361"/>
      </w:pPr>
      <w:rPr>
        <w:rFonts w:ascii="Symbol" w:eastAsia="Symbol" w:hAnsi="Symbol" w:cs="Symbol" w:hint="default"/>
        <w:b w:val="0"/>
        <w:bCs w:val="0"/>
        <w:i w:val="0"/>
        <w:iCs w:val="0"/>
        <w:spacing w:val="0"/>
        <w:w w:val="100"/>
        <w:sz w:val="24"/>
        <w:szCs w:val="24"/>
        <w:lang w:val="en-US" w:eastAsia="en-US" w:bidi="ar-SA"/>
      </w:rPr>
    </w:lvl>
    <w:lvl w:ilvl="1" w:tplc="768C545A">
      <w:numFmt w:val="bullet"/>
      <w:lvlText w:val="•"/>
      <w:lvlJc w:val="left"/>
      <w:pPr>
        <w:ind w:left="1618" w:hanging="361"/>
      </w:pPr>
      <w:rPr>
        <w:rFonts w:hint="default"/>
        <w:lang w:val="en-US" w:eastAsia="en-US" w:bidi="ar-SA"/>
      </w:rPr>
    </w:lvl>
    <w:lvl w:ilvl="2" w:tplc="8166B3EE">
      <w:numFmt w:val="bullet"/>
      <w:lvlText w:val="•"/>
      <w:lvlJc w:val="left"/>
      <w:pPr>
        <w:ind w:left="2296" w:hanging="361"/>
      </w:pPr>
      <w:rPr>
        <w:rFonts w:hint="default"/>
        <w:lang w:val="en-US" w:eastAsia="en-US" w:bidi="ar-SA"/>
      </w:rPr>
    </w:lvl>
    <w:lvl w:ilvl="3" w:tplc="463AAF60">
      <w:numFmt w:val="bullet"/>
      <w:lvlText w:val="•"/>
      <w:lvlJc w:val="left"/>
      <w:pPr>
        <w:ind w:left="2974" w:hanging="361"/>
      </w:pPr>
      <w:rPr>
        <w:rFonts w:hint="default"/>
        <w:lang w:val="en-US" w:eastAsia="en-US" w:bidi="ar-SA"/>
      </w:rPr>
    </w:lvl>
    <w:lvl w:ilvl="4" w:tplc="A4AC07F0">
      <w:numFmt w:val="bullet"/>
      <w:lvlText w:val="•"/>
      <w:lvlJc w:val="left"/>
      <w:pPr>
        <w:ind w:left="3653" w:hanging="361"/>
      </w:pPr>
      <w:rPr>
        <w:rFonts w:hint="default"/>
        <w:lang w:val="en-US" w:eastAsia="en-US" w:bidi="ar-SA"/>
      </w:rPr>
    </w:lvl>
    <w:lvl w:ilvl="5" w:tplc="EA402C0E">
      <w:numFmt w:val="bullet"/>
      <w:lvlText w:val="•"/>
      <w:lvlJc w:val="left"/>
      <w:pPr>
        <w:ind w:left="4331" w:hanging="361"/>
      </w:pPr>
      <w:rPr>
        <w:rFonts w:hint="default"/>
        <w:lang w:val="en-US" w:eastAsia="en-US" w:bidi="ar-SA"/>
      </w:rPr>
    </w:lvl>
    <w:lvl w:ilvl="6" w:tplc="A45AB5CA">
      <w:numFmt w:val="bullet"/>
      <w:lvlText w:val="•"/>
      <w:lvlJc w:val="left"/>
      <w:pPr>
        <w:ind w:left="5009" w:hanging="361"/>
      </w:pPr>
      <w:rPr>
        <w:rFonts w:hint="default"/>
        <w:lang w:val="en-US" w:eastAsia="en-US" w:bidi="ar-SA"/>
      </w:rPr>
    </w:lvl>
    <w:lvl w:ilvl="7" w:tplc="A2A041D2">
      <w:numFmt w:val="bullet"/>
      <w:lvlText w:val="•"/>
      <w:lvlJc w:val="left"/>
      <w:pPr>
        <w:ind w:left="5688" w:hanging="361"/>
      </w:pPr>
      <w:rPr>
        <w:rFonts w:hint="default"/>
        <w:lang w:val="en-US" w:eastAsia="en-US" w:bidi="ar-SA"/>
      </w:rPr>
    </w:lvl>
    <w:lvl w:ilvl="8" w:tplc="6DDE62BC">
      <w:numFmt w:val="bullet"/>
      <w:lvlText w:val="•"/>
      <w:lvlJc w:val="left"/>
      <w:pPr>
        <w:ind w:left="6366" w:hanging="361"/>
      </w:pPr>
      <w:rPr>
        <w:rFonts w:hint="default"/>
        <w:lang w:val="en-US" w:eastAsia="en-US" w:bidi="ar-SA"/>
      </w:rPr>
    </w:lvl>
  </w:abstractNum>
  <w:abstractNum w:abstractNumId="1" w15:restartNumberingAfterBreak="0">
    <w:nsid w:val="4F06553F"/>
    <w:multiLevelType w:val="multilevel"/>
    <w:tmpl w:val="59C09F82"/>
    <w:lvl w:ilvl="0">
      <w:start w:val="1"/>
      <w:numFmt w:val="decimal"/>
      <w:lvlText w:val="%1"/>
      <w:lvlJc w:val="left"/>
      <w:pPr>
        <w:ind w:left="2383" w:hanging="480"/>
      </w:pPr>
      <w:rPr>
        <w:rFonts w:hint="default"/>
        <w:lang w:val="en-US" w:eastAsia="en-US" w:bidi="ar-SA"/>
      </w:rPr>
    </w:lvl>
    <w:lvl w:ilvl="1">
      <w:start w:val="1"/>
      <w:numFmt w:val="decimal"/>
      <w:lvlText w:val="%1.%2"/>
      <w:lvlJc w:val="left"/>
      <w:pPr>
        <w:ind w:left="2383" w:hanging="480"/>
      </w:pPr>
      <w:rPr>
        <w:rFonts w:ascii="Times New Roman" w:eastAsia="Times New Roman" w:hAnsi="Times New Roman" w:cs="Times New Roman" w:hint="default"/>
        <w:b/>
        <w:bCs/>
        <w:i w:val="0"/>
        <w:iCs w:val="0"/>
        <w:spacing w:val="0"/>
        <w:w w:val="98"/>
        <w:sz w:val="32"/>
        <w:szCs w:val="32"/>
        <w:lang w:val="en-US" w:eastAsia="en-US" w:bidi="ar-SA"/>
      </w:rPr>
    </w:lvl>
    <w:lvl w:ilvl="2">
      <w:start w:val="1"/>
      <w:numFmt w:val="decimal"/>
      <w:lvlText w:val="%1.%2.%3"/>
      <w:lvlJc w:val="left"/>
      <w:pPr>
        <w:ind w:left="2534" w:hanging="634"/>
      </w:pPr>
      <w:rPr>
        <w:rFonts w:ascii="Times New Roman" w:eastAsia="Times New Roman" w:hAnsi="Times New Roman" w:cs="Times New Roman" w:hint="default"/>
        <w:b/>
        <w:bCs/>
        <w:i w:val="0"/>
        <w:iCs w:val="0"/>
        <w:spacing w:val="-6"/>
        <w:w w:val="100"/>
        <w:sz w:val="28"/>
        <w:szCs w:val="28"/>
        <w:lang w:val="en-US" w:eastAsia="en-US" w:bidi="ar-SA"/>
      </w:rPr>
    </w:lvl>
    <w:lvl w:ilvl="3">
      <w:start w:val="1"/>
      <w:numFmt w:val="decimal"/>
      <w:lvlText w:val="%4."/>
      <w:lvlJc w:val="left"/>
      <w:pPr>
        <w:ind w:left="2566" w:hanging="406"/>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4890" w:hanging="406"/>
      </w:pPr>
      <w:rPr>
        <w:rFonts w:hint="default"/>
        <w:lang w:val="en-US" w:eastAsia="en-US" w:bidi="ar-SA"/>
      </w:rPr>
    </w:lvl>
    <w:lvl w:ilvl="5">
      <w:numFmt w:val="bullet"/>
      <w:lvlText w:val="•"/>
      <w:lvlJc w:val="left"/>
      <w:pPr>
        <w:ind w:left="6055" w:hanging="406"/>
      </w:pPr>
      <w:rPr>
        <w:rFonts w:hint="default"/>
        <w:lang w:val="en-US" w:eastAsia="en-US" w:bidi="ar-SA"/>
      </w:rPr>
    </w:lvl>
    <w:lvl w:ilvl="6">
      <w:numFmt w:val="bullet"/>
      <w:lvlText w:val="•"/>
      <w:lvlJc w:val="left"/>
      <w:pPr>
        <w:ind w:left="7220" w:hanging="406"/>
      </w:pPr>
      <w:rPr>
        <w:rFonts w:hint="default"/>
        <w:lang w:val="en-US" w:eastAsia="en-US" w:bidi="ar-SA"/>
      </w:rPr>
    </w:lvl>
    <w:lvl w:ilvl="7">
      <w:numFmt w:val="bullet"/>
      <w:lvlText w:val="•"/>
      <w:lvlJc w:val="left"/>
      <w:pPr>
        <w:ind w:left="8385" w:hanging="406"/>
      </w:pPr>
      <w:rPr>
        <w:rFonts w:hint="default"/>
        <w:lang w:val="en-US" w:eastAsia="en-US" w:bidi="ar-SA"/>
      </w:rPr>
    </w:lvl>
    <w:lvl w:ilvl="8">
      <w:numFmt w:val="bullet"/>
      <w:lvlText w:val="•"/>
      <w:lvlJc w:val="left"/>
      <w:pPr>
        <w:ind w:left="9550" w:hanging="406"/>
      </w:pPr>
      <w:rPr>
        <w:rFonts w:hint="default"/>
        <w:lang w:val="en-US" w:eastAsia="en-US" w:bidi="ar-SA"/>
      </w:rPr>
    </w:lvl>
  </w:abstractNum>
  <w:abstractNum w:abstractNumId="2" w15:restartNumberingAfterBreak="0">
    <w:nsid w:val="563D21D8"/>
    <w:multiLevelType w:val="hybridMultilevel"/>
    <w:tmpl w:val="19B208F8"/>
    <w:lvl w:ilvl="0" w:tplc="4CEC5F00">
      <w:start w:val="1"/>
      <w:numFmt w:val="decimal"/>
      <w:lvlText w:val="%1."/>
      <w:lvlJc w:val="left"/>
      <w:pPr>
        <w:ind w:left="25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EC6AA3E">
      <w:numFmt w:val="bullet"/>
      <w:lvlText w:val="•"/>
      <w:lvlJc w:val="left"/>
      <w:pPr>
        <w:ind w:left="3456" w:hanging="360"/>
      </w:pPr>
      <w:rPr>
        <w:rFonts w:hint="default"/>
        <w:lang w:val="en-US" w:eastAsia="en-US" w:bidi="ar-SA"/>
      </w:rPr>
    </w:lvl>
    <w:lvl w:ilvl="2" w:tplc="A6661790">
      <w:numFmt w:val="bullet"/>
      <w:lvlText w:val="•"/>
      <w:lvlJc w:val="left"/>
      <w:pPr>
        <w:ind w:left="4392" w:hanging="360"/>
      </w:pPr>
      <w:rPr>
        <w:rFonts w:hint="default"/>
        <w:lang w:val="en-US" w:eastAsia="en-US" w:bidi="ar-SA"/>
      </w:rPr>
    </w:lvl>
    <w:lvl w:ilvl="3" w:tplc="7258136A">
      <w:numFmt w:val="bullet"/>
      <w:lvlText w:val="•"/>
      <w:lvlJc w:val="left"/>
      <w:pPr>
        <w:ind w:left="5328" w:hanging="360"/>
      </w:pPr>
      <w:rPr>
        <w:rFonts w:hint="default"/>
        <w:lang w:val="en-US" w:eastAsia="en-US" w:bidi="ar-SA"/>
      </w:rPr>
    </w:lvl>
    <w:lvl w:ilvl="4" w:tplc="370050B8">
      <w:numFmt w:val="bullet"/>
      <w:lvlText w:val="•"/>
      <w:lvlJc w:val="left"/>
      <w:pPr>
        <w:ind w:left="6264" w:hanging="360"/>
      </w:pPr>
      <w:rPr>
        <w:rFonts w:hint="default"/>
        <w:lang w:val="en-US" w:eastAsia="en-US" w:bidi="ar-SA"/>
      </w:rPr>
    </w:lvl>
    <w:lvl w:ilvl="5" w:tplc="19C057F6">
      <w:numFmt w:val="bullet"/>
      <w:lvlText w:val="•"/>
      <w:lvlJc w:val="left"/>
      <w:pPr>
        <w:ind w:left="7200" w:hanging="360"/>
      </w:pPr>
      <w:rPr>
        <w:rFonts w:hint="default"/>
        <w:lang w:val="en-US" w:eastAsia="en-US" w:bidi="ar-SA"/>
      </w:rPr>
    </w:lvl>
    <w:lvl w:ilvl="6" w:tplc="F2206EA2">
      <w:numFmt w:val="bullet"/>
      <w:lvlText w:val="•"/>
      <w:lvlJc w:val="left"/>
      <w:pPr>
        <w:ind w:left="8136" w:hanging="360"/>
      </w:pPr>
      <w:rPr>
        <w:rFonts w:hint="default"/>
        <w:lang w:val="en-US" w:eastAsia="en-US" w:bidi="ar-SA"/>
      </w:rPr>
    </w:lvl>
    <w:lvl w:ilvl="7" w:tplc="D6921F82">
      <w:numFmt w:val="bullet"/>
      <w:lvlText w:val="•"/>
      <w:lvlJc w:val="left"/>
      <w:pPr>
        <w:ind w:left="9072" w:hanging="360"/>
      </w:pPr>
      <w:rPr>
        <w:rFonts w:hint="default"/>
        <w:lang w:val="en-US" w:eastAsia="en-US" w:bidi="ar-SA"/>
      </w:rPr>
    </w:lvl>
    <w:lvl w:ilvl="8" w:tplc="0952EC88">
      <w:numFmt w:val="bullet"/>
      <w:lvlText w:val="•"/>
      <w:lvlJc w:val="left"/>
      <w:pPr>
        <w:ind w:left="10008" w:hanging="360"/>
      </w:pPr>
      <w:rPr>
        <w:rFonts w:hint="default"/>
        <w:lang w:val="en-US" w:eastAsia="en-US" w:bidi="ar-SA"/>
      </w:rPr>
    </w:lvl>
  </w:abstractNum>
  <w:abstractNum w:abstractNumId="3" w15:restartNumberingAfterBreak="0">
    <w:nsid w:val="5AA24C89"/>
    <w:multiLevelType w:val="hybridMultilevel"/>
    <w:tmpl w:val="DA2C63E8"/>
    <w:lvl w:ilvl="0" w:tplc="1BDE78F2">
      <w:numFmt w:val="bullet"/>
      <w:lvlText w:val=""/>
      <w:lvlJc w:val="left"/>
      <w:pPr>
        <w:ind w:left="933" w:hanging="361"/>
      </w:pPr>
      <w:rPr>
        <w:rFonts w:ascii="Symbol" w:eastAsia="Symbol" w:hAnsi="Symbol" w:cs="Symbol" w:hint="default"/>
        <w:b w:val="0"/>
        <w:bCs w:val="0"/>
        <w:i w:val="0"/>
        <w:iCs w:val="0"/>
        <w:spacing w:val="0"/>
        <w:w w:val="100"/>
        <w:sz w:val="24"/>
        <w:szCs w:val="24"/>
        <w:lang w:val="en-US" w:eastAsia="en-US" w:bidi="ar-SA"/>
      </w:rPr>
    </w:lvl>
    <w:lvl w:ilvl="1" w:tplc="658651D2">
      <w:numFmt w:val="bullet"/>
      <w:lvlText w:val="•"/>
      <w:lvlJc w:val="left"/>
      <w:pPr>
        <w:ind w:left="1618" w:hanging="361"/>
      </w:pPr>
      <w:rPr>
        <w:rFonts w:hint="default"/>
        <w:lang w:val="en-US" w:eastAsia="en-US" w:bidi="ar-SA"/>
      </w:rPr>
    </w:lvl>
    <w:lvl w:ilvl="2" w:tplc="55F4E3E2">
      <w:numFmt w:val="bullet"/>
      <w:lvlText w:val="•"/>
      <w:lvlJc w:val="left"/>
      <w:pPr>
        <w:ind w:left="2296" w:hanging="361"/>
      </w:pPr>
      <w:rPr>
        <w:rFonts w:hint="default"/>
        <w:lang w:val="en-US" w:eastAsia="en-US" w:bidi="ar-SA"/>
      </w:rPr>
    </w:lvl>
    <w:lvl w:ilvl="3" w:tplc="E72E7592">
      <w:numFmt w:val="bullet"/>
      <w:lvlText w:val="•"/>
      <w:lvlJc w:val="left"/>
      <w:pPr>
        <w:ind w:left="2974" w:hanging="361"/>
      </w:pPr>
      <w:rPr>
        <w:rFonts w:hint="default"/>
        <w:lang w:val="en-US" w:eastAsia="en-US" w:bidi="ar-SA"/>
      </w:rPr>
    </w:lvl>
    <w:lvl w:ilvl="4" w:tplc="CE506B78">
      <w:numFmt w:val="bullet"/>
      <w:lvlText w:val="•"/>
      <w:lvlJc w:val="left"/>
      <w:pPr>
        <w:ind w:left="3653" w:hanging="361"/>
      </w:pPr>
      <w:rPr>
        <w:rFonts w:hint="default"/>
        <w:lang w:val="en-US" w:eastAsia="en-US" w:bidi="ar-SA"/>
      </w:rPr>
    </w:lvl>
    <w:lvl w:ilvl="5" w:tplc="6512DDF6">
      <w:numFmt w:val="bullet"/>
      <w:lvlText w:val="•"/>
      <w:lvlJc w:val="left"/>
      <w:pPr>
        <w:ind w:left="4331" w:hanging="361"/>
      </w:pPr>
      <w:rPr>
        <w:rFonts w:hint="default"/>
        <w:lang w:val="en-US" w:eastAsia="en-US" w:bidi="ar-SA"/>
      </w:rPr>
    </w:lvl>
    <w:lvl w:ilvl="6" w:tplc="E89432A6">
      <w:numFmt w:val="bullet"/>
      <w:lvlText w:val="•"/>
      <w:lvlJc w:val="left"/>
      <w:pPr>
        <w:ind w:left="5009" w:hanging="361"/>
      </w:pPr>
      <w:rPr>
        <w:rFonts w:hint="default"/>
        <w:lang w:val="en-US" w:eastAsia="en-US" w:bidi="ar-SA"/>
      </w:rPr>
    </w:lvl>
    <w:lvl w:ilvl="7" w:tplc="802A527E">
      <w:numFmt w:val="bullet"/>
      <w:lvlText w:val="•"/>
      <w:lvlJc w:val="left"/>
      <w:pPr>
        <w:ind w:left="5688" w:hanging="361"/>
      </w:pPr>
      <w:rPr>
        <w:rFonts w:hint="default"/>
        <w:lang w:val="en-US" w:eastAsia="en-US" w:bidi="ar-SA"/>
      </w:rPr>
    </w:lvl>
    <w:lvl w:ilvl="8" w:tplc="3D28A846">
      <w:numFmt w:val="bullet"/>
      <w:lvlText w:val="•"/>
      <w:lvlJc w:val="left"/>
      <w:pPr>
        <w:ind w:left="6366" w:hanging="361"/>
      </w:pPr>
      <w:rPr>
        <w:rFonts w:hint="default"/>
        <w:lang w:val="en-US" w:eastAsia="en-US" w:bidi="ar-SA"/>
      </w:rPr>
    </w:lvl>
  </w:abstractNum>
  <w:abstractNum w:abstractNumId="4" w15:restartNumberingAfterBreak="0">
    <w:nsid w:val="793828E3"/>
    <w:multiLevelType w:val="hybridMultilevel"/>
    <w:tmpl w:val="9C420F04"/>
    <w:lvl w:ilvl="0" w:tplc="8FE84230">
      <w:numFmt w:val="bullet"/>
      <w:lvlText w:val=""/>
      <w:lvlJc w:val="left"/>
      <w:pPr>
        <w:ind w:left="3793" w:hanging="361"/>
      </w:pPr>
      <w:rPr>
        <w:rFonts w:ascii="Symbol" w:eastAsia="Symbol" w:hAnsi="Symbol" w:cs="Symbol" w:hint="default"/>
        <w:b w:val="0"/>
        <w:bCs w:val="0"/>
        <w:i w:val="0"/>
        <w:iCs w:val="0"/>
        <w:spacing w:val="0"/>
        <w:w w:val="100"/>
        <w:sz w:val="24"/>
        <w:szCs w:val="24"/>
        <w:lang w:val="en-US" w:eastAsia="en-US" w:bidi="ar-SA"/>
      </w:rPr>
    </w:lvl>
    <w:lvl w:ilvl="1" w:tplc="A4B2DA54">
      <w:numFmt w:val="bullet"/>
      <w:lvlText w:val=""/>
      <w:lvlJc w:val="left"/>
      <w:pPr>
        <w:ind w:left="3961" w:hanging="360"/>
      </w:pPr>
      <w:rPr>
        <w:rFonts w:ascii="Symbol" w:eastAsia="Symbol" w:hAnsi="Symbol" w:cs="Symbol" w:hint="default"/>
        <w:spacing w:val="0"/>
        <w:w w:val="100"/>
        <w:lang w:val="en-US" w:eastAsia="en-US" w:bidi="ar-SA"/>
      </w:rPr>
    </w:lvl>
    <w:lvl w:ilvl="2" w:tplc="825C94CE">
      <w:numFmt w:val="bullet"/>
      <w:lvlText w:val="•"/>
      <w:lvlJc w:val="left"/>
      <w:pPr>
        <w:ind w:left="4840" w:hanging="360"/>
      </w:pPr>
      <w:rPr>
        <w:rFonts w:hint="default"/>
        <w:lang w:val="en-US" w:eastAsia="en-US" w:bidi="ar-SA"/>
      </w:rPr>
    </w:lvl>
    <w:lvl w:ilvl="3" w:tplc="1A3268AA">
      <w:numFmt w:val="bullet"/>
      <w:lvlText w:val="•"/>
      <w:lvlJc w:val="left"/>
      <w:pPr>
        <w:ind w:left="5720" w:hanging="360"/>
      </w:pPr>
      <w:rPr>
        <w:rFonts w:hint="default"/>
        <w:lang w:val="en-US" w:eastAsia="en-US" w:bidi="ar-SA"/>
      </w:rPr>
    </w:lvl>
    <w:lvl w:ilvl="4" w:tplc="B1CC67B2">
      <w:numFmt w:val="bullet"/>
      <w:lvlText w:val="•"/>
      <w:lvlJc w:val="left"/>
      <w:pPr>
        <w:ind w:left="6600" w:hanging="360"/>
      </w:pPr>
      <w:rPr>
        <w:rFonts w:hint="default"/>
        <w:lang w:val="en-US" w:eastAsia="en-US" w:bidi="ar-SA"/>
      </w:rPr>
    </w:lvl>
    <w:lvl w:ilvl="5" w:tplc="B93EF9A0">
      <w:numFmt w:val="bullet"/>
      <w:lvlText w:val="•"/>
      <w:lvlJc w:val="left"/>
      <w:pPr>
        <w:ind w:left="7480" w:hanging="360"/>
      </w:pPr>
      <w:rPr>
        <w:rFonts w:hint="default"/>
        <w:lang w:val="en-US" w:eastAsia="en-US" w:bidi="ar-SA"/>
      </w:rPr>
    </w:lvl>
    <w:lvl w:ilvl="6" w:tplc="3A181694">
      <w:numFmt w:val="bullet"/>
      <w:lvlText w:val="•"/>
      <w:lvlJc w:val="left"/>
      <w:pPr>
        <w:ind w:left="8360" w:hanging="360"/>
      </w:pPr>
      <w:rPr>
        <w:rFonts w:hint="default"/>
        <w:lang w:val="en-US" w:eastAsia="en-US" w:bidi="ar-SA"/>
      </w:rPr>
    </w:lvl>
    <w:lvl w:ilvl="7" w:tplc="96ACBBE2">
      <w:numFmt w:val="bullet"/>
      <w:lvlText w:val="•"/>
      <w:lvlJc w:val="left"/>
      <w:pPr>
        <w:ind w:left="9240" w:hanging="360"/>
      </w:pPr>
      <w:rPr>
        <w:rFonts w:hint="default"/>
        <w:lang w:val="en-US" w:eastAsia="en-US" w:bidi="ar-SA"/>
      </w:rPr>
    </w:lvl>
    <w:lvl w:ilvl="8" w:tplc="3E0262AC">
      <w:numFmt w:val="bullet"/>
      <w:lvlText w:val="•"/>
      <w:lvlJc w:val="left"/>
      <w:pPr>
        <w:ind w:left="10120" w:hanging="360"/>
      </w:pPr>
      <w:rPr>
        <w:rFonts w:hint="default"/>
        <w:lang w:val="en-US" w:eastAsia="en-US" w:bidi="ar-SA"/>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547"/>
    <w:rsid w:val="00186547"/>
    <w:rsid w:val="002A6EB9"/>
    <w:rsid w:val="005563C5"/>
    <w:rsid w:val="006604EA"/>
    <w:rsid w:val="008439AE"/>
    <w:rsid w:val="009D248E"/>
    <w:rsid w:val="00AB4722"/>
    <w:rsid w:val="00AF2613"/>
    <w:rsid w:val="00CF3539"/>
    <w:rsid w:val="00E171F1"/>
    <w:rsid w:val="00F92804"/>
    <w:rsid w:val="00FC0C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81A26"/>
  <w15:docId w15:val="{46344B3A-C33B-437B-B365-B0CCCC6A2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365" w:lineRule="exact"/>
      <w:ind w:left="3265" w:right="2907"/>
      <w:jc w:val="center"/>
      <w:outlineLvl w:val="0"/>
    </w:pPr>
    <w:rPr>
      <w:b/>
      <w:bCs/>
      <w:sz w:val="32"/>
      <w:szCs w:val="32"/>
    </w:rPr>
  </w:style>
  <w:style w:type="paragraph" w:styleId="Heading2">
    <w:name w:val="heading 2"/>
    <w:basedOn w:val="Normal"/>
    <w:uiPriority w:val="1"/>
    <w:qFormat/>
    <w:pPr>
      <w:spacing w:before="7" w:line="364" w:lineRule="exact"/>
      <w:ind w:right="1079"/>
      <w:jc w:val="center"/>
      <w:outlineLvl w:val="1"/>
    </w:pPr>
    <w:rPr>
      <w:b/>
      <w:bCs/>
      <w:sz w:val="32"/>
      <w:szCs w:val="32"/>
    </w:rPr>
  </w:style>
  <w:style w:type="paragraph" w:styleId="Heading3">
    <w:name w:val="heading 3"/>
    <w:basedOn w:val="Normal"/>
    <w:uiPriority w:val="1"/>
    <w:qFormat/>
    <w:pPr>
      <w:ind w:left="3265" w:right="2902"/>
      <w:jc w:val="center"/>
      <w:outlineLvl w:val="2"/>
    </w:pPr>
    <w:rPr>
      <w:b/>
      <w:bCs/>
      <w:sz w:val="28"/>
      <w:szCs w:val="28"/>
    </w:rPr>
  </w:style>
  <w:style w:type="paragraph" w:styleId="Heading4">
    <w:name w:val="heading 4"/>
    <w:basedOn w:val="Normal"/>
    <w:uiPriority w:val="1"/>
    <w:qFormat/>
    <w:pPr>
      <w:spacing w:before="2"/>
      <w:ind w:left="312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 w:line="549" w:lineRule="exact"/>
      <w:ind w:left="3265" w:right="2906"/>
      <w:jc w:val="center"/>
    </w:pPr>
    <w:rPr>
      <w:b/>
      <w:bCs/>
      <w:sz w:val="48"/>
      <w:szCs w:val="48"/>
    </w:rPr>
  </w:style>
  <w:style w:type="paragraph" w:styleId="ListParagraph">
    <w:name w:val="List Paragraph"/>
    <w:basedOn w:val="Normal"/>
    <w:uiPriority w:val="1"/>
    <w:qFormat/>
    <w:pPr>
      <w:ind w:left="2340" w:hanging="18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E171F1"/>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081857">
      <w:bodyDiv w:val="1"/>
      <w:marLeft w:val="0"/>
      <w:marRight w:val="0"/>
      <w:marTop w:val="0"/>
      <w:marBottom w:val="0"/>
      <w:divBdr>
        <w:top w:val="none" w:sz="0" w:space="0" w:color="auto"/>
        <w:left w:val="none" w:sz="0" w:space="0" w:color="auto"/>
        <w:bottom w:val="none" w:sz="0" w:space="0" w:color="auto"/>
        <w:right w:val="none" w:sz="0" w:space="0" w:color="auto"/>
      </w:divBdr>
    </w:div>
    <w:div w:id="1523351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jpg"/><Relationship Id="rId11" Type="http://schemas.openxmlformats.org/officeDocument/2006/relationships/image" Target="media/image5.jpg"/><Relationship Id="rId12"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13</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 non Admin</dc:creator>
  <cp:lastModifiedBy>Foram Shah</cp:lastModifiedBy>
  <cp:revision>4</cp:revision>
  <dcterms:created xsi:type="dcterms:W3CDTF">2026-07-28T09:38:00Z</dcterms:created>
  <dcterms:modified xsi:type="dcterms:W3CDTF">2026-07-28T10:06:00Z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2024-10-14T00:00:00Z</vt:filetime>
  </property>
  <property fmtid="{D5CDD505-2E9C-101B-9397-08002B2CF9AE}" pid="3" name="Creator">
    <vt:lpwstr>Microsoft® Word 2016</vt:lpwstr>
  </property>
  <property fmtid="{D5CDD505-2E9C-101B-9397-08002B2CF9AE}" pid="4" name="LastSaved">
    <vt:filetime>2025-08-25T00:00:00Z</vt:filetime>
  </property>
  <property fmtid="{D5CDD505-2E9C-101B-9397-08002B2CF9AE}" pid="5" name="Producer">
    <vt:lpwstr>Microsoft® Word 2016</vt:lpwstr>
  </property>
</Properties>
</file>