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drawing>
          <wp:inline xmlns:a="http://schemas.openxmlformats.org/drawingml/2006/main" xmlns:pic="http://schemas.openxmlformats.org/drawingml/2006/picture">
            <wp:extent cx="1332000" cy="1404130"/>
            <wp:docPr id="1" name="Picture 1"/>
            <wp:cNvGraphicFramePr>
              <a:graphicFrameLocks noChangeAspect="1"/>
            </wp:cNvGraphicFramePr>
            <a:graphic>
              <a:graphicData uri="http://schemas.openxmlformats.org/drawingml/2006/picture">
                <pic:pic>
                  <pic:nvPicPr>
                    <pic:cNvPr id="0" name="legal_metrology_logo.png"/>
                    <pic:cNvPicPr/>
                  </pic:nvPicPr>
                  <pic:blipFill>
                    <a:blip r:embed="rId9"/>
                    <a:stretch>
                      <a:fillRect/>
                    </a:stretch>
                  </pic:blipFill>
                  <pic:spPr>
                    <a:xfrm>
                      <a:off x="0" y="0"/>
                      <a:ext cx="1332000" cy="1404130"/>
                    </a:xfrm>
                    <a:prstGeom prst="rect"/>
                  </pic:spPr>
                </pic:pic>
              </a:graphicData>
            </a:graphic>
          </wp:inline>
        </w:drawing>
      </w:r>
    </w:p>
    <w:p>
      <w:pPr>
        <w:spacing w:after="140"/>
        <w:jc w:val="center"/>
      </w:pPr>
      <w:r>
        <w:rPr>
          <w:rFonts w:ascii="Arial" w:hAnsi="Arial"/>
          <w:b/>
          <w:sz w:val="24"/>
        </w:rPr>
        <w:t>GOVERNMENT OF MAHARASHTRA</w:t>
        <w:br/>
        <w:t>LEGAL METROLOGY ORGANISATION</w:t>
      </w:r>
    </w:p>
    <w:p>
      <w:pPr>
        <w:spacing w:after="140"/>
        <w:jc w:val="center"/>
      </w:pPr>
      <w:r>
        <w:rPr>
          <w:rFonts w:ascii="Arial" w:hAnsi="Arial"/>
          <w:b/>
          <w:sz w:val="24"/>
          <w:u w:val="single"/>
        </w:rPr>
        <w:t>COMPOUNDING ORDER</w:t>
      </w:r>
    </w:p>
    <w:p>
      <w:pPr>
        <w:spacing w:after="200"/>
        <w:jc w:val="center"/>
      </w:pPr>
      <w:r>
        <w:rPr>
          <w:rFonts w:ascii="Arial" w:hAnsi="Arial"/>
          <w:b/>
          <w:sz w:val="22"/>
          <w:u w:val="single"/>
        </w:rPr>
        <w:t>THE LEGAL METROLOGY ACT, 2009</w:t>
      </w:r>
    </w:p>
    <w:tbl>
      <w:tblPr>
        <w:tblW w:type="auto" w:w="0"/>
        <w:jc w:val="center"/>
        <w:tblLayout w:type="fixed"/>
        <w:tblLook w:firstColumn="1" w:firstRow="1" w:lastColumn="0" w:lastRow="0" w:noHBand="0" w:noVBand="1" w:val="04A0"/>
      </w:tblPr>
      <w:tblGrid>
        <w:gridCol w:w="7087"/>
        <w:gridCol w:w="2835"/>
      </w:tblGrid>
      <w:tr>
        <w:tc>
          <w:tcPr>
            <w:tcW w:type="dxa" w:w="5553"/>
          </w:tcPr>
          <w:p>
            <w:r>
              <w:rPr>
                <w:rFonts w:ascii="Arial" w:hAnsi="Arial"/>
                <w:sz w:val="21"/>
              </w:rPr>
              <w:t xml:space="preserve">Compounding Order No: </w:t>
            </w:r>
            <w:r>
              <w:rPr>
                <w:rFonts w:ascii="Arial" w:hAnsi="Arial"/>
                <w:b/>
                <w:sz w:val="21"/>
              </w:rPr>
              <w:t>{{COMPOUNDING_ORDER_NO}}</w:t>
            </w:r>
          </w:p>
        </w:tc>
        <w:tc>
          <w:tcPr>
            <w:tcW w:type="dxa" w:w="5553"/>
          </w:tcPr>
          <w:p>
            <w:pPr>
              <w:jc w:val="right"/>
            </w:pPr>
            <w:r>
              <w:rPr>
                <w:rFonts w:ascii="Arial" w:hAnsi="Arial"/>
                <w:b/>
                <w:sz w:val="21"/>
              </w:rPr>
              <w:t>Date:  {{ORDER_DATE}}</w:t>
            </w:r>
          </w:p>
        </w:tc>
      </w:tr>
      <w:tr>
        <w:tc>
          <w:tcPr>
            <w:tcW w:type="dxa" w:w="11106"/>
            <w:gridSpan w:val="2"/>
          </w:tcPr>
          <w:p>
            <w:r>
              <w:rPr>
                <w:rFonts w:ascii="Arial" w:hAnsi="Arial"/>
                <w:sz w:val="19"/>
              </w:rPr>
              <w:t>Compounding of Offence under The Legal Metrology Act, 2009 and Rules made there under</w:t>
            </w:r>
          </w:p>
        </w:tc>
      </w:tr>
    </w:tbl>
    <w:p>
      <w:pPr>
        <w:spacing w:after="100"/>
      </w:pPr>
      <w:r>
        <w:rPr>
          <w:rFonts w:ascii="Arial" w:hAnsi="Arial"/>
          <w:sz w:val="19"/>
        </w:rPr>
        <w:t>1) Seizure Receipt No. and Date: {{SEIZURE_RECEIPT_NO}}    Date: {{SEIZURE_DATE}}    Panchnama Date: {{PANCHNAMA_DATE}}</w:t>
      </w:r>
    </w:p>
    <w:p>
      <w:pPr>
        <w:spacing w:after="100"/>
      </w:pPr>
      <w:r>
        <w:rPr>
          <w:rFonts w:ascii="Arial" w:hAnsi="Arial"/>
          <w:sz w:val="19"/>
        </w:rPr>
        <w:t>2) Compounding Notice No.: {{COMPOUNDING_NOTICE_NO}}    Date: {{COMPOUNDING_NOTICE_DATE}}</w:t>
      </w:r>
    </w:p>
    <w:p>
      <w:pPr>
        <w:spacing w:after="100"/>
      </w:pPr>
      <w:r>
        <w:rPr>
          <w:rFonts w:ascii="Arial" w:hAnsi="Arial"/>
          <w:sz w:val="19"/>
        </w:rPr>
        <w:t>3) Compounding Request Letter Date: {{REQUEST_LETTER_DATE}}</w:t>
      </w:r>
    </w:p>
    <w:p>
      <w:pPr>
        <w:spacing w:after="100"/>
      </w:pPr>
      <w:r>
        <w:rPr>
          <w:rFonts w:ascii="Arial" w:hAnsi="Arial"/>
          <w:sz w:val="19"/>
        </w:rPr>
        <w:t>4) Proposal of Inspector of Legal Metrology {{INSPECTOR_OFFICE}}    Date: {{PROPOSAL_DATE}}</w:t>
      </w:r>
    </w:p>
    <w:p>
      <w:pPr>
        <w:spacing w:after="200"/>
        <w:jc w:val="center"/>
      </w:pPr>
      <w:r>
        <w:rPr>
          <w:rFonts w:ascii="Arial" w:hAnsi="Arial"/>
          <w:b/>
          <w:sz w:val="21"/>
          <w:u w:val="single"/>
        </w:rPr>
        <w:t>ORDER</w:t>
      </w:r>
    </w:p>
    <w:p>
      <w:pPr>
        <w:spacing w:after="200"/>
        <w:jc w:val="both"/>
      </w:pPr>
      <w:r>
        <w:rPr>
          <w:rFonts w:ascii="Times New Roman" w:hAnsi="Times New Roman"/>
          <w:sz w:val="22"/>
        </w:rPr>
        <w:t>Whereas Shri./Smt. {{PERSON_NAME}}, {{PERSON_ADDRESS}}, {{PERSON_DESIGNATION}} of M/s. {{FIRM_NAME}}, {{FIRM_ADDRESS}} and, whereas the said Shri./Smt. {{PERSON_NAME}}, {{PERSON_ADDRESS}}, {{PERSON_DESIGNATION}} has agreed to compound the offence(s), {{OFFENCE_SECTIONS_AND_RULES}}, punishable under the applicable provisions of The Legal Metrology Act, 2009/The Legal Metrology (Packaged Commodities) Rules, 2011/The Maharashtra Legal Metrology (Enforcement) Rules, 2011.</w:t>
      </w:r>
    </w:p>
    <w:p>
      <w:pPr>
        <w:spacing w:after="0"/>
        <w:jc w:val="both"/>
      </w:pPr>
      <w:r>
        <w:rPr>
          <w:rFonts w:ascii="Times New Roman" w:hAnsi="Times New Roman"/>
          <w:sz w:val="22"/>
        </w:rPr>
        <w:t>Therefore, in exercise of the powers under Section 48(3) of The Legal Metrology Act, 2009 and Rule 25 of the Maharashtra Legal Metrology (Enforcement) Rules, 2011, and powers conferred upon me vide Order {{AUTHORITY_ORDER_NO}} dated {{AUTHORITY_ORDER_DATE}} by the Controller of Legal Metrology, Maharashtra State, Mumbai, I, {{ORDERING_OFFICER_NAME}}, {{ORDERING_OFFICER_DESIGNATION}}, hereby determine the amount of compounding for the above offence at ₹ {{TOTAL_COMPOUNDING_AMOUNT}} (Rupees {{AMOUNT_IN_WORDS}} Only) and direct {{PERSON_NAME}}, {{PERSON_ADDRESS}}, {{PERSON_DESIGNATION}} of M/s. {{FIRM_NAME}}, {{FIRM_ADDRESS}} to deposit the said amount to the Government, online through the GRAS Portal under receipt head {{GRAS_RECEIPT_HEAD}}, within {{PAYMENT_DAYS}} days from receipt of this order in the account of {{ACCOUNT_OFFICER_DESIGNATION}}.</w:t>
      </w:r>
    </w:p>
    <w:p>
      <w:r>
        <w:br w:type="page"/>
      </w:r>
    </w:p>
    <w:p>
      <w:pPr>
        <w:spacing w:after="80"/>
      </w:pPr>
      <w:r>
        <w:rPr>
          <w:rFonts w:ascii="Arial" w:hAnsi="Arial"/>
          <w:sz w:val="21"/>
        </w:rPr>
        <w:t xml:space="preserve">Compounding Order No: </w:t>
      </w:r>
      <w:r>
        <w:rPr>
          <w:rFonts w:ascii="Arial" w:hAnsi="Arial"/>
          <w:b/>
          <w:sz w:val="21"/>
        </w:rPr>
        <w:t>{{COMPOUNDING_ORDER_NO}}</w:t>
      </w:r>
    </w:p>
    <w:p>
      <w:pPr>
        <w:spacing w:after="120"/>
      </w:pPr>
      <w:r>
        <w:rPr>
          <w:rFonts w:ascii="Times New Roman" w:hAnsi="Times New Roman"/>
          <w:sz w:val="22"/>
        </w:rPr>
        <w:t>The details of the compounding fees for the firm and persons concerned are as follows:</w:t>
      </w:r>
    </w:p>
    <w:p>
      <w:pPr>
        <w:spacing w:after="100"/>
        <w:ind w:left="283"/>
      </w:pPr>
      <w:r>
        <w:rPr>
          <w:rFonts w:ascii="Times New Roman" w:hAnsi="Times New Roman"/>
          <w:sz w:val="21"/>
        </w:rPr>
        <w:t>01) {PERSON_OR_FIRM_1} - Amount: ₹ {AMOUNT_1}</w:t>
      </w:r>
    </w:p>
    <w:p>
      <w:pPr>
        <w:spacing w:after="100"/>
        <w:ind w:left="283"/>
      </w:pPr>
      <w:r>
        <w:rPr>
          <w:rFonts w:ascii="Times New Roman" w:hAnsi="Times New Roman"/>
          <w:sz w:val="21"/>
        </w:rPr>
        <w:t>02) {PERSON_OR_FIRM_2} - Amount: ₹ {AMOUNT_2}</w:t>
      </w:r>
    </w:p>
    <w:p>
      <w:pPr>
        <w:spacing w:after="100"/>
        <w:ind w:left="283"/>
      </w:pPr>
      <w:r>
        <w:rPr>
          <w:rFonts w:ascii="Times New Roman" w:hAnsi="Times New Roman"/>
          <w:sz w:val="21"/>
        </w:rPr>
        <w:t>03) {PERSON_OR_FIRM_3} - Amount: ₹ {AMOUNT_3}</w:t>
      </w:r>
    </w:p>
    <w:p>
      <w:pPr>
        <w:spacing w:after="100"/>
        <w:ind w:left="283"/>
      </w:pPr>
      <w:r>
        <w:rPr>
          <w:rFonts w:ascii="Times New Roman" w:hAnsi="Times New Roman"/>
          <w:sz w:val="21"/>
        </w:rPr>
        <w:t>04) {PERSON_OR_FIRM_4} - Amount: ₹ {AMOUNT_4}</w:t>
      </w:r>
    </w:p>
    <w:p>
      <w:pPr>
        <w:spacing w:after="100"/>
        <w:ind w:left="283"/>
      </w:pPr>
      <w:r>
        <w:rPr>
          <w:rFonts w:ascii="Times New Roman" w:hAnsi="Times New Roman"/>
          <w:sz w:val="21"/>
        </w:rPr>
        <w:t>05) {PERSON_OR_FIRM_5} - Amount: ₹ {AMOUNT_5}</w:t>
      </w:r>
    </w:p>
    <w:p>
      <w:pPr>
        <w:spacing w:after="160"/>
        <w:jc w:val="both"/>
      </w:pPr>
      <w:r>
        <w:rPr>
          <w:rFonts w:ascii="Times New Roman" w:hAnsi="Times New Roman"/>
          <w:sz w:val="22"/>
        </w:rPr>
        <w:t>After the amount of composition is realized, the offence shall be deemed to be discharged.</w:t>
      </w:r>
    </w:p>
    <w:p>
      <w:pPr>
        <w:spacing w:after="100"/>
      </w:pPr>
      <w:r>
        <w:rPr>
          <w:rFonts w:ascii="Times New Roman" w:hAnsi="Times New Roman"/>
          <w:sz w:val="22"/>
        </w:rPr>
        <w:t>Copy to,</w:t>
      </w:r>
    </w:p>
    <w:p>
      <w:pPr>
        <w:spacing w:after="80"/>
        <w:ind w:left="170"/>
      </w:pPr>
      <w:r>
        <w:rPr>
          <w:rFonts w:ascii="Arial" w:hAnsi="Arial"/>
          <w:b/>
          <w:sz w:val="19"/>
        </w:rPr>
        <w:t>1) {{FIRM_NAME}}, {{FIRM_ADDRESS}}</w:t>
      </w:r>
    </w:p>
    <w:p>
      <w:pPr>
        <w:spacing w:after="80"/>
        <w:ind w:left="170"/>
      </w:pPr>
      <w:r>
        <w:rPr>
          <w:rFonts w:ascii="Arial" w:hAnsi="Arial"/>
          <w:b/>
          <w:sz w:val="19"/>
        </w:rPr>
        <w:t>2) Inspector of Legal Metrology, {{INSPECTOR_OFFICE}}</w:t>
      </w:r>
    </w:p>
    <w:p>
      <w:pPr>
        <w:spacing w:after="120"/>
      </w:pPr>
      <w:r>
        <w:rPr>
          <w:rFonts w:ascii="Times New Roman" w:hAnsi="Times New Roman"/>
          <w:sz w:val="21"/>
        </w:rPr>
        <w:t xml:space="preserve">a) </w:t>
      </w:r>
      <w:r>
        <w:rPr>
          <w:rFonts w:ascii="Times New Roman" w:hAnsi="Times New Roman"/>
          <w:sz w:val="21"/>
        </w:rPr>
        <w:t>He/She should serve the order to the person(s) and thereafter He/She should upload particulars about the defaced challan if the amount of composition is credited by the concerned.</w:t>
      </w:r>
    </w:p>
    <w:p>
      <w:pPr>
        <w:spacing w:after="120"/>
      </w:pPr>
      <w:r>
        <w:rPr>
          <w:rFonts w:ascii="Times New Roman" w:hAnsi="Times New Roman"/>
          <w:sz w:val="21"/>
        </w:rPr>
        <w:t xml:space="preserve">b) </w:t>
      </w:r>
      <w:r>
        <w:rPr>
          <w:rFonts w:ascii="Times New Roman" w:hAnsi="Times New Roman"/>
          <w:sz w:val="21"/>
        </w:rPr>
        <w:t>After deposition of compounding fee:</w:t>
      </w:r>
    </w:p>
    <w:p>
      <w:pPr>
        <w:spacing w:after="120"/>
        <w:ind w:left="170"/>
      </w:pPr>
      <w:r>
        <w:rPr>
          <w:rFonts w:ascii="Times New Roman" w:hAnsi="Times New Roman"/>
          <w:sz w:val="21"/>
        </w:rPr>
        <w:t xml:space="preserve">i) </w:t>
      </w:r>
      <w:r>
        <w:rPr>
          <w:rFonts w:ascii="Times New Roman" w:hAnsi="Times New Roman"/>
          <w:sz w:val="21"/>
        </w:rPr>
        <w:t>The seized packages should be returned to the concerned person immediately by taking the undertaking from the concerned to the effect that seized packages shall be rectified and conform to the provisions laid down under the Act and Rules.</w:t>
      </w:r>
    </w:p>
    <w:p>
      <w:pPr>
        <w:spacing w:after="120"/>
        <w:ind w:left="170"/>
      </w:pPr>
      <w:r>
        <w:rPr>
          <w:rFonts w:ascii="Times New Roman" w:hAnsi="Times New Roman"/>
          <w:sz w:val="21"/>
        </w:rPr>
        <w:t xml:space="preserve">ii) </w:t>
      </w:r>
      <w:r>
        <w:rPr>
          <w:rFonts w:ascii="Times New Roman" w:hAnsi="Times New Roman"/>
          <w:sz w:val="21"/>
        </w:rPr>
        <w:t>The seized unverified weight or measure should be returned to the user after taking an undertaking from the user that he will get the same verified and stamped within fifteen days.</w:t>
      </w:r>
    </w:p>
    <w:p>
      <w:pPr>
        <w:spacing w:after="120"/>
        <w:ind w:left="170"/>
      </w:pPr>
      <w:r>
        <w:rPr>
          <w:rFonts w:ascii="Times New Roman" w:hAnsi="Times New Roman"/>
          <w:sz w:val="21"/>
        </w:rPr>
        <w:t xml:space="preserve">iii) </w:t>
      </w:r>
      <w:r>
        <w:rPr>
          <w:rFonts w:ascii="Times New Roman" w:hAnsi="Times New Roman"/>
          <w:sz w:val="21"/>
        </w:rPr>
        <w:t>In case of seizure of non-standard weight or measure, they shall be forfeited to the Government.</w:t>
      </w:r>
    </w:p>
    <w:p>
      <w:pPr>
        <w:spacing w:after="120"/>
      </w:pPr>
      <w:r>
        <w:rPr>
          <w:rFonts w:ascii="Times New Roman" w:hAnsi="Times New Roman"/>
          <w:sz w:val="21"/>
        </w:rPr>
        <w:t xml:space="preserve">c) </w:t>
      </w:r>
      <w:r>
        <w:rPr>
          <w:rFonts w:ascii="Times New Roman" w:hAnsi="Times New Roman"/>
          <w:sz w:val="21"/>
        </w:rPr>
        <w:t>In the event of non-payment of compounding amount by the defaulter to the Government, the case shall be lodged in the court of law before the expiry of the period of limitation.</w:t>
      </w:r>
    </w:p>
    <w:p>
      <w:pPr>
        <w:spacing w:before="400"/>
        <w:jc w:val="right"/>
      </w:pPr>
      <w:r>
        <w:rPr>
          <w:rFonts w:ascii="Arial" w:hAnsi="Arial"/>
          <w:b/>
          <w:sz w:val="19"/>
        </w:rPr>
        <w:t>Signature of the LMO</w:t>
      </w:r>
    </w:p>
    <w:sectPr w:rsidR="00FC693F" w:rsidRPr="0006063C" w:rsidSect="00034616">
      <w:footerReference w:type="default" r:id="rId10"/>
      <w:pgSz w:w="12240" w:h="15840"/>
      <w:pgMar w:top="680" w:right="567" w:bottom="680" w:left="567" w:header="227" w:footer="283" w:gutter="0"/>
      <w:cols w:space="720"/>
      <w:docGrid w:linePitch="360"/>
      <w:pgBorders w:offsetFrom="page">
        <w:top w:val="single" w:sz="10" w:space="20" w:color="333333"/>
        <w:left w:val="single" w:sz="10" w:space="20" w:color="333333"/>
        <w:bottom w:val="single" w:sz="10" w:space="20" w:color="333333"/>
        <w:right w:val="single" w:sz="10" w:space="20" w:color="33333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sz w:val="15"/>
      </w:rPr>
      <w:t>Note : This document is digitally signed, manual signature not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