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F3A5F"/>
          <w:sz w:val="64"/>
          <w:szCs w:val="64"/>
        </w:rPr>
        <w:t xml:space="preserve">Themis</w:t>
      </w:r>
    </w:p>
    <w:p>
      <w:pPr>
        <w:spacing w:after="80"/>
      </w:pPr>
      <w:r>
        <w:rPr>
          <w:color w:val="555555"/>
          <w:sz w:val="28"/>
          <w:szCs w:val="28"/>
        </w:rPr>
        <w:t xml:space="preserve">Data architecture and synthetic-dataset construction</w:t>
      </w:r>
    </w:p>
    <w:p>
      <w:pPr>
        <w:spacing w:after="120"/>
      </w:pPr>
      <w:r>
        <w:rPr>
          <w:i/>
          <w:iCs/>
          <w:color w:val="1F3A5F"/>
          <w:sz w:val="22"/>
          <w:szCs w:val="22"/>
        </w:rPr>
        <w:t xml:space="preserve">Schema, ingest contracts, derived features, evidence model, and a reproducible source map for the demonstration dataset.</w:t>
      </w:r>
    </w:p>
    <w:p>
      <w:pPr>
        <w:spacing w:after="360"/>
      </w:pPr>
      <w:r>
        <w:rPr>
          <w:color w:val="888888"/>
          <w:sz w:val="18"/>
          <w:szCs w:val="18"/>
        </w:rPr>
        <w:t xml:space="preserve">Technical companion · Data engineering audience · Typology-agnostic framework</w:t>
      </w:r>
    </w:p>
    <w:p>
      <w:pPr>
        <w:pStyle w:val="Heading1"/>
        <w:spacing w:after="200" w:before="360"/>
      </w:pPr>
      <w:r>
        <w:t xml:space="preserve">1. Scope and audience</w:t>
      </w:r>
    </w:p>
    <w:p>
      <w:pPr>
        <w:spacing w:after="120" w:line="300"/>
      </w:pPr>
      <w:r>
        <w:t xml:space="preserve">This document describes the data architecture of Themis and the construction methodology for the synthetic demonstration dataset. It is written for data engineers, data architects, and integration engineers responsible for landing Themis inside a tier-1 bank or for building, maintaining, or reproducing the demonstration dataset.</w:t>
      </w:r>
    </w:p>
    <w:p>
      <w:pPr>
        <w:spacing w:after="120" w:line="300"/>
      </w:pPr>
      <w:r>
        <w:t xml:space="preserve">The document is typology-agnostic. Themis ships with three concrete typology investigators (front-company, geographic-layering, trade-based-evasion) but the data architecture is designed so that adding a fourth, fifth, or tenth typology requires no schema change. Section 5 specifies the typology investigator contract that any new typology must satisfy.</w:t>
      </w:r>
    </w:p>
    <w:p>
      <w:pPr>
        <w:spacing w:after="120" w:line="300"/>
      </w:pPr>
      <w:r>
        <w:t xml:space="preserve">Section 9 specifies the demonstration dataset in full: the cluster generation strategy, the field-vocabulary sources used to populate fictional records, the determinism and reproducibility guarantees, and the construction pipeline.</w:t>
      </w:r>
    </w:p>
    <w:p>
      <w:pPr>
        <w:pStyle w:val="Heading1"/>
        <w:spacing w:after="200" w:before="360"/>
      </w:pPr>
      <w:r>
        <w:t xml:space="preserve">2. Architectural principles</w:t>
      </w:r>
    </w:p>
    <w:p>
      <w:pPr>
        <w:pStyle w:val="Heading2"/>
        <w:spacing w:after="160" w:before="280"/>
      </w:pPr>
      <w:r>
        <w:t xml:space="preserve">2.1 Single canonical data model</w:t>
      </w:r>
    </w:p>
    <w:p>
      <w:pPr>
        <w:spacing w:after="120" w:line="300"/>
      </w:pPr>
      <w:r>
        <w:t xml:space="preserve">Themis maintains one canonical relational schema. Entities (parties, directors, addresses, CSPs, correspondents, wires, cases, watchlist entries) are tables. Relationships between them (a party's directors, a party's address, a wire's correspondent path, a case's anchors) are association tables with their own attributes and time-bounded validity. Derived features are additional tables refreshed on a defined cadence.</w:t>
      </w:r>
    </w:p>
    <w:p>
      <w:pPr>
        <w:spacing w:after="120" w:line="300"/>
      </w:pPr>
      <w:r>
        <w:t xml:space="preserve">Every analyst-facing surface reads from this one canonical model. There is no surface-specific data store, no surface-specific enrichment pipeline, and no surface-specific identity scheme. A change to any record propagates to all surfaces simultaneously.</w:t>
      </w:r>
    </w:p>
    <w:p>
      <w:pPr>
        <w:pStyle w:val="Heading2"/>
        <w:spacing w:after="160" w:before="280"/>
      </w:pPr>
      <w:r>
        <w:t xml:space="preserve">2.2 Time-bounded relationships</w:t>
      </w:r>
    </w:p>
    <w:p>
      <w:pPr>
        <w:spacing w:after="120" w:line="300"/>
      </w:pPr>
      <w:r>
        <w:t xml:space="preserve">Every association table carries effective_from and effective_to columns. Open intervals are represented with NULL effective_to. Temporal correctness is required for the patterns Themis is designed to detect; a query that asks who directed this entity on the wire's value date must get a deterministic answer regardless of how the registry has changed since. Every relationship table is therefore queryable as-of any timestamp via a standard predicate (effective_from &lt;= ts AND (effective_to IS NULL OR effective_to &gt; ts)).</w:t>
      </w:r>
    </w:p>
    <w:p>
      <w:pPr>
        <w:pStyle w:val="Heading2"/>
        <w:spacing w:after="160" w:before="280"/>
      </w:pPr>
      <w:r>
        <w:t xml:space="preserve">2.3 Versioned reference data</w:t>
      </w:r>
    </w:p>
    <w:p>
      <w:pPr>
        <w:spacing w:after="120" w:line="300"/>
      </w:pPr>
      <w:r>
        <w:t xml:space="preserve">Watchlists, advisories, sanctions designations, and HS-code definitions are stored as versioned, point-in-time snapshots. The system can answer point-in-time questions natively: was this entity sanctioned at the wire's value date, and not just is it sanctioned now.</w:t>
      </w:r>
    </w:p>
    <w:p>
      <w:pPr>
        <w:pStyle w:val="Heading2"/>
        <w:spacing w:after="160" w:before="280"/>
      </w:pPr>
      <w:r>
        <w:t xml:space="preserve">2.4 Evidence as data</w:t>
      </w:r>
    </w:p>
    <w:p>
      <w:pPr>
        <w:spacing w:after="120" w:line="300"/>
      </w:pPr>
      <w:r>
        <w:t xml:space="preserve">Evidence is a first-class structured object with severity, claim, weight per typology, shared-typology list, and provenance back to source. The evidence ledger is the data structure that mediates between typology investigators and the synthesizer. Free-text narrative is generated at the analyst-surface layer from the structured ledger; it is never the canonical record.</w:t>
      </w:r>
    </w:p>
    <w:p>
      <w:pPr>
        <w:pStyle w:val="Heading2"/>
        <w:spacing w:after="160" w:before="280"/>
      </w:pPr>
      <w:r>
        <w:t xml:space="preserve">2.5 Provenance on every datum</w:t>
      </w:r>
    </w:p>
    <w:p>
      <w:pPr>
        <w:spacing w:after="120" w:line="300"/>
      </w:pPr>
      <w:r>
        <w:t xml:space="preserve">Every row in every table carries source_id, source_version, and ingest_timestamp columns. Provenance is not optional metadata; it is what makes the system auditable to model risk management and to regulatory examiners.</w:t>
      </w:r>
    </w:p>
    <w:p>
      <w:pPr>
        <w:pStyle w:val="Heading2"/>
        <w:spacing w:after="160" w:before="280"/>
      </w:pPr>
      <w:r>
        <w:t xml:space="preserve">2.6 Separation of investigators and synthesizer</w:t>
      </w:r>
    </w:p>
    <w:p>
      <w:pPr>
        <w:spacing w:after="120" w:line="300"/>
      </w:pPr>
      <w:r>
        <w:t xml:space="preserve">Typology investigators emit verdicts and evidence, nothing else. The synthesizer consumes verdicts and evidence and produces a single dedup-adjusted confidence figure. The analyst-facing surfaces consume the synthesized figure plus the underlying verdicts and ledger. Each layer is independently testable and independently auditable.</w:t>
      </w:r>
    </w:p>
    <w:p>
      <w:r>
        <w:br w:type="page"/>
      </w:r>
    </w:p>
    <w:p>
      <w:pPr>
        <w:pStyle w:val="Heading1"/>
        <w:spacing w:after="200" w:before="360"/>
      </w:pPr>
      <w:r>
        <w:t xml:space="preserve">3. Logical schema</w:t>
      </w:r>
    </w:p>
    <w:p>
      <w:pPr>
        <w:pStyle w:val="Heading2"/>
        <w:spacing w:after="160" w:before="280"/>
      </w:pPr>
      <w:r>
        <w:t xml:space="preserve">3.1 Entity tables</w:t>
      </w:r>
    </w:p>
    <w:p>
      <w:pPr>
        <w:spacing w:after="120" w:line="300"/>
      </w:pPr>
      <w:r>
        <w:t xml:space="preserve">Entity tables hold the things Themis tracks. Each row is a single entity instance; the primary key is canonical and stable across source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Table</w:t>
            </w:r>
          </w:p>
        </w:tc>
        <w:tc>
          <w:tcPr>
            <w:tcW w:type="dxa" w:w="35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Primary key</w:t>
            </w:r>
          </w:p>
        </w:tc>
        <w:tc>
          <w:tcPr>
            <w:tcW w:type="dxa" w:w="34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Cardinality (tier-1 bank)</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party</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party_id</w:t>
            </w:r>
          </w:p>
        </w:tc>
        <w:tc>
          <w:tcPr>
            <w:tcW w:type="dxa" w:w="34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10^7 - 10^8</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person</w:t>
            </w:r>
          </w:p>
        </w:tc>
        <w:tc>
          <w:tcPr>
            <w:tcW w:type="dxa" w:w="35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person_id</w:t>
            </w:r>
          </w:p>
        </w:tc>
        <w:tc>
          <w:tcPr>
            <w:tcW w:type="dxa" w:w="34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10^6 - 10^7</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address</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address_id (geocoded, unit-resolved)</w:t>
            </w:r>
          </w:p>
        </w:tc>
        <w:tc>
          <w:tcPr>
            <w:tcW w:type="dxa" w:w="34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10^6 - 10^7</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csp</w:t>
            </w:r>
          </w:p>
        </w:tc>
        <w:tc>
          <w:tcPr>
            <w:tcW w:type="dxa" w:w="35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csp_id</w:t>
            </w:r>
          </w:p>
        </w:tc>
        <w:tc>
          <w:tcPr>
            <w:tcW w:type="dxa" w:w="34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10^4 - 10^5</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correspondent_bank</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bic (with branch suffix)</w:t>
            </w:r>
          </w:p>
        </w:tc>
        <w:tc>
          <w:tcPr>
            <w:tcW w:type="dxa" w:w="34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10^4</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wire</w:t>
            </w:r>
          </w:p>
        </w:tc>
        <w:tc>
          <w:tcPr>
            <w:tcW w:type="dxa" w:w="35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wire_id</w:t>
            </w:r>
          </w:p>
        </w:tc>
        <w:tc>
          <w:tcPr>
            <w:tcW w:type="dxa" w:w="34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10^9+ over multi-year retention</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case</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case_id</w:t>
            </w:r>
          </w:p>
        </w:tc>
        <w:tc>
          <w:tcPr>
            <w:tcW w:type="dxa" w:w="34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10^6 over multi-year retention</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watchlist_entry</w:t>
            </w:r>
          </w:p>
        </w:tc>
        <w:tc>
          <w:tcPr>
            <w:tcW w:type="dxa" w:w="35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(list_id, list_internal_id, version_id)</w:t>
            </w:r>
          </w:p>
        </w:tc>
        <w:tc>
          <w:tcPr>
            <w:tcW w:type="dxa" w:w="34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10^5 - 10^6</w:t>
            </w:r>
          </w:p>
        </w:tc>
      </w:tr>
    </w:tbl>
    <w:p>
      <w:pPr>
        <w:spacing w:after="120" w:line="300"/>
      </w:pPr>
    </w:p>
    <w:p>
      <w:pPr>
        <w:pStyle w:val="Heading2"/>
        <w:spacing w:after="160" w:before="280"/>
      </w:pPr>
      <w:r>
        <w:t xml:space="preserve">3.2 Association tables</w:t>
      </w:r>
    </w:p>
    <w:p>
      <w:pPr>
        <w:spacing w:after="120" w:line="300"/>
      </w:pPr>
      <w:r>
        <w:t xml:space="preserve">Relationships between entities are stored in association tables. Each row connects two entities and carries its own attributes, including time-bounds and provenance. The principal association tables are listed below; foreign keys reference the entity tables in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Table</w:t>
            </w:r>
          </w:p>
        </w:tc>
        <w:tc>
          <w:tcPr>
            <w:tcW w:type="dxa" w:w="30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Connects</w:t>
            </w:r>
          </w:p>
        </w:tc>
        <w:tc>
          <w:tcPr>
            <w:tcW w:type="dxa" w:w="39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Key attributes</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party_director</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party_id, person_id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role, effective_from, effective_to, source_id, source_version</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party_address</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party_id, address_id</w:t>
            </w:r>
          </w:p>
        </w:tc>
        <w:tc>
          <w:tcPr>
            <w:tcW w:type="dxa" w:w="39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effective_from, effective_to, registration_type</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party_csp</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party_id, csp_id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effective_from, effective_to, service_type</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party_owner</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party_id (owned), party_id (owner)</w:t>
            </w:r>
          </w:p>
        </w:tc>
        <w:tc>
          <w:tcPr>
            <w:tcW w:type="dxa" w:w="39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percent, effective_date, declared_or_inferred</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wire_party</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wire_id, party_id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role (originator | beneficiary), account_id</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wire_correspondent</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wire_id, bic</w:t>
            </w:r>
          </w:p>
        </w:tc>
        <w:tc>
          <w:tcPr>
            <w:tcW w:type="dxa" w:w="39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sequence_index, hop_timestamp</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case_anchor</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case_id, anchor_type, anchor_id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alert_type, alert_id, alert_timestamp</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watchlist_match</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subject_type, subject_id, watchlist_entry_pk</w:t>
            </w:r>
          </w:p>
        </w:tc>
        <w:tc>
          <w:tcPr>
            <w:tcW w:type="dxa" w:w="39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confidence, version_id, match_method</w:t>
            </w:r>
          </w:p>
        </w:tc>
      </w:tr>
    </w:tbl>
    <w:p>
      <w:pPr>
        <w:spacing w:after="120" w:line="300"/>
      </w:pPr>
    </w:p>
    <w:p>
      <w:pPr>
        <w:spacing w:after="120" w:line="300"/>
      </w:pPr>
      <w:r>
        <w:t xml:space="preserve">Two derived association tables are computed nightly from the principal tables (Section 6 details the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Table</w:t>
            </w:r>
          </w:p>
        </w:tc>
        <w:tc>
          <w:tcPr>
            <w:tcW w:type="dxa" w:w="30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Connects</w:t>
            </w:r>
          </w:p>
        </w:tc>
        <w:tc>
          <w:tcPr>
            <w:tcW w:type="dxa" w:w="39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Definition</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address_co_tenancy</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address_id, address_id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Same building or same unit; computed on a configurable window</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person_co_directorship</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person_id, person_id</w:t>
            </w:r>
          </w:p>
        </w:tc>
        <w:tc>
          <w:tcPr>
            <w:tcW w:type="dxa" w:w="39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Two persons share at least one directed party in the window</w:t>
            </w:r>
          </w:p>
        </w:tc>
      </w:tr>
    </w:tbl>
    <w:p>
      <w:pPr>
        <w:spacing w:after="120" w:line="300"/>
      </w:pPr>
    </w:p>
    <w:p>
      <w:pPr>
        <w:pStyle w:val="Heading2"/>
        <w:spacing w:after="160" w:before="280"/>
      </w:pPr>
      <w:r>
        <w:t xml:space="preserve">3.3 Identity and resolution</w:t>
      </w:r>
    </w:p>
    <w:p>
      <w:pPr>
        <w:spacing w:after="120" w:line="300"/>
      </w:pPr>
      <w:r>
        <w:t xml:space="preserve">Identity resolution is performed at ingest. The product maintains canonical IDs for parties, persons, addresses, and CSPs that are stable across source changes. Cross-references to external IDs (LEI, registry numbers, passport numbers, internal customer IDs) are stored as additional attributes with provenance, never substituted for canonical IDs.</w:t>
      </w:r>
    </w:p>
    <w:p>
      <w:pPr>
        <w:spacing w:after="120" w:line="300"/>
      </w:pPr>
      <w:r>
        <w:t xml:space="preserve">Where multiple sources disagree on attribute values for the same canonical entity, the source-of-truth precedence is encoded per attribute, not per entity. For example, registered address may take its precedence from the official registry; declared activity may take its precedence from internal KYC; director nationality may take its precedence from an external BO provider. Conflicts are retained, not collapsed; analyst-surface views show the dominant source with a click-through to all known sources.</w:t>
      </w:r>
    </w:p>
    <w:p>
      <w:pPr>
        <w:pStyle w:val="Heading2"/>
        <w:spacing w:after="160" w:before="280"/>
      </w:pPr>
      <w:r>
        <w:t xml:space="preserve">3.4 Storage backend</w:t>
      </w:r>
    </w:p>
    <w:p>
      <w:pPr>
        <w:spacing w:after="120" w:line="300"/>
      </w:pPr>
      <w:r>
        <w:t xml:space="preserve">The system of record is a single relational store - PostgreSQL, Oracle, or the bank's existing data-platform RDBMS. The schema in 3.1 and 3.2 is the canonical schema; analyst-facing surfaces and typology investigators read through a thin data-access layer that hides the specific RDBMS choice.</w:t>
      </w:r>
    </w:p>
    <w:p>
      <w:pPr>
        <w:spacing w:after="120" w:line="300"/>
      </w:pPr>
      <w:r>
        <w:t xml:space="preserve">Two specialized stores are introduced as derived projections only when measured load on the relational system requires them:</w:t>
      </w:r>
    </w:p>
    <w:p>
      <w:pPr>
        <w:pStyle w:val="ListParagraph"/>
        <w:numPr>
          <w:ilvl w:val="0"/>
          <w:numId w:val="2"/>
        </w:numPr>
        <w:spacing w:after="80" w:line="290"/>
      </w:pPr>
      <w:r>
        <w:t xml:space="preserve">A columnar analytical store (the bank's existing analytics platform; Snowflake, BigQuery, ClickHouse, or DuckDB at smaller scale) for derived-feature recomputation, signal-density aggregations, and L2 thematic queries that scan large case populations.</w:t>
      </w:r>
    </w:p>
    <w:p>
      <w:pPr>
        <w:pStyle w:val="ListParagraph"/>
        <w:numPr>
          <w:ilvl w:val="0"/>
          <w:numId w:val="2"/>
        </w:numPr>
        <w:spacing w:after="80" w:line="290"/>
      </w:pPr>
      <w:r>
        <w:t xml:space="preserve">A search index (Elasticsearch or OpenSearch) for fuzzy name matching, address matching, and free-text retrieval against case narratives and watchlist entries.</w:t>
      </w:r>
    </w:p>
    <w:p>
      <w:pPr>
        <w:spacing w:after="120" w:line="300"/>
      </w:pPr>
      <w:r>
        <w:t xml:space="preserve">Both specialized stores are projections of the relational system of record. State is reconciled via change-data-capture; the relational store remains authoritative. There is no polyglot deployment in which multiple stores hold authoritative records.</w:t>
      </w:r>
    </w:p>
    <w:p>
      <w:pPr>
        <w:spacing w:after="120" w:line="300"/>
      </w:pPr>
      <w:r>
        <w:t xml:space="preserve">This choice is deliberate. Most Themis queries are bounded-hop joins (co-tenants of an address, entities serviced by a CSP, parties directed by a person) that translate cleanly to two- or three-table joins. Connected-component computation for director clusters - the deepest traversal Themis routinely performs - is supported in PostgreSQL via recursive CTEs or precomputed nightly via a graph-analytics library on a dump of the association tables. Tier-1 banks have established MRM, infosec, and DR review processes for relational stores; those processes are leveraged rather than rebuilt.</w:t>
      </w:r>
    </w:p>
    <w:p>
      <w:r>
        <w:br w:type="page"/>
      </w:r>
    </w:p>
    <w:p>
      <w:pPr>
        <w:pStyle w:val="Heading1"/>
        <w:spacing w:after="200" w:before="360"/>
      </w:pPr>
      <w:r>
        <w:t xml:space="preserve">4. Ingest contracts</w:t>
      </w:r>
    </w:p>
    <w:p>
      <w:pPr>
        <w:spacing w:after="120" w:line="300"/>
      </w:pPr>
      <w:r>
        <w:t xml:space="preserve">Themis consumes four input streams. Each is governed by an explicit contract that specifies schema, cadence, completeness requirements, and provenance fields. This section specifies each contract at a level sufficient for integration scoping.</w:t>
      </w:r>
    </w:p>
    <w:p>
      <w:pPr>
        <w:pStyle w:val="Heading2"/>
        <w:spacing w:after="160" w:before="280"/>
      </w:pPr>
      <w:r>
        <w:t xml:space="preserve">4.1 Stream A - alerts and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Property</w:t>
            </w:r>
          </w:p>
        </w:tc>
        <w:tc>
          <w:tcPr>
            <w:tcW w:type="dxa" w:w="71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Specification</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Source class</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Upstream alert-generation platform; payments / wire fabric</w:t>
            </w:r>
          </w:p>
        </w:tc>
      </w:tr>
      <w:tr>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Transport</w:t>
            </w:r>
          </w:p>
        </w:tc>
        <w:tc>
          <w:tcPr>
            <w:tcW w:type="dxa" w:w="71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Event stream (Kafka, Kinesis) preferred; batch acceptable</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Cadence</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Real-time; SLA: alert payload available in Themis within 5 minutes of generation</w:t>
            </w:r>
          </w:p>
        </w:tc>
      </w:tr>
      <w:tr>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Schema (alert)</w:t>
            </w:r>
          </w:p>
        </w:tc>
        <w:tc>
          <w:tcPr>
            <w:tcW w:type="dxa" w:w="71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alert_id, alert_timestamp, rules_fired[], severity, subject_refs[], wire_ref</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Schema (wire)</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wire_id, value_date, settlement_date, amount, currency, originator_party_ref, originator_account, beneficiary_party_ref, beneficiary_account, correspondent_path[], hs_code, goods_description, declared_value, invoice_ref</w:t>
            </w:r>
          </w:p>
        </w:tc>
      </w:tr>
      <w:tr>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Required completeness</w:t>
            </w:r>
          </w:p>
        </w:tc>
        <w:tc>
          <w:tcPr>
            <w:tcW w:type="dxa" w:w="71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100% on amount, currency, value_date, originator_account, beneficiary_account; 95%+ on hs_code where trade-flagged; 90%+ on full correspondent_path</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Provenance fields</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source_system, source_version, ingest_timestamp</w:t>
            </w:r>
          </w:p>
        </w:tc>
      </w:tr>
    </w:tbl>
    <w:p>
      <w:pPr>
        <w:spacing w:after="120" w:line="300"/>
      </w:pPr>
    </w:p>
    <w:p>
      <w:pPr>
        <w:pStyle w:val="Heading2"/>
        <w:spacing w:after="160" w:before="280"/>
      </w:pPr>
      <w:r>
        <w:t xml:space="preserve">4.2 Stream B - bank-internal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Property</w:t>
            </w:r>
          </w:p>
        </w:tc>
        <w:tc>
          <w:tcPr>
            <w:tcW w:type="dxa" w:w="71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Specification</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Source class</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Customer master, KYC system, prior-case archive, exposure aggregator</w:t>
            </w:r>
          </w:p>
        </w:tc>
      </w:tr>
      <w:tr>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Transport</w:t>
            </w:r>
          </w:p>
        </w:tc>
        <w:tc>
          <w:tcPr>
            <w:tcW w:type="dxa" w:w="71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Daily delta push + on-demand fetch API</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Cadence</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T+1 for KYC and customer master; on-demand for prior cases (sub-second)</w:t>
            </w:r>
          </w:p>
        </w:tc>
      </w:tr>
      <w:tr>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Schema (KYC)</w:t>
            </w:r>
          </w:p>
        </w:tc>
        <w:tc>
          <w:tcPr>
            <w:tcW w:type="dxa" w:w="71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party_ref, legal_name, jurisdiction, ownership_chain, declared_activity, expected_activity_profile, last_review_date, current_risk_rating</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Schema (prior case)</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case_id, status, opened_at, closed_at, disposition, reason_codes[], anchor_refs[], sar_filed_flag</w:t>
            </w:r>
          </w:p>
        </w:tc>
      </w:tr>
      <w:tr>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Required completeness</w:t>
            </w:r>
          </w:p>
        </w:tc>
        <w:tc>
          <w:tcPr>
            <w:tcW w:type="dxa" w:w="71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100% on party_ref, legal_name, jurisdiction; 95%+ on ownership_chain for non-individual parties</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Provenance fields</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kyc_record_version, kyc_owner_user_id</w:t>
            </w:r>
          </w:p>
        </w:tc>
      </w:tr>
    </w:tbl>
    <w:p>
      <w:pPr>
        <w:spacing w:after="120" w:line="300"/>
      </w:pPr>
    </w:p>
    <w:p>
      <w:pPr>
        <w:pStyle w:val="Heading2"/>
        <w:spacing w:after="160" w:before="280"/>
      </w:pPr>
      <w:r>
        <w:t xml:space="preserve">4.3 Stream C - external enrichment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Property</w:t>
            </w:r>
          </w:p>
        </w:tc>
        <w:tc>
          <w:tcPr>
            <w:tcW w:type="dxa" w:w="71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Specification</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Source class</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Commercial registry, BO, address, CSP, adverse-media, trade-reference providers</w:t>
            </w:r>
          </w:p>
        </w:tc>
      </w:tr>
      <w:tr>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Transport</w:t>
            </w:r>
          </w:p>
        </w:tc>
        <w:tc>
          <w:tcPr>
            <w:tcW w:type="dxa" w:w="71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Provider-specific (REST, batch SFTP, S3 manifests)</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Cadence</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Daily for registry and BO; weekly acceptable for adverse-media; near-real-time for sanctioned-jurisdiction entities</w:t>
            </w:r>
          </w:p>
        </w:tc>
      </w:tr>
      <w:tr>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Schema</w:t>
            </w:r>
          </w:p>
        </w:tc>
        <w:tc>
          <w:tcPr>
            <w:tcW w:type="dxa" w:w="71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Provider-native; mapped at ingest to canonical schema with retained raw payload</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Required completeness</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Coverage targets per provider; gaps logged and surfaced as data-quality alerts</w:t>
            </w:r>
          </w:p>
        </w:tc>
      </w:tr>
      <w:tr>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Provenance fields</w:t>
            </w:r>
          </w:p>
        </w:tc>
        <w:tc>
          <w:tcPr>
            <w:tcW w:type="dxa" w:w="71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provider_id, provider_record_id, provider_pull_timestamp, license_class</w:t>
            </w:r>
          </w:p>
        </w:tc>
      </w:tr>
    </w:tbl>
    <w:p>
      <w:pPr>
        <w:spacing w:after="120" w:line="300"/>
      </w:pPr>
    </w:p>
    <w:p>
      <w:pPr>
        <w:pStyle w:val="Heading2"/>
        <w:spacing w:after="160" w:before="280"/>
      </w:pPr>
      <w:r>
        <w:t xml:space="preserve">4.4 Stream D - watchlists and advisories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Property</w:t>
            </w:r>
          </w:p>
        </w:tc>
        <w:tc>
          <w:tcPr>
            <w:tcW w:type="dxa" w:w="71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Specification</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Source class</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Sanctions feeds, trade-control lists, PEP feeds, regulatory advisory feeds</w:t>
            </w:r>
          </w:p>
        </w:tc>
      </w:tr>
      <w:tr>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Transport</w:t>
            </w:r>
          </w:p>
        </w:tc>
        <w:tc>
          <w:tcPr>
            <w:tcW w:type="dxa" w:w="71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Provider-native, with hash-based change detection</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Cadence</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Sub-daily for OFAC, EU, UK, UN; weekly acceptable for less time-critical feeds</w:t>
            </w:r>
          </w:p>
        </w:tc>
      </w:tr>
      <w:tr>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Schema</w:t>
            </w:r>
          </w:p>
        </w:tc>
        <w:tc>
          <w:tcPr>
            <w:tcW w:type="dxa" w:w="71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Versioned snapshots with full effective_date / removed_date semantics</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Critical property</w:t>
            </w:r>
          </w:p>
        </w:tc>
        <w:tc>
          <w:tcPr>
            <w:tcW w:type="dxa" w:w="7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Snapshots are immutable; replays must reproduce historical query results bit-exact</w:t>
            </w:r>
          </w:p>
        </w:tc>
      </w:tr>
      <w:tr>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Provenance fields</w:t>
            </w:r>
          </w:p>
        </w:tc>
        <w:tc>
          <w:tcPr>
            <w:tcW w:type="dxa" w:w="71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list_id, list_version, snapshot_timestamp, source_url, hash</w:t>
            </w:r>
          </w:p>
        </w:tc>
      </w:tr>
    </w:tbl>
    <w:p>
      <w:pPr>
        <w:spacing w:after="120" w:line="300"/>
      </w:pPr>
    </w:p>
    <w:p>
      <w:pPr>
        <w:pStyle w:val="Heading2"/>
        <w:spacing w:after="160" w:before="280"/>
      </w:pPr>
      <w:r>
        <w:t xml:space="preserve">4.5 Idempotency and replay</w:t>
      </w:r>
    </w:p>
    <w:p>
      <w:pPr>
        <w:spacing w:after="120" w:line="300"/>
      </w:pPr>
      <w:r>
        <w:t xml:space="preserve">Every ingest path is idempotent on (source_id, source_record_id, source_version). Replays produce identical state. The canonical event log retains all ingested records for a configurable window (typically 7 years for regulated data). Re-derivation pipelines can be replayed from the event log to reconstruct the relational state at any historical timestamp.</w:t>
      </w:r>
    </w:p>
    <w:p>
      <w:pPr>
        <w:pStyle w:val="Heading2"/>
        <w:spacing w:after="160" w:before="280"/>
      </w:pPr>
      <w:r>
        <w:t xml:space="preserve">4.6 Data quality contract</w:t>
      </w:r>
    </w:p>
    <w:p>
      <w:pPr>
        <w:spacing w:after="120" w:line="300"/>
      </w:pPr>
      <w:r>
        <w:t xml:space="preserve">Each stream emits per-batch quality metrics: completeness on required fields, schema-conformance rate, identity-resolution success rate, and freshness. Quality metrics below configured thresholds trigger surfaceable warnings; quality metrics below configured floor thresholds halt downstream derivations rather than producing degraded outputs silently.</w:t>
      </w:r>
    </w:p>
    <w:p>
      <w:r>
        <w:br w:type="page"/>
      </w:r>
    </w:p>
    <w:p>
      <w:pPr>
        <w:pStyle w:val="Heading1"/>
        <w:spacing w:after="200" w:before="360"/>
      </w:pPr>
      <w:r>
        <w:t xml:space="preserve">5. Typology investigator contract</w:t>
      </w:r>
    </w:p>
    <w:p>
      <w:pPr>
        <w:spacing w:after="120" w:line="300"/>
      </w:pPr>
      <w:r>
        <w:t xml:space="preserve">A typology investigator is a self-contained module that consumes the canonical data model (Section 3) and emits a verdict plus an evidence list. The contract is designed so that investigators can be added, removed, retuned, or replaced without changes to the synthesizer, the analyst surfaces, or the storage layer.</w:t>
      </w:r>
    </w:p>
    <w:p>
      <w:pPr>
        <w:pStyle w:val="Heading2"/>
        <w:spacing w:after="160" w:before="280"/>
      </w:pPr>
      <w:r>
        <w:t xml:space="preserve">5.1 Inputs</w:t>
      </w:r>
    </w:p>
    <w:p>
      <w:pPr>
        <w:spacing w:after="120" w:line="300"/>
      </w:pPr>
      <w:r>
        <w:t xml:space="preserve">An investigator receives:</w:t>
      </w:r>
    </w:p>
    <w:p>
      <w:pPr>
        <w:pStyle w:val="ListParagraph"/>
        <w:numPr>
          <w:ilvl w:val="0"/>
          <w:numId w:val="2"/>
        </w:numPr>
        <w:spacing w:after="80" w:line="290"/>
      </w:pPr>
      <w:r>
        <w:t xml:space="preserve">A case context: case_id and the fully resolved case payload (wire, originator, beneficiary, network, watchlist hits, prior-link counts)</w:t>
      </w:r>
    </w:p>
    <w:p>
      <w:pPr>
        <w:pStyle w:val="ListParagraph"/>
        <w:numPr>
          <w:ilvl w:val="0"/>
          <w:numId w:val="2"/>
        </w:numPr>
        <w:spacing w:after="80" w:line="290"/>
      </w:pPr>
      <w:r>
        <w:t xml:space="preserve">Read access to the relational store for joins across entity and association tables (typically 1-3 join hops over party, party_director, party_address, party_csp, and wire tables)</w:t>
      </w:r>
    </w:p>
    <w:p>
      <w:pPr>
        <w:pStyle w:val="ListParagraph"/>
        <w:numPr>
          <w:ilvl w:val="0"/>
          <w:numId w:val="2"/>
        </w:numPr>
        <w:spacing w:after="80" w:line="290"/>
      </w:pPr>
      <w:r>
        <w:t xml:space="preserve">Read access to versioned watchlist and advisory snapshots scoped to the wire's value date</w:t>
      </w:r>
    </w:p>
    <w:p>
      <w:pPr>
        <w:pStyle w:val="ListParagraph"/>
        <w:numPr>
          <w:ilvl w:val="0"/>
          <w:numId w:val="2"/>
        </w:numPr>
        <w:spacing w:after="80" w:line="290"/>
      </w:pPr>
      <w:r>
        <w:t xml:space="preserve">Read access to derived features (Section 6) at the appropriate as-of timestamp</w:t>
      </w:r>
    </w:p>
    <w:p>
      <w:pPr>
        <w:pStyle w:val="ListParagraph"/>
        <w:numPr>
          <w:ilvl w:val="0"/>
          <w:numId w:val="2"/>
        </w:numPr>
        <w:spacing w:after="80" w:line="290"/>
      </w:pPr>
      <w:r>
        <w:t xml:space="preserve">A typed configuration object (thresholds, weights, feature flags), retrieved from the model-config service with version_id</w:t>
      </w:r>
    </w:p>
    <w:p>
      <w:pPr>
        <w:pStyle w:val="Heading2"/>
        <w:spacing w:after="160" w:before="280"/>
      </w:pPr>
      <w:r>
        <w:t xml:space="preserve">5.2 Outputs</w:t>
      </w:r>
    </w:p>
    <w:p>
      <w:pPr>
        <w:spacing w:after="120" w:line="300"/>
      </w:pPr>
      <w:r>
        <w:t xml:space="preserve">An investigator emits:</w:t>
      </w:r>
    </w:p>
    <w:p>
      <w:pPr>
        <w:shd w:fill="F5F5F5" w:val="clear"/>
        <w:spacing w:after="0" w:line="260"/>
      </w:pPr>
      <w:r>
        <w:rPr>
          <w:rFonts w:ascii="Consolas" w:cs="Consolas" w:eastAsia="Consolas" w:hAnsi="Consolas"/>
          <w:sz w:val="18"/>
          <w:szCs w:val="18"/>
        </w:rPr>
        <w:t xml:space="preserve">{</w:t>
      </w:r>
    </w:p>
    <w:p>
      <w:pPr>
        <w:shd w:fill="F5F5F5" w:val="clear"/>
        <w:spacing w:after="0" w:line="260"/>
      </w:pPr>
      <w:r>
        <w:rPr>
          <w:rFonts w:ascii="Consolas" w:cs="Consolas" w:eastAsia="Consolas" w:hAnsi="Consolas"/>
          <w:sz w:val="18"/>
          <w:szCs w:val="18"/>
        </w:rPr>
        <w:t xml:space="preserve">  typology_id: string,                  // stable identifier</w:t>
      </w:r>
    </w:p>
    <w:p>
      <w:pPr>
        <w:shd w:fill="F5F5F5" w:val="clear"/>
        <w:spacing w:after="0" w:line="260"/>
      </w:pPr>
      <w:r>
        <w:rPr>
          <w:rFonts w:ascii="Consolas" w:cs="Consolas" w:eastAsia="Consolas" w:hAnsi="Consolas"/>
          <w:sz w:val="18"/>
          <w:szCs w:val="18"/>
        </w:rPr>
        <w:t xml:space="preserve">  typology_version: string,             // versioned with config</w:t>
      </w:r>
    </w:p>
    <w:p>
      <w:pPr>
        <w:shd w:fill="F5F5F5" w:val="clear"/>
        <w:spacing w:after="0" w:line="260"/>
      </w:pPr>
      <w:r>
        <w:rPr>
          <w:rFonts w:ascii="Consolas" w:cs="Consolas" w:eastAsia="Consolas" w:hAnsi="Consolas"/>
          <w:sz w:val="18"/>
          <w:szCs w:val="18"/>
        </w:rPr>
        <w:t xml:space="preserve">  verdict: "fired" | "partial" | "silent",</w:t>
      </w:r>
    </w:p>
    <w:p>
      <w:pPr>
        <w:shd w:fill="F5F5F5" w:val="clear"/>
        <w:spacing w:after="0" w:line="260"/>
      </w:pPr>
      <w:r>
        <w:rPr>
          <w:rFonts w:ascii="Consolas" w:cs="Consolas" w:eastAsia="Consolas" w:hAnsi="Consolas"/>
          <w:sz w:val="18"/>
          <w:szCs w:val="18"/>
        </w:rPr>
        <w:t xml:space="preserve">  raw_score: number,                    // 0..100, pre-synthesis</w:t>
      </w:r>
    </w:p>
    <w:p>
      <w:pPr>
        <w:shd w:fill="F5F5F5" w:val="clear"/>
        <w:spacing w:after="0" w:line="260"/>
      </w:pPr>
      <w:r>
        <w:rPr>
          <w:rFonts w:ascii="Consolas" w:cs="Consolas" w:eastAsia="Consolas" w:hAnsi="Consolas"/>
          <w:sz w:val="18"/>
          <w:szCs w:val="18"/>
        </w:rPr>
        <w:t xml:space="preserve">  signals: [                            // structured trace of every check</w:t>
      </w:r>
    </w:p>
    <w:p>
      <w:pPr>
        <w:shd w:fill="F5F5F5" w:val="clear"/>
        <w:spacing w:after="0" w:line="260"/>
      </w:pPr>
      <w:r>
        <w:rPr>
          <w:rFonts w:ascii="Consolas" w:cs="Consolas" w:eastAsia="Consolas" w:hAnsi="Consolas"/>
          <w:sz w:val="18"/>
          <w:szCs w:val="18"/>
        </w:rPr>
        <w:t xml:space="preserve">    { signal_id, value, threshold, contributed: boolean, weight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evidence: [                           // emitted to the case ledger</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evidence_id, severity, claim,</w:t>
      </w:r>
    </w:p>
    <w:p>
      <w:pPr>
        <w:shd w:fill="F5F5F5" w:val="clear"/>
        <w:spacing w:after="0" w:line="260"/>
      </w:pPr>
      <w:r>
        <w:rPr>
          <w:rFonts w:ascii="Consolas" w:cs="Consolas" w:eastAsia="Consolas" w:hAnsi="Consolas"/>
          <w:sz w:val="18"/>
          <w:szCs w:val="18"/>
        </w:rPr>
        <w:t xml:space="preserve">      weight_per_typology: { [typology_id]: number },</w:t>
      </w:r>
    </w:p>
    <w:p>
      <w:pPr>
        <w:shd w:fill="F5F5F5" w:val="clear"/>
        <w:spacing w:after="0" w:line="260"/>
      </w:pPr>
      <w:r>
        <w:rPr>
          <w:rFonts w:ascii="Consolas" w:cs="Consolas" w:eastAsia="Consolas" w:hAnsi="Consolas"/>
          <w:sz w:val="18"/>
          <w:szCs w:val="18"/>
        </w:rPr>
        <w:t xml:space="preserve">      shared_with: [typology_id],</w:t>
      </w:r>
    </w:p>
    <w:p>
      <w:pPr>
        <w:shd w:fill="F5F5F5" w:val="clear"/>
        <w:spacing w:after="0" w:line="260"/>
      </w:pPr>
      <w:r>
        <w:rPr>
          <w:rFonts w:ascii="Consolas" w:cs="Consolas" w:eastAsia="Consolas" w:hAnsi="Consolas"/>
          <w:sz w:val="18"/>
          <w:szCs w:val="18"/>
        </w:rPr>
        <w:t xml:space="preserve">      source_table, source_record_id, source_version</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computed_at: timestamp</w:t>
      </w:r>
    </w:p>
    <w:p>
      <w:pPr>
        <w:shd w:fill="F5F5F5" w:val="clear"/>
        <w:spacing w:after="0" w:line="260"/>
      </w:pPr>
      <w:r>
        <w:rPr>
          <w:rFonts w:ascii="Consolas" w:cs="Consolas" w:eastAsia="Consolas" w:hAnsi="Consolas"/>
          <w:sz w:val="18"/>
          <w:szCs w:val="18"/>
        </w:rPr>
        <w:t xml:space="preserve">}</w:t>
      </w:r>
    </w:p>
    <w:p>
      <w:pPr>
        <w:spacing w:after="120" w:line="300"/>
      </w:pPr>
    </w:p>
    <w:p>
      <w:pPr>
        <w:pStyle w:val="Heading2"/>
        <w:spacing w:after="160" w:before="280"/>
      </w:pPr>
      <w:r>
        <w:t xml:space="preserve">5.3 Determinism</w:t>
      </w:r>
    </w:p>
    <w:p>
      <w:pPr>
        <w:spacing w:after="120" w:line="300"/>
      </w:pPr>
      <w:r>
        <w:t xml:space="preserve">An investigator must be deterministic given (case payload, config version, relational state as-of timestamp, reference-data snapshot). Re-running an investigator on the same inputs must produce bit-identical outputs. This is non-negotiable: it is what allows challenger comparisons, MRM stability tests, and regulatory replay.</w:t>
      </w:r>
    </w:p>
    <w:p>
      <w:pPr>
        <w:pStyle w:val="Heading2"/>
        <w:spacing w:after="160" w:before="280"/>
      </w:pPr>
      <w:r>
        <w:t xml:space="preserve">5.4 Latency budget</w:t>
      </w:r>
    </w:p>
    <w:p>
      <w:pPr>
        <w:spacing w:after="120" w:line="300"/>
      </w:pPr>
      <w:r>
        <w:t xml:space="preserve">Per-investigator latency budget at the L1 surface is 200ms p95, with the full N-investigator + synthesizer chain budgeted at 1s p95. Investigators that require heavier computation (e.g., cluster expansion for L3 dossiers) run asynchronously and write back to the case via the event log.</w:t>
      </w:r>
    </w:p>
    <w:p>
      <w:pPr>
        <w:pStyle w:val="Heading2"/>
        <w:spacing w:after="160" w:before="280"/>
      </w:pPr>
      <w:r>
        <w:t xml:space="preserve">5.5 Adding a new typology</w:t>
      </w:r>
    </w:p>
    <w:p>
      <w:pPr>
        <w:spacing w:after="120" w:line="300"/>
      </w:pPr>
      <w:r>
        <w:t xml:space="preserve">A new typology investigator is added by:</w:t>
      </w:r>
    </w:p>
    <w:p>
      <w:pPr>
        <w:pStyle w:val="ListParagraph"/>
        <w:numPr>
          <w:ilvl w:val="0"/>
          <w:numId w:val="2"/>
        </w:numPr>
        <w:spacing w:after="80" w:line="290"/>
      </w:pPr>
      <w:r>
        <w:t xml:space="preserve">Registering a typology_id in the model registry with a version_id and configuration schema</w:t>
      </w:r>
    </w:p>
    <w:p>
      <w:pPr>
        <w:pStyle w:val="ListParagraph"/>
        <w:numPr>
          <w:ilvl w:val="0"/>
          <w:numId w:val="2"/>
        </w:numPr>
        <w:spacing w:after="80" w:line="290"/>
      </w:pPr>
      <w:r>
        <w:t xml:space="preserve">Implementing the I/O contract above as a service that the case-resolver can invoke</w:t>
      </w:r>
    </w:p>
    <w:p>
      <w:pPr>
        <w:pStyle w:val="ListParagraph"/>
        <w:numPr>
          <w:ilvl w:val="0"/>
          <w:numId w:val="2"/>
        </w:numPr>
        <w:spacing w:after="80" w:line="290"/>
      </w:pPr>
      <w:r>
        <w:t xml:space="preserve">Declaring which derived features the investigator consumes (Section 6); the feature service backfills as needed</w:t>
      </w:r>
    </w:p>
    <w:p>
      <w:pPr>
        <w:pStyle w:val="ListParagraph"/>
        <w:numPr>
          <w:ilvl w:val="0"/>
          <w:numId w:val="2"/>
        </w:numPr>
        <w:spacing w:after="80" w:line="290"/>
      </w:pPr>
      <w:r>
        <w:t xml:space="preserve">Declaring evidence-emission patterns so the synthesizer's dedup logic can recognise shared evidence with existing typologies</w:t>
      </w:r>
    </w:p>
    <w:p>
      <w:pPr>
        <w:pStyle w:val="ListParagraph"/>
        <w:numPr>
          <w:ilvl w:val="0"/>
          <w:numId w:val="2"/>
        </w:numPr>
        <w:spacing w:after="80" w:line="290"/>
      </w:pPr>
      <w:r>
        <w:t xml:space="preserve">Submitting the model package to MRM for documented stability, sensitivity, and challenger evaluation</w:t>
      </w:r>
    </w:p>
    <w:p>
      <w:pPr>
        <w:spacing w:after="120" w:line="300"/>
      </w:pPr>
      <w:r>
        <w:t xml:space="preserve">No changes to the storage schema, the synthesizer, or the analyst surfaces are required to add a new typology.</w:t>
      </w:r>
    </w:p>
    <w:p>
      <w:r>
        <w:br w:type="page"/>
      </w:r>
    </w:p>
    <w:p>
      <w:pPr>
        <w:pStyle w:val="Heading1"/>
        <w:spacing w:after="200" w:before="360"/>
      </w:pPr>
      <w:r>
        <w:t xml:space="preserve">6. Derived feature catalog</w:t>
      </w:r>
    </w:p>
    <w:p>
      <w:pPr>
        <w:spacing w:after="120" w:line="300"/>
      </w:pPr>
      <w:r>
        <w:t xml:space="preserve">Derived features are computed from the canonical data model on a scheduled cadence and exposed to investigators through a feature service. Recomputation is incremental; full backfill is supported via event-log replay. Each feature carries its definition, its inputs, and its as-of timestamp semantics.</w:t>
      </w:r>
    </w:p>
    <w:p>
      <w:pPr>
        <w:pStyle w:val="Heading2"/>
        <w:spacing w:after="160" w:before="280"/>
      </w:pPr>
      <w:r>
        <w:t xml:space="preserve">6.1 Relationship-derived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1900"/>
        <w:gridCol w:w="1360"/>
      </w:tblGrid>
      <w:tr>
        <w:tc>
          <w:tcPr>
            <w:tcW w:type="dxa" w:w="27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Feature</w:t>
            </w:r>
          </w:p>
        </w:tc>
        <w:tc>
          <w:tcPr>
            <w:tcW w:type="dxa" w:w="34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Definition</w:t>
            </w:r>
          </w:p>
        </w:tc>
        <w:tc>
          <w:tcPr>
            <w:tcW w:type="dxa" w:w="19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Inputs</w:t>
            </w:r>
          </w:p>
        </w:tc>
        <w:tc>
          <w:tcPr>
            <w:tcW w:type="dxa" w:w="13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Cadence</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address_co_tenancy_count</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Distinct active parties registered at the same address-unit within window W</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party_address</w:t>
            </w:r>
          </w:p>
        </w:tc>
        <w:tc>
          <w:tcPr>
            <w:tcW w:type="dxa" w:w="1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Nightly + on-demand</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address_co_tenancy_percentile</w:t>
            </w:r>
          </w:p>
        </w:tc>
        <w:tc>
          <w:tcPr>
            <w:tcW w:type="dxa" w:w="3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Percentile of co_tenancy_count within the address's jurisdiction or corridor</w:t>
            </w:r>
          </w:p>
        </w:tc>
        <w:tc>
          <w:tcPr>
            <w:tcW w:type="dxa" w:w="19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co_tenancy_count distribution</w:t>
            </w:r>
          </w:p>
        </w:tc>
        <w:tc>
          <w:tcPr>
            <w:tcW w:type="dxa" w:w="13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Nightly</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csp_concentration_count</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Distinct active parties serviced by the same CSP within window W</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party_csp</w:t>
            </w:r>
          </w:p>
        </w:tc>
        <w:tc>
          <w:tcPr>
            <w:tcW w:type="dxa" w:w="1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Nightly + on-demand</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csp_concentration_percentile</w:t>
            </w:r>
          </w:p>
        </w:tc>
        <w:tc>
          <w:tcPr>
            <w:tcW w:type="dxa" w:w="3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Percentile within the CSP's jurisdiction</w:t>
            </w:r>
          </w:p>
        </w:tc>
        <w:tc>
          <w:tcPr>
            <w:tcW w:type="dxa" w:w="19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concentration distribution</w:t>
            </w:r>
          </w:p>
        </w:tc>
        <w:tc>
          <w:tcPr>
            <w:tcW w:type="dxa" w:w="13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Nightly</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director_multiplicity_count</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Distinct active parties directed by the same person within window W</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party_director</w:t>
            </w:r>
          </w:p>
        </w:tc>
        <w:tc>
          <w:tcPr>
            <w:tcW w:type="dxa" w:w="1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Nightly + on-demand</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director_cluster_id</w:t>
            </w:r>
          </w:p>
        </w:tc>
        <w:tc>
          <w:tcPr>
            <w:tcW w:type="dxa" w:w="3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Connected-component label over the bipartite (person, party) relation within window W; computed nightly</w:t>
            </w:r>
          </w:p>
        </w:tc>
        <w:tc>
          <w:tcPr>
            <w:tcW w:type="dxa" w:w="19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party_director</w:t>
            </w:r>
          </w:p>
        </w:tc>
        <w:tc>
          <w:tcPr>
            <w:tcW w:type="dxa" w:w="13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Nightly</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director_cluster_size</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Number of parties in the director's cluster</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cluster table</w:t>
            </w:r>
          </w:p>
        </w:tc>
        <w:tc>
          <w:tcPr>
            <w:tcW w:type="dxa" w:w="1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Nightly</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director_cluster_alert_count</w:t>
            </w:r>
          </w:p>
        </w:tc>
        <w:tc>
          <w:tcPr>
            <w:tcW w:type="dxa" w:w="3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Sum of prior cases on parties in the cluster within window W</w:t>
            </w:r>
          </w:p>
        </w:tc>
        <w:tc>
          <w:tcPr>
            <w:tcW w:type="dxa" w:w="19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cluster + cases</w:t>
            </w:r>
          </w:p>
        </w:tc>
        <w:tc>
          <w:tcPr>
            <w:tcW w:type="dxa" w:w="13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Nightly + on-demand</w:t>
            </w:r>
          </w:p>
        </w:tc>
      </w:tr>
    </w:tbl>
    <w:p>
      <w:pPr>
        <w:spacing w:after="120" w:line="300"/>
      </w:pPr>
    </w:p>
    <w:p>
      <w:pPr>
        <w:pStyle w:val="Heading2"/>
        <w:spacing w:after="160" w:before="280"/>
      </w:pPr>
      <w:r>
        <w:t xml:space="preserve">6.2 Transactional and behavioural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260"/>
      </w:tblGrid>
      <w:tr>
        <w:tc>
          <w:tcPr>
            <w:tcW w:type="dxa" w:w="27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Feature</w:t>
            </w:r>
          </w:p>
        </w:tc>
        <w:tc>
          <w:tcPr>
            <w:tcW w:type="dxa" w:w="44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Definition</w:t>
            </w:r>
          </w:p>
        </w:tc>
        <w:tc>
          <w:tcPr>
            <w:tcW w:type="dxa" w:w="22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Inputs</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originator_corridor_diversity</w:t>
            </w:r>
          </w:p>
        </w:tc>
        <w:tc>
          <w:tcPr>
            <w:tcW w:type="dxa" w:w="4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Distinct corridors the originator transacted on in window W</w:t>
            </w:r>
          </w:p>
        </w:tc>
        <w:tc>
          <w:tcPr>
            <w:tcW w:type="dxa" w:w="22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wires</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originator_counterparty_diversity</w:t>
            </w:r>
          </w:p>
        </w:tc>
        <w:tc>
          <w:tcPr>
            <w:tcW w:type="dxa" w:w="4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Distinct beneficiaries in window W</w:t>
            </w:r>
          </w:p>
        </w:tc>
        <w:tc>
          <w:tcPr>
            <w:tcW w:type="dxa" w:w="22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wires</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originator_corridor_shift_score</w:t>
            </w:r>
          </w:p>
        </w:tc>
        <w:tc>
          <w:tcPr>
            <w:tcW w:type="dxa" w:w="4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Distance between recent and historical corridor distribution</w:t>
            </w:r>
          </w:p>
        </w:tc>
        <w:tc>
          <w:tcPr>
            <w:tcW w:type="dxa" w:w="22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wires (long &amp; short window)</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wire_amount_zscore</w:t>
            </w:r>
          </w:p>
        </w:tc>
        <w:tc>
          <w:tcPr>
            <w:tcW w:type="dxa" w:w="4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Z-score against the originator's historical distribution</w:t>
            </w:r>
          </w:p>
        </w:tc>
        <w:tc>
          <w:tcPr>
            <w:tcW w:type="dxa" w:w="22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wires</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beneficiary_first_wire_age</w:t>
            </w:r>
          </w:p>
        </w:tc>
        <w:tc>
          <w:tcPr>
            <w:tcW w:type="dxa" w:w="4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Days between beneficiary incorporation and first wire from any originator</w:t>
            </w:r>
          </w:p>
        </w:tc>
        <w:tc>
          <w:tcPr>
            <w:tcW w:type="dxa" w:w="22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registry + wires</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beneficiary_capital_to_amount_ratio</w:t>
            </w:r>
          </w:p>
        </w:tc>
        <w:tc>
          <w:tcPr>
            <w:tcW w:type="dxa" w:w="4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Wire amount / beneficiary paid-in capital (USD-equivalent)</w:t>
            </w:r>
          </w:p>
        </w:tc>
        <w:tc>
          <w:tcPr>
            <w:tcW w:type="dxa" w:w="22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registry + wires</w:t>
            </w:r>
          </w:p>
        </w:tc>
      </w:tr>
    </w:tbl>
    <w:p>
      <w:pPr>
        <w:spacing w:after="120" w:line="300"/>
      </w:pPr>
    </w:p>
    <w:p>
      <w:pPr>
        <w:pStyle w:val="Heading2"/>
        <w:spacing w:after="160" w:before="280"/>
      </w:pPr>
      <w:r>
        <w:t xml:space="preserve">6.3 Reference-data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260"/>
      </w:tblGrid>
      <w:tr>
        <w:tc>
          <w:tcPr>
            <w:tcW w:type="dxa" w:w="27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Feature</w:t>
            </w:r>
          </w:p>
        </w:tc>
        <w:tc>
          <w:tcPr>
            <w:tcW w:type="dxa" w:w="44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Definition</w:t>
            </w:r>
          </w:p>
        </w:tc>
        <w:tc>
          <w:tcPr>
            <w:tcW w:type="dxa" w:w="22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Inputs</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corridor_risk_score</w:t>
            </w:r>
          </w:p>
        </w:tc>
        <w:tc>
          <w:tcPr>
            <w:tcW w:type="dxa" w:w="4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Composite over jurisdictional risk indices, sanctions density, and active advisories</w:t>
            </w:r>
          </w:p>
        </w:tc>
        <w:tc>
          <w:tcPr>
            <w:tcW w:type="dxa" w:w="22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watchlists + advisories + corridor</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hs_advisory_match</w:t>
            </w:r>
          </w:p>
        </w:tc>
        <w:tc>
          <w:tcPr>
            <w:tcW w:type="dxa" w:w="4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Boolean: HS code is named in an advisory effective at value_date</w:t>
            </w:r>
          </w:p>
        </w:tc>
        <w:tc>
          <w:tcPr>
            <w:tcW w:type="dxa" w:w="22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advisories versioned to value_date</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hs_activity_coherence</w:t>
            </w:r>
          </w:p>
        </w:tc>
        <w:tc>
          <w:tcPr>
            <w:tcW w:type="dxa" w:w="4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Distance between declared activity (NAICS/ISIC/free-text) and HS code embedding</w:t>
            </w:r>
          </w:p>
        </w:tc>
        <w:tc>
          <w:tcPr>
            <w:tcW w:type="dxa" w:w="22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registry + HS reference</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watchlist_hit_confidence</w:t>
            </w:r>
          </w:p>
        </w:tc>
        <w:tc>
          <w:tcPr>
            <w:tcW w:type="dxa" w:w="4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Best name-match score against versioned watchlists</w:t>
            </w:r>
          </w:p>
        </w:tc>
        <w:tc>
          <w:tcPr>
            <w:tcW w:type="dxa" w:w="22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watchlists at value_date</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sanctioned_within_2hops</w:t>
            </w:r>
          </w:p>
        </w:tc>
        <w:tc>
          <w:tcPr>
            <w:tcW w:type="dxa" w:w="4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Any party or director related within 2 association-table hops carries a watchlist match</w:t>
            </w:r>
          </w:p>
        </w:tc>
        <w:tc>
          <w:tcPr>
            <w:tcW w:type="dxa" w:w="22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association tables + watchlists</w:t>
            </w:r>
          </w:p>
        </w:tc>
      </w:tr>
    </w:tbl>
    <w:p>
      <w:pPr>
        <w:spacing w:after="120" w:line="300"/>
      </w:pPr>
    </w:p>
    <w:p>
      <w:pPr>
        <w:pStyle w:val="Heading2"/>
        <w:spacing w:after="160" w:before="280"/>
      </w:pPr>
      <w:r>
        <w:t xml:space="preserve">6.4 As-of semantics</w:t>
      </w:r>
    </w:p>
    <w:p>
      <w:pPr>
        <w:spacing w:after="120" w:line="300"/>
      </w:pPr>
      <w:r>
        <w:t xml:space="preserve">Every derived feature is queryable both at current and as-of a specified timestamp. Investigators that examine a wire at value_date V must request features as-of V to avoid temporal leakage. The feature service rejects requests for as-of timestamps outside its retention window rather than silently substituting current values.</w:t>
      </w:r>
    </w:p>
    <w:p>
      <w:r>
        <w:br w:type="page"/>
      </w:r>
    </w:p>
    <w:p>
      <w:pPr>
        <w:pStyle w:val="Heading1"/>
        <w:spacing w:after="200" w:before="360"/>
      </w:pPr>
      <w:r>
        <w:t xml:space="preserve">7. Evidence ledger</w:t>
      </w:r>
    </w:p>
    <w:p>
      <w:pPr>
        <w:pStyle w:val="Heading2"/>
        <w:spacing w:after="160" w:before="280"/>
      </w:pPr>
      <w:r>
        <w:t xml:space="preserve">7.1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Field</w:t>
            </w:r>
          </w:p>
        </w:tc>
        <w:tc>
          <w:tcPr>
            <w:tcW w:type="dxa" w:w="22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Type</w:t>
            </w:r>
          </w:p>
        </w:tc>
        <w:tc>
          <w:tcPr>
            <w:tcW w:type="dxa" w:w="47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Description</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evidence_id</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string</w:t>
            </w:r>
          </w:p>
        </w:tc>
        <w:tc>
          <w:tcPr>
            <w:tcW w:type="dxa" w:w="4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Stable within a case; deterministically derived from inputs</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case_id</w:t>
            </w:r>
          </w:p>
        </w:tc>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string</w:t>
            </w:r>
          </w:p>
        </w:tc>
        <w:tc>
          <w:tcPr>
            <w:tcW w:type="dxa" w:w="47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Parent case</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typology_id</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string</w:t>
            </w:r>
          </w:p>
        </w:tc>
        <w:tc>
          <w:tcPr>
            <w:tcW w:type="dxa" w:w="4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Investigator that emitted the item</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severity</w:t>
            </w:r>
          </w:p>
        </w:tc>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enum</w:t>
            </w:r>
          </w:p>
        </w:tc>
        <w:tc>
          <w:tcPr>
            <w:tcW w:type="dxa" w:w="47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high | medium | low</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claim</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string</w:t>
            </w:r>
          </w:p>
        </w:tc>
        <w:tc>
          <w:tcPr>
            <w:tcW w:type="dxa" w:w="4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Plain-language statement; templated, parameterised on source values</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weight_per_typology</w:t>
            </w:r>
          </w:p>
        </w:tc>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map&lt;string, number&gt;</w:t>
            </w:r>
          </w:p>
        </w:tc>
        <w:tc>
          <w:tcPr>
            <w:tcW w:type="dxa" w:w="47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Per-typology contribution; 0 for typologies that do not consume this signal</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shared_with</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array&lt;string&gt;</w:t>
            </w:r>
          </w:p>
        </w:tc>
        <w:tc>
          <w:tcPr>
            <w:tcW w:type="dxa" w:w="4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Typology IDs that share this evidence</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signal_id</w:t>
            </w:r>
          </w:p>
        </w:tc>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string</w:t>
            </w:r>
          </w:p>
        </w:tc>
        <w:tc>
          <w:tcPr>
            <w:tcW w:type="dxa" w:w="47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Pointer back to the structured signal in the investigator's output</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source_table</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string</w:t>
            </w:r>
          </w:p>
        </w:tc>
        <w:tc>
          <w:tcPr>
            <w:tcW w:type="dxa" w:w="4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Logical source identifier (e.g., 'addresses_derived')</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source_record_id</w:t>
            </w:r>
          </w:p>
        </w:tc>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string</w:t>
            </w:r>
          </w:p>
        </w:tc>
        <w:tc>
          <w:tcPr>
            <w:tcW w:type="dxa" w:w="47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Specific record (e.g., 'ADDR-JAFZA-B4-1208')</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source_version</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string</w:t>
            </w:r>
          </w:p>
        </w:tc>
        <w:tc>
          <w:tcPr>
            <w:tcW w:type="dxa" w:w="4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Snapshot version where applicable</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computed_at</w:t>
            </w:r>
          </w:p>
        </w:tc>
        <w:tc>
          <w:tcPr>
            <w:tcW w:type="dxa" w:w="22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timestamp</w:t>
            </w:r>
          </w:p>
        </w:tc>
        <w:tc>
          <w:tcPr>
            <w:tcW w:type="dxa" w:w="47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Investigator emission time</w:t>
            </w:r>
          </w:p>
        </w:tc>
      </w:tr>
    </w:tbl>
    <w:p>
      <w:pPr>
        <w:spacing w:after="120" w:line="300"/>
      </w:pPr>
    </w:p>
    <w:p>
      <w:pPr>
        <w:pStyle w:val="Heading2"/>
        <w:spacing w:after="160" w:before="280"/>
      </w:pPr>
      <w:r>
        <w:t xml:space="preserve">7.2 Determinism of evidence_id</w:t>
      </w:r>
    </w:p>
    <w:p>
      <w:pPr>
        <w:spacing w:after="120" w:line="300"/>
      </w:pPr>
      <w:r>
        <w:t xml:space="preserve">evidence_id is computed as a deterministic hash of (case_id, typology_id, signal_id, source_version). Re-running an investigator with unchanged inputs produces identical evidence_ids. This is what allows the analyst-surface layer to track per-evidence interactions (analyst comments, manual reweights, dismissals) across investigator re-runs without losing state.</w:t>
      </w:r>
    </w:p>
    <w:p>
      <w:pPr>
        <w:pStyle w:val="Heading2"/>
        <w:spacing w:after="160" w:before="280"/>
      </w:pPr>
      <w:r>
        <w:t xml:space="preserve">7.3 Shared-evidence semantics</w:t>
      </w:r>
    </w:p>
    <w:p>
      <w:pPr>
        <w:spacing w:after="120" w:line="300"/>
      </w:pPr>
      <w:r>
        <w:t xml:space="preserve">The shared_with field is populated by the investigator at emission time, declaring which other typologies consume the same underlying signal. Examples:</w:t>
      </w:r>
    </w:p>
    <w:p>
      <w:pPr>
        <w:pStyle w:val="ListParagraph"/>
        <w:numPr>
          <w:ilvl w:val="0"/>
          <w:numId w:val="2"/>
        </w:numPr>
        <w:spacing w:after="80" w:line="290"/>
      </w:pPr>
      <w:r>
        <w:t xml:space="preserve">'Address has 14 active co-tenants above the 95th percentile' is shared between front-company and geographic-layering typologies - both consume address co-tenancy as an input.</w:t>
      </w:r>
    </w:p>
    <w:p>
      <w:pPr>
        <w:pStyle w:val="ListParagraph"/>
        <w:numPr>
          <w:ilvl w:val="0"/>
          <w:numId w:val="2"/>
        </w:numPr>
        <w:spacing w:after="80" w:line="290"/>
      </w:pPr>
      <w:r>
        <w:t xml:space="preserve">'HS code named in active BIS advisory' is unique to the trade-evasion typology - the front-company typology does not consume HS-advisory features.</w:t>
      </w:r>
    </w:p>
    <w:p>
      <w:pPr>
        <w:pStyle w:val="ListParagraph"/>
        <w:numPr>
          <w:ilvl w:val="0"/>
          <w:numId w:val="2"/>
        </w:numPr>
        <w:spacing w:after="80" w:line="290"/>
      </w:pPr>
      <w:r>
        <w:t xml:space="preserve">'Beneficiary capital is below jurisdictional floor' is shared between front-company and trade-evasion typologies - both treat low capital as an amplifier.</w:t>
      </w:r>
    </w:p>
    <w:p>
      <w:pPr>
        <w:spacing w:after="120" w:line="300"/>
      </w:pPr>
      <w:r>
        <w:t xml:space="preserve">The synthesizer (Section 8) consumes shared_with to deduplicate contributions. Misdeclaration of shared_with is the primary failure mode for synthesizer correctness; it is therefore validated against a typology-pair compatibility matrix maintained alongside the model registry.</w:t>
      </w:r>
    </w:p>
    <w:p>
      <w:pPr>
        <w:pStyle w:val="Heading1"/>
        <w:spacing w:after="200" w:before="360"/>
      </w:pPr>
      <w:r>
        <w:t xml:space="preserve">8. Confidence synthesizer</w:t>
      </w:r>
    </w:p>
    <w:p>
      <w:pPr>
        <w:pStyle w:val="Heading2"/>
        <w:spacing w:after="160" w:before="280"/>
      </w:pPr>
      <w:r>
        <w:t xml:space="preserve">8.1 Inputs</w:t>
      </w:r>
    </w:p>
    <w:p>
      <w:pPr>
        <w:spacing w:after="120" w:line="300"/>
      </w:pPr>
      <w:r>
        <w:t xml:space="preserve">The synthesizer receives, per case:</w:t>
      </w:r>
    </w:p>
    <w:p>
      <w:pPr>
        <w:pStyle w:val="ListParagraph"/>
        <w:numPr>
          <w:ilvl w:val="0"/>
          <w:numId w:val="2"/>
        </w:numPr>
        <w:spacing w:after="80" w:line="290"/>
      </w:pPr>
      <w:r>
        <w:t xml:space="preserve">Verdicts and raw_scores from every typology investigator that ran</w:t>
      </w:r>
    </w:p>
    <w:p>
      <w:pPr>
        <w:pStyle w:val="ListParagraph"/>
        <w:numPr>
          <w:ilvl w:val="0"/>
          <w:numId w:val="2"/>
        </w:numPr>
        <w:spacing w:after="80" w:line="290"/>
      </w:pPr>
      <w:r>
        <w:t xml:space="preserve">The case's full evidence ledger</w:t>
      </w:r>
    </w:p>
    <w:p>
      <w:pPr>
        <w:pStyle w:val="ListParagraph"/>
        <w:numPr>
          <w:ilvl w:val="0"/>
          <w:numId w:val="2"/>
        </w:numPr>
        <w:spacing w:after="80" w:line="290"/>
      </w:pPr>
      <w:r>
        <w:t xml:space="preserve">A configuration object versioned in the model registry, including per-typology calibration parameters, combination parameters, and capping/floor parameters</w:t>
      </w:r>
    </w:p>
    <w:p>
      <w:pPr>
        <w:pStyle w:val="Heading2"/>
        <w:spacing w:after="160" w:before="280"/>
      </w:pPr>
      <w:r>
        <w:t xml:space="preserve">8.2 Computation</w:t>
      </w:r>
    </w:p>
    <w:p>
      <w:pPr>
        <w:spacing w:after="120" w:line="300"/>
      </w:pPr>
      <w:r>
        <w:t xml:space="preserve">The synthesizer operates on the evidence ledger directly rather than on the raw_scores, which is what allows correct deduplication. The reference computation:</w:t>
      </w:r>
    </w:p>
    <w:p>
      <w:pPr>
        <w:shd w:fill="F5F5F5" w:val="clear"/>
        <w:spacing w:after="0" w:line="260"/>
      </w:pPr>
      <w:r>
        <w:rPr>
          <w:rFonts w:ascii="Consolas" w:cs="Consolas" w:eastAsia="Consolas" w:hAnsi="Consolas"/>
          <w:sz w:val="18"/>
          <w:szCs w:val="18"/>
        </w:rPr>
        <w:t xml:space="preserve">// 1. Group evidence by underlying signal</w:t>
      </w:r>
    </w:p>
    <w:p>
      <w:pPr>
        <w:shd w:fill="F5F5F5" w:val="clear"/>
        <w:spacing w:after="0" w:line="260"/>
      </w:pPr>
      <w:r>
        <w:rPr>
          <w:rFonts w:ascii="Consolas" w:cs="Consolas" w:eastAsia="Consolas" w:hAnsi="Consolas"/>
          <w:sz w:val="18"/>
          <w:szCs w:val="18"/>
        </w:rPr>
        <w:t xml:space="preserve">groups = group_by(evidence, key=(signal_id, source_record_id, source_version))</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2. For each group, take the maximum weight across the</w:t>
      </w:r>
    </w:p>
    <w:p>
      <w:pPr>
        <w:shd w:fill="F5F5F5" w:val="clear"/>
        <w:spacing w:after="0" w:line="260"/>
      </w:pPr>
      <w:r>
        <w:rPr>
          <w:rFonts w:ascii="Consolas" w:cs="Consolas" w:eastAsia="Consolas" w:hAnsi="Consolas"/>
          <w:sz w:val="18"/>
          <w:szCs w:val="18"/>
        </w:rPr>
        <w:t xml:space="preserve">//    typologies that share it. This is the dedup step.</w:t>
      </w:r>
    </w:p>
    <w:p>
      <w:pPr>
        <w:shd w:fill="F5F5F5" w:val="clear"/>
        <w:spacing w:after="0" w:line="260"/>
      </w:pPr>
      <w:r>
        <w:rPr>
          <w:rFonts w:ascii="Consolas" w:cs="Consolas" w:eastAsia="Consolas" w:hAnsi="Consolas"/>
          <w:sz w:val="18"/>
          <w:szCs w:val="18"/>
        </w:rPr>
        <w:t xml:space="preserve">for g in groups:</w:t>
      </w:r>
    </w:p>
    <w:p>
      <w:pPr>
        <w:shd w:fill="F5F5F5" w:val="clear"/>
        <w:spacing w:after="0" w:line="260"/>
      </w:pPr>
      <w:r>
        <w:rPr>
          <w:rFonts w:ascii="Consolas" w:cs="Consolas" w:eastAsia="Consolas" w:hAnsi="Consolas"/>
          <w:sz w:val="18"/>
          <w:szCs w:val="18"/>
        </w:rPr>
        <w:t xml:space="preserve">    g.effective_weight = max(</w:t>
      </w:r>
    </w:p>
    <w:p>
      <w:pPr>
        <w:shd w:fill="F5F5F5" w:val="clear"/>
        <w:spacing w:after="0" w:line="260"/>
      </w:pPr>
      <w:r>
        <w:rPr>
          <w:rFonts w:ascii="Consolas" w:cs="Consolas" w:eastAsia="Consolas" w:hAnsi="Consolas"/>
          <w:sz w:val="18"/>
          <w:szCs w:val="18"/>
        </w:rPr>
        <w:t xml:space="preserve">        g.evidence.weight_per_typology[t]</w:t>
      </w:r>
    </w:p>
    <w:p>
      <w:pPr>
        <w:shd w:fill="F5F5F5" w:val="clear"/>
        <w:spacing w:after="0" w:line="260"/>
      </w:pPr>
      <w:r>
        <w:rPr>
          <w:rFonts w:ascii="Consolas" w:cs="Consolas" w:eastAsia="Consolas" w:hAnsi="Consolas"/>
          <w:sz w:val="18"/>
          <w:szCs w:val="18"/>
        </w:rPr>
        <w:t xml:space="preserve">        for t in g.evidence.shared_with</w:t>
      </w:r>
    </w:p>
    <w:p>
      <w:pPr>
        <w:shd w:fill="F5F5F5" w:val="clear"/>
        <w:spacing w:after="0" w:line="260"/>
      </w:pPr>
      <w:r>
        <w:rPr>
          <w:rFonts w:ascii="Consolas" w:cs="Consolas" w:eastAsia="Consolas" w:hAnsi="Consolas"/>
          <w:sz w:val="18"/>
          <w:szCs w:val="18"/>
        </w:rPr>
        <w:t xml:space="preserve">        if typology[t].verdict in ('fired', 'partial')</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3. Aggregate effective weights using the combination rule</w:t>
      </w:r>
    </w:p>
    <w:p>
      <w:pPr>
        <w:shd w:fill="F5F5F5" w:val="clear"/>
        <w:spacing w:after="0" w:line="260"/>
      </w:pPr>
      <w:r>
        <w:rPr>
          <w:rFonts w:ascii="Consolas" w:cs="Consolas" w:eastAsia="Consolas" w:hAnsi="Consolas"/>
          <w:sz w:val="18"/>
          <w:szCs w:val="18"/>
        </w:rPr>
        <w:t xml:space="preserve">//    (default: noisy-OR with calibration; alternative: weighted sum</w:t>
      </w:r>
    </w:p>
    <w:p>
      <w:pPr>
        <w:shd w:fill="F5F5F5" w:val="clear"/>
        <w:spacing w:after="0" w:line="260"/>
      </w:pPr>
      <w:r>
        <w:rPr>
          <w:rFonts w:ascii="Consolas" w:cs="Consolas" w:eastAsia="Consolas" w:hAnsi="Consolas"/>
          <w:sz w:val="18"/>
          <w:szCs w:val="18"/>
        </w:rPr>
        <w:t xml:space="preserve">//    with cap; configurable per deployment).</w:t>
      </w:r>
    </w:p>
    <w:p>
      <w:pPr>
        <w:shd w:fill="F5F5F5" w:val="clear"/>
        <w:spacing w:after="0" w:line="260"/>
      </w:pPr>
      <w:r>
        <w:rPr>
          <w:rFonts w:ascii="Consolas" w:cs="Consolas" w:eastAsia="Consolas" w:hAnsi="Consolas"/>
          <w:sz w:val="18"/>
          <w:szCs w:val="18"/>
        </w:rPr>
        <w:t xml:space="preserve">raw_synth = combine([g.effective_weight for g in groups])</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4. Apply per-typology calibration to map to empirical probability</w:t>
      </w:r>
    </w:p>
    <w:p>
      <w:pPr>
        <w:shd w:fill="F5F5F5" w:val="clear"/>
        <w:spacing w:after="0" w:line="260"/>
      </w:pPr>
      <w:r>
        <w:rPr>
          <w:rFonts w:ascii="Consolas" w:cs="Consolas" w:eastAsia="Consolas" w:hAnsi="Consolas"/>
          <w:sz w:val="18"/>
          <w:szCs w:val="18"/>
        </w:rPr>
        <w:t xml:space="preserve">//    of analyst escalation, then scale to 0..100.</w:t>
      </w:r>
    </w:p>
    <w:p>
      <w:pPr>
        <w:shd w:fill="F5F5F5" w:val="clear"/>
        <w:spacing w:after="0" w:line="260"/>
      </w:pPr>
      <w:r>
        <w:rPr>
          <w:rFonts w:ascii="Consolas" w:cs="Consolas" w:eastAsia="Consolas" w:hAnsi="Consolas"/>
          <w:sz w:val="18"/>
          <w:szCs w:val="18"/>
        </w:rPr>
        <w:t xml:space="preserve">synthesized_confidence = calibrate(raw_synth) * 100</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5. Compute decomposition for analyst transparency</w:t>
      </w:r>
    </w:p>
    <w:p>
      <w:pPr>
        <w:shd w:fill="F5F5F5" w:val="clear"/>
        <w:spacing w:after="0" w:line="260"/>
      </w:pPr>
      <w:r>
        <w:rPr>
          <w:rFonts w:ascii="Consolas" w:cs="Consolas" w:eastAsia="Consolas" w:hAnsi="Consolas"/>
          <w:sz w:val="18"/>
          <w:szCs w:val="18"/>
        </w:rPr>
        <w:t xml:space="preserve">contributing_evidence_ranked = sort(groups, by=effective_weight, desc)</w:t>
      </w:r>
    </w:p>
    <w:p>
      <w:pPr>
        <w:shd w:fill="F5F5F5" w:val="clear"/>
        <w:spacing w:after="0" w:line="260"/>
      </w:pPr>
      <w:r>
        <w:rPr>
          <w:rFonts w:ascii="Consolas" w:cs="Consolas" w:eastAsia="Consolas" w:hAnsi="Consolas"/>
          <w:sz w:val="18"/>
          <w:szCs w:val="18"/>
        </w:rPr>
        <w:t xml:space="preserve">dedup_adjustment = naive_sum(evidence) - raw_synth</w:t>
      </w:r>
    </w:p>
    <w:p>
      <w:pPr>
        <w:spacing w:after="120" w:line="300"/>
      </w:pPr>
    </w:p>
    <w:p>
      <w:pPr>
        <w:pStyle w:val="Heading2"/>
        <w:spacing w:after="160" w:before="280"/>
      </w:pPr>
      <w:r>
        <w:t xml:space="preserve">8.3 Decomposability</w:t>
      </w:r>
    </w:p>
    <w:p>
      <w:pPr>
        <w:spacing w:after="120" w:line="300"/>
      </w:pPr>
      <w:r>
        <w:t xml:space="preserve">The synthesizer's output is required to be fully decomposable. For any synthesized_confidence value, the system can produce, on demand, the ordered list of evidence contributions, the dedup_adjustment, and the calibration applied. Analyst surfaces consume this decomposition directly; there is no opaque score that cannot be explained back to source data.</w:t>
      </w:r>
    </w:p>
    <w:p>
      <w:pPr>
        <w:pStyle w:val="Heading2"/>
        <w:spacing w:after="160" w:before="280"/>
      </w:pPr>
      <w:r>
        <w:t xml:space="preserve">8.4 Calibration governance</w:t>
      </w:r>
    </w:p>
    <w:p>
      <w:pPr>
        <w:spacing w:after="120" w:line="300"/>
      </w:pPr>
      <w:r>
        <w:t xml:space="preserve">Calibration parameters are versioned in the model registry alongside the typology configurations. A calibration update is a model change and is governed under the same MRM process as the underlying investigators. Calibration drift is monitored continuously; the synthesizer emits per-batch metrics on the empirical relationship between synthesized_confidence and disposition outcome, which feeds the next calibration cycle.</w:t>
      </w:r>
    </w:p>
    <w:p>
      <w:r>
        <w:br w:type="page"/>
      </w:r>
    </w:p>
    <w:p>
      <w:pPr>
        <w:pStyle w:val="Heading1"/>
        <w:spacing w:after="200" w:before="360"/>
      </w:pPr>
      <w:r>
        <w:t xml:space="preserve">9. Demonstration dataset construction</w:t>
      </w:r>
    </w:p>
    <w:p>
      <w:pPr>
        <w:spacing w:after="120" w:line="300"/>
      </w:pPr>
      <w:r>
        <w:t xml:space="preserve">This section specifies how to build a demonstration dataset that exhibits the patterns Themis is designed to detect, at a density that is realistic, fully fictional, and reproducible from a fixed seed.</w:t>
      </w:r>
    </w:p>
    <w:p>
      <w:pPr>
        <w:pStyle w:val="Heading2"/>
        <w:spacing w:after="160" w:before="280"/>
      </w:pPr>
      <w:r>
        <w:t xml:space="preserve">9.1 Construction guarantees</w:t>
      </w:r>
    </w:p>
    <w:p>
      <w:pPr>
        <w:spacing w:after="120" w:line="300"/>
      </w:pPr>
      <w:r>
        <w:t xml:space="preserve">The dataset is built under three explicit guarantees:</w:t>
      </w:r>
    </w:p>
    <w:p>
      <w:pPr>
        <w:pStyle w:val="ListParagraph"/>
        <w:numPr>
          <w:ilvl w:val="0"/>
          <w:numId w:val="2"/>
        </w:numPr>
        <w:spacing w:after="80" w:line="290"/>
      </w:pPr>
      <w:r>
        <w:t xml:space="preserve">No record matches a real entity, individual, address, BIC, watchlist entry, or sanctioned party. Every name and identifier is verified against public sources to produce zero hits.</w:t>
      </w:r>
    </w:p>
    <w:p>
      <w:pPr>
        <w:pStyle w:val="ListParagraph"/>
        <w:numPr>
          <w:ilvl w:val="0"/>
          <w:numId w:val="2"/>
        </w:numPr>
        <w:spacing w:after="80" w:line="290"/>
      </w:pPr>
      <w:r>
        <w:t xml:space="preserve">Every field value is either drawn from a public real-world vocabulary (HS code, NAICS code, free-zone structure, ISO codes) or is fully synthesised by a deterministic generator.</w:t>
      </w:r>
    </w:p>
    <w:p>
      <w:pPr>
        <w:pStyle w:val="ListParagraph"/>
        <w:numPr>
          <w:ilvl w:val="0"/>
          <w:numId w:val="2"/>
        </w:numPr>
        <w:spacing w:after="80" w:line="290"/>
      </w:pPr>
      <w:r>
        <w:t xml:space="preserve">The dataset is internally consistent: every cross-reference between cases, parties, addresses, directors, and CSPs resolves correctly under the canonical schema, and every derived feature is computed from the same generator outputs.</w:t>
      </w:r>
    </w:p>
    <w:p>
      <w:pPr>
        <w:pStyle w:val="Heading2"/>
        <w:spacing w:after="160" w:before="280"/>
      </w:pPr>
      <w:r>
        <w:t xml:space="preserve">9.2 Generation strategy</w:t>
      </w:r>
    </w:p>
    <w:p>
      <w:pPr>
        <w:spacing w:after="120" w:line="300"/>
      </w:pPr>
      <w:r>
        <w:t xml:space="preserve">The dataset is built layer-by-layer, with each layer constraining the next. The build is driven from a single fixed RNG seed; re-running the generator with the same seed produces a bit-identical dataset.</w:t>
      </w:r>
    </w:p>
    <w:p>
      <w:pPr>
        <w:pStyle w:val="Heading3"/>
        <w:spacing w:after="120" w:before="220"/>
      </w:pPr>
      <w:r>
        <w:t xml:space="preserve">9.2.1 Layer 0 - anchor clusters</w:t>
      </w:r>
    </w:p>
    <w:p>
      <w:pPr>
        <w:spacing w:after="120" w:line="300"/>
      </w:pPr>
      <w:r>
        <w:t xml:space="preserve">Six to eight anchor clusters are created, each consisting of:</w:t>
      </w:r>
    </w:p>
    <w:p>
      <w:pPr>
        <w:pStyle w:val="ListParagraph"/>
        <w:numPr>
          <w:ilvl w:val="0"/>
          <w:numId w:val="2"/>
        </w:numPr>
        <w:spacing w:after="80" w:line="290"/>
      </w:pPr>
      <w:r>
        <w:t xml:space="preserve">One anchor address with a co-tenancy count drawn from a calibrated distribution (typically 8-18 active tenants)</w:t>
      </w:r>
    </w:p>
    <w:p>
      <w:pPr>
        <w:pStyle w:val="ListParagraph"/>
        <w:numPr>
          <w:ilvl w:val="0"/>
          <w:numId w:val="2"/>
        </w:numPr>
        <w:spacing w:after="80" w:line="290"/>
      </w:pPr>
      <w:r>
        <w:t xml:space="preserve">One anchor CSP servicing 60-80% of the cluster's parties</w:t>
      </w:r>
    </w:p>
    <w:p>
      <w:pPr>
        <w:pStyle w:val="ListParagraph"/>
        <w:numPr>
          <w:ilvl w:val="0"/>
          <w:numId w:val="2"/>
        </w:numPr>
        <w:spacing w:after="80" w:line="290"/>
      </w:pPr>
      <w:r>
        <w:t xml:space="preserve">One or two anchor directors, each tied to 4-6 parties in the cluster</w:t>
      </w:r>
    </w:p>
    <w:p>
      <w:pPr>
        <w:pStyle w:val="ListParagraph"/>
        <w:numPr>
          <w:ilvl w:val="0"/>
          <w:numId w:val="2"/>
        </w:numPr>
        <w:spacing w:after="80" w:line="290"/>
      </w:pPr>
      <w:r>
        <w:t xml:space="preserve">Six to eight beneficiary entities sharing varying subsets of the anchor address, anchor CSP, and anchor directors</w:t>
      </w:r>
    </w:p>
    <w:p>
      <w:pPr>
        <w:spacing w:after="120" w:line="300"/>
      </w:pPr>
      <w:r>
        <w:t xml:space="preserve">Cluster generation is what creates the cross-case structure that drives front-company and geographic-layering signals. Without explicit cluster generation, randomly-generated entities produce a dataset where every case is independent and the L2/L3 surfaces have nothing to display.</w:t>
      </w:r>
    </w:p>
    <w:p>
      <w:pPr>
        <w:pStyle w:val="Heading3"/>
        <w:spacing w:after="120" w:before="220"/>
      </w:pPr>
      <w:r>
        <w:t xml:space="preserve">9.2.2 Layer 1 - originators</w:t>
      </w:r>
    </w:p>
    <w:p>
      <w:pPr>
        <w:spacing w:after="120" w:line="300"/>
      </w:pPr>
      <w:r>
        <w:t xml:space="preserve">Twenty to forty US-based originator entities are generated with:</w:t>
      </w:r>
    </w:p>
    <w:p>
      <w:pPr>
        <w:pStyle w:val="ListParagraph"/>
        <w:numPr>
          <w:ilvl w:val="0"/>
          <w:numId w:val="2"/>
        </w:numPr>
        <w:spacing w:after="80" w:line="290"/>
      </w:pPr>
      <w:r>
        <w:t xml:space="preserve">NAICS codes drawn uniformly from a curated subset of small-mid-cap manufacturer/distributor codes (e.g., 332 series, 333 series, 423 series)</w:t>
      </w:r>
    </w:p>
    <w:p>
      <w:pPr>
        <w:pStyle w:val="ListParagraph"/>
        <w:numPr>
          <w:ilvl w:val="0"/>
          <w:numId w:val="2"/>
        </w:numPr>
        <w:spacing w:after="80" w:line="290"/>
      </w:pPr>
      <w:r>
        <w:t xml:space="preserve">State distribution weighted to industrial states (PA, OH, IL, MI, TX, CA), drawn from US Census state-business density data</w:t>
      </w:r>
    </w:p>
    <w:p>
      <w:pPr>
        <w:pStyle w:val="ListParagraph"/>
        <w:numPr>
          <w:ilvl w:val="0"/>
          <w:numId w:val="2"/>
        </w:numPr>
        <w:spacing w:after="80" w:line="290"/>
      </w:pPr>
      <w:r>
        <w:t xml:space="preserve">Establishment dates drawn from a distribution biased toward 5-25-year-old businesses</w:t>
      </w:r>
    </w:p>
    <w:p>
      <w:pPr>
        <w:pStyle w:val="ListParagraph"/>
        <w:numPr>
          <w:ilvl w:val="0"/>
          <w:numId w:val="2"/>
        </w:numPr>
        <w:spacing w:after="80" w:line="290"/>
      </w:pPr>
      <w:r>
        <w:t xml:space="preserve">Names generated from a regional industrial-naming template, verified against SEC EDGAR and OpenCorporates US to ensure zero collision with real entities</w:t>
      </w:r>
    </w:p>
    <w:p>
      <w:pPr>
        <w:pStyle w:val="Heading3"/>
        <w:spacing w:after="120" w:before="220"/>
      </w:pPr>
      <w:r>
        <w:t xml:space="preserve">9.2.3 Layer 2 - wires</w:t>
      </w:r>
    </w:p>
    <w:p>
      <w:pPr>
        <w:spacing w:after="120" w:line="300"/>
      </w:pPr>
      <w:r>
        <w:t xml:space="preserve">Approximately 75 wires are generated, distributed across the typology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700"/>
        <w:gridCol w:w="3160"/>
      </w:tblGrid>
      <w:tr>
        <w:tc>
          <w:tcPr>
            <w:tcW w:type="dxa" w:w="45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Typology profile</w:t>
            </w:r>
          </w:p>
        </w:tc>
        <w:tc>
          <w:tcPr>
            <w:tcW w:type="dxa" w:w="17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Approx share</w:t>
            </w:r>
          </w:p>
        </w:tc>
        <w:tc>
          <w:tcPr>
            <w:tcW w:type="dxa" w:w="31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Confidence band</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Front-company high-confidence fires</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20%</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75-92</w:t>
            </w:r>
          </w:p>
        </w:tc>
      </w:tr>
      <w:tr>
        <w:tc>
          <w:tcPr>
            <w:tcW w:type="dxa" w:w="45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Geographic-layering high-confidence fires</w:t>
            </w:r>
          </w:p>
        </w:tc>
        <w:tc>
          <w:tcPr>
            <w:tcW w:type="dxa" w:w="1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15%</w:t>
            </w:r>
          </w:p>
        </w:tc>
        <w:tc>
          <w:tcPr>
            <w:tcW w:type="dxa" w:w="31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70-88</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Trade-evasion high-confidence fires</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15%</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72-90</w:t>
            </w:r>
          </w:p>
        </w:tc>
      </w:tr>
      <w:tr>
        <w:tc>
          <w:tcPr>
            <w:tcW w:type="dxa" w:w="45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Multi-typology overlap fires (front + geo + trade)</w:t>
            </w:r>
          </w:p>
        </w:tc>
        <w:tc>
          <w:tcPr>
            <w:tcW w:type="dxa" w:w="1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20%</w:t>
            </w:r>
          </w:p>
        </w:tc>
        <w:tc>
          <w:tcPr>
            <w:tcW w:type="dxa" w:w="31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78-95 (post-dedup)</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Partial signals across one or two typologies</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20%</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35-60</w:t>
            </w:r>
          </w:p>
        </w:tc>
      </w:tr>
      <w:tr>
        <w:tc>
          <w:tcPr>
            <w:tcW w:type="dxa" w:w="45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False positives (signals fail dedup-adjusted threshold)</w:t>
            </w:r>
          </w:p>
        </w:tc>
        <w:tc>
          <w:tcPr>
            <w:tcW w:type="dxa" w:w="1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10%</w:t>
            </w:r>
          </w:p>
        </w:tc>
        <w:tc>
          <w:tcPr>
            <w:tcW w:type="dxa" w:w="31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10-35</w:t>
            </w:r>
          </w:p>
        </w:tc>
      </w:tr>
    </w:tbl>
    <w:p>
      <w:pPr>
        <w:spacing w:after="120" w:line="300"/>
      </w:pPr>
    </w:p>
    <w:p>
      <w:pPr>
        <w:spacing w:after="120" w:line="300"/>
      </w:pPr>
      <w:r>
        <w:t xml:space="preserve">Wire amounts are drawn from a long-tail distribution calibrated to FinCEN SAR-statistic shapes (mean ~$1.2M, p95 ~$3.5M, p99 ~$8M), with explicit avoidance of round-number clustering. Value dates are clustered around a synthetic regulatory advisory inflection date so that L2 signal-density views show a plausible post-advisory shift.</w:t>
      </w:r>
    </w:p>
    <w:p>
      <w:pPr>
        <w:pStyle w:val="Heading3"/>
        <w:spacing w:after="120" w:before="220"/>
      </w:pPr>
      <w:r>
        <w:t xml:space="preserve">9.2.4 Layer 3 - typology verdicts and evidence</w:t>
      </w:r>
    </w:p>
    <w:p>
      <w:pPr>
        <w:spacing w:after="120" w:line="300"/>
      </w:pPr>
      <w:r>
        <w:t xml:space="preserve">For each wire, the generator computes typology verdicts and evidence by running the same investigator code paths the production system uses, against the synthetic dataset. This means evidence emission and synthesizer output are not pre-baked - they are computed live from the synthetic data using production logic. Two consequences:</w:t>
      </w:r>
    </w:p>
    <w:p>
      <w:pPr>
        <w:pStyle w:val="ListParagraph"/>
        <w:numPr>
          <w:ilvl w:val="0"/>
          <w:numId w:val="2"/>
        </w:numPr>
        <w:spacing w:after="80" w:line="290"/>
      </w:pPr>
      <w:r>
        <w:t xml:space="preserve">The synthesizer dedup behaviour is exercised on real (synthetic) overlapping evidence, not on a hand-authored mock.</w:t>
      </w:r>
    </w:p>
    <w:p>
      <w:pPr>
        <w:pStyle w:val="ListParagraph"/>
        <w:numPr>
          <w:ilvl w:val="0"/>
          <w:numId w:val="2"/>
        </w:numPr>
        <w:spacing w:after="80" w:line="290"/>
      </w:pPr>
      <w:r>
        <w:t xml:space="preserve">Tuning the investigators' configurations causes the demonstration dataset's typology verdicts to change, which makes the demo a live tuning surface rather than a static set of pre-baked cards.</w:t>
      </w:r>
    </w:p>
    <w:p>
      <w:pPr>
        <w:pStyle w:val="Heading3"/>
        <w:spacing w:after="120" w:before="220"/>
      </w:pPr>
      <w:r>
        <w:t xml:space="preserve">9.2.5 Layer 4 - watchlists and advisories</w:t>
      </w:r>
    </w:p>
    <w:p>
      <w:pPr>
        <w:spacing w:after="120" w:line="300"/>
      </w:pPr>
      <w:r>
        <w:t xml:space="preserve">A small number of fully-fabricated watchlist entries and advisories are generated, using the field schemas of OFAC SDN, BIS Entity List, and FinCEN advisories as templates. None of the entries match real designated persons or entities. The advisories include a date-anchored fictional BIS HS-8482 advisory used to drive the L2 signal-density inflection narrative.</w:t>
      </w:r>
    </w:p>
    <w:p>
      <w:pPr>
        <w:pStyle w:val="Heading1"/>
        <w:spacing w:after="200" w:before="360"/>
      </w:pPr>
      <w:r>
        <w:t xml:space="preserve">10. Source map for synthetic generation</w:t>
      </w:r>
    </w:p>
    <w:p>
      <w:pPr>
        <w:spacing w:after="120" w:line="300"/>
      </w:pPr>
      <w:r>
        <w:t xml:space="preserve">The following tables specify, field by field, the public source used to populate fictional records. Every entry distinguishes whether the source is used as a vocabulary library (real values, recombined into fictional records) or as a schema reference (real field shapes, fictional values).</w:t>
      </w:r>
    </w:p>
    <w:p>
      <w:pPr>
        <w:pStyle w:val="Heading2"/>
        <w:spacing w:after="160" w:before="280"/>
      </w:pPr>
      <w:r>
        <w:t xml:space="preserve">10.1 Wire and transaction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500"/>
        <w:gridCol w:w="1560"/>
      </w:tblGrid>
      <w:tr>
        <w:tc>
          <w:tcPr>
            <w:tcW w:type="dxa" w:w="23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Field</w:t>
            </w:r>
          </w:p>
        </w:tc>
        <w:tc>
          <w:tcPr>
            <w:tcW w:type="dxa" w:w="30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Public source</w:t>
            </w:r>
          </w:p>
        </w:tc>
        <w:tc>
          <w:tcPr>
            <w:tcW w:type="dxa" w:w="25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Use class</w:t>
            </w:r>
          </w:p>
        </w:tc>
        <w:tc>
          <w:tcPr>
            <w:tcW w:type="dxa" w:w="15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Free?</w:t>
            </w:r>
          </w:p>
        </w:tc>
      </w:tr>
      <w:tr>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BIC code structure</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ISO 9362; SWIFT BIC directory (paid)</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Schema only - fictional bank codes</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Format public; directory paid</w:t>
            </w:r>
          </w:p>
        </w:tc>
      </w:tr>
      <w:tr>
        <w:tc>
          <w:tcPr>
            <w:tcW w:type="dxa" w:w="2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Currency codes</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ISO 4217</w:t>
            </w:r>
          </w:p>
        </w:tc>
        <w:tc>
          <w:tcPr>
            <w:tcW w:type="dxa" w:w="25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Vocabulary (real values)</w:t>
            </w:r>
          </w:p>
        </w:tc>
        <w:tc>
          <w:tcPr>
            <w:tcW w:type="dxa" w:w="15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Country / jurisdiction codes</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ISO 3166-1</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Vocabulary (real values)</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HS codes and descriptions</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WCO HS Nomenclature; US HTS via USITC</w:t>
            </w:r>
          </w:p>
        </w:tc>
        <w:tc>
          <w:tcPr>
            <w:tcW w:type="dxa" w:w="25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Vocabulary (real values, recombined)</w:t>
            </w:r>
          </w:p>
        </w:tc>
        <w:tc>
          <w:tcPr>
            <w:tcW w:type="dxa" w:w="15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NAICS codes</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US Census NAICS</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Vocabulary (real values)</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Trade corridor names</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UN Comtrade, World Bank WITS</w:t>
            </w:r>
          </w:p>
        </w:tc>
        <w:tc>
          <w:tcPr>
            <w:tcW w:type="dxa" w:w="25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Reference (corridor plausibility)</w:t>
            </w:r>
          </w:p>
        </w:tc>
        <w:tc>
          <w:tcPr>
            <w:tcW w:type="dxa" w:w="15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Wire amount distribution shape</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FinCEN annual SAR statistics (public)</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Reference (calibrate distribution)</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MT103 field structure</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ISO 20022 mapping, public bank docs</w:t>
            </w:r>
          </w:p>
        </w:tc>
        <w:tc>
          <w:tcPr>
            <w:tcW w:type="dxa" w:w="25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Schema only</w:t>
            </w:r>
          </w:p>
        </w:tc>
        <w:tc>
          <w:tcPr>
            <w:tcW w:type="dxa" w:w="15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Yes</w:t>
            </w:r>
          </w:p>
        </w:tc>
      </w:tr>
    </w:tbl>
    <w:p>
      <w:pPr>
        <w:spacing w:after="120" w:line="300"/>
      </w:pPr>
    </w:p>
    <w:p>
      <w:pPr>
        <w:pStyle w:val="Heading2"/>
        <w:spacing w:after="160" w:before="280"/>
      </w:pPr>
      <w:r>
        <w:t xml:space="preserve">10.2 Originator party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1560"/>
      </w:tblGrid>
      <w:tr>
        <w:tc>
          <w:tcPr>
            <w:tcW w:type="dxa" w:w="24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Field</w:t>
            </w:r>
          </w:p>
        </w:tc>
        <w:tc>
          <w:tcPr>
            <w:tcW w:type="dxa" w:w="30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Public source</w:t>
            </w:r>
          </w:p>
        </w:tc>
        <w:tc>
          <w:tcPr>
            <w:tcW w:type="dxa" w:w="24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Use class</w:t>
            </w:r>
          </w:p>
        </w:tc>
        <w:tc>
          <w:tcPr>
            <w:tcW w:type="dxa" w:w="15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Free?</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Industry / NAICS distribution</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US Census Business Patterns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Reference (calibrate distribution)</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State and ZIP distribution</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US Census, USPS</w:t>
            </w:r>
          </w:p>
        </w:tc>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Reference</w:t>
            </w:r>
          </w:p>
        </w:tc>
        <w:tc>
          <w:tcPr>
            <w:tcW w:type="dxa" w:w="15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EIN format</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IRS publication</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Schema only - values fabricated</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Naming conventions</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SEC EDGAR full-text, OpenCorporates US</w:t>
            </w:r>
          </w:p>
        </w:tc>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Reference (style only); collision-checked</w:t>
            </w:r>
          </w:p>
        </w:tc>
        <w:tc>
          <w:tcPr>
            <w:tcW w:type="dxa" w:w="15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Yes (with API key for OC)</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UK entity records (if needed)</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Companies House API + bulk</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Reference; not used in demo to avoid real-record risk</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Yes, no key required</w:t>
            </w:r>
          </w:p>
        </w:tc>
      </w:tr>
    </w:tbl>
    <w:p>
      <w:pPr>
        <w:spacing w:after="120" w:line="300"/>
      </w:pPr>
    </w:p>
    <w:p>
      <w:pPr>
        <w:pStyle w:val="Heading2"/>
        <w:spacing w:after="160" w:before="280"/>
      </w:pPr>
      <w:r>
        <w:t xml:space="preserve">10.3 Beneficiary party and free-zone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300"/>
        <w:gridCol w:w="1960"/>
      </w:tblGrid>
      <w:tr>
        <w:tc>
          <w:tcPr>
            <w:tcW w:type="dxa" w:w="27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Field</w:t>
            </w:r>
          </w:p>
        </w:tc>
        <w:tc>
          <w:tcPr>
            <w:tcW w:type="dxa" w:w="24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Public source</w:t>
            </w:r>
          </w:p>
        </w:tc>
        <w:tc>
          <w:tcPr>
            <w:tcW w:type="dxa" w:w="23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Use class</w:t>
            </w:r>
          </w:p>
        </w:tc>
        <w:tc>
          <w:tcPr>
            <w:tcW w:type="dxa" w:w="19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Notes</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UAE free-zone structure (zone names, building IDs, license types, capital tiers, FZE/FZCO/PLC distinctions)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JAFZA, DMCC, ADGM, DIFC official sites</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Reference (real structural facts)</w:t>
            </w:r>
          </w:p>
        </w:tc>
        <w:tc>
          <w:tcPr>
            <w:tcW w:type="dxa" w:w="19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JAFZA does not publish a free company register; director information is not public</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Cross-jurisdiction company-data shapes</w:t>
            </w:r>
          </w:p>
        </w:tc>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OpenCorporates</w:t>
            </w:r>
          </w:p>
        </w:tc>
        <w:tc>
          <w:tcPr>
            <w:tcW w:type="dxa" w:w="2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Schema only (vocabulary library for registration formats, officer roles)</w:t>
            </w:r>
          </w:p>
        </w:tc>
        <w:tc>
          <w:tcPr>
            <w:tcW w:type="dxa" w:w="19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Free API ~500 req/mo; bulk requires public-benefit application</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Director name distributions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Faker locales (ru_RU, ar_SA, etc.); Wikipedia name statistics</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Vocabulary (synthesised names)</w:t>
            </w:r>
          </w:p>
        </w:tc>
        <w:tc>
          <w:tcPr>
            <w:tcW w:type="dxa" w:w="19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Beneficial-ownership chain shapes</w:t>
            </w:r>
          </w:p>
        </w:tc>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BO providers (commercial); ICIJ Offshore Leaks (analytical reference only)</w:t>
            </w:r>
          </w:p>
        </w:tc>
        <w:tc>
          <w:tcPr>
            <w:tcW w:type="dxa" w:w="2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Schema reference; ICIJ never copied verbatim</w:t>
            </w:r>
          </w:p>
        </w:tc>
        <w:tc>
          <w:tcPr>
            <w:tcW w:type="dxa" w:w="19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ICIJ data is real and sensitive; no real records are reproduced</w:t>
            </w:r>
          </w:p>
        </w:tc>
      </w:tr>
    </w:tbl>
    <w:p>
      <w:pPr>
        <w:spacing w:after="120" w:line="300"/>
      </w:pPr>
    </w:p>
    <w:p>
      <w:pPr>
        <w:pStyle w:val="Heading2"/>
        <w:spacing w:after="160" w:before="280"/>
      </w:pPr>
      <w:r>
        <w:t xml:space="preserve">10.4 Network anchor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2300"/>
        <w:gridCol w:w="1060"/>
      </w:tblGrid>
      <w:tr>
        <w:tc>
          <w:tcPr>
            <w:tcW w:type="dxa" w:w="27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Field</w:t>
            </w:r>
          </w:p>
        </w:tc>
        <w:tc>
          <w:tcPr>
            <w:tcW w:type="dxa" w:w="33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Public source</w:t>
            </w:r>
          </w:p>
        </w:tc>
        <w:tc>
          <w:tcPr>
            <w:tcW w:type="dxa" w:w="23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Use class</w:t>
            </w:r>
          </w:p>
        </w:tc>
        <w:tc>
          <w:tcPr>
            <w:tcW w:type="dxa" w:w="10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Notes</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Address co-tenancy patterns</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ICIJ structural analysis of mass-incorporation addresses; academic papers on shell-company addresses</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Reference (calibrate counts)</w:t>
            </w:r>
          </w:p>
        </w:tc>
        <w:tc>
          <w:tcPr>
            <w:tcW w:type="dxa" w:w="10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Counts in tens, not hundreds</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CSP client-list patterns</w:t>
            </w:r>
          </w:p>
        </w:tc>
        <w:tc>
          <w:tcPr>
            <w:tcW w:type="dxa" w:w="3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Public CSP marketing; ICIJ leaks (analytical only)</w:t>
            </w:r>
          </w:p>
        </w:tc>
        <w:tc>
          <w:tcPr>
            <w:tcW w:type="dxa" w:w="2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Reference (style only); naming fabricated</w:t>
            </w:r>
          </w:p>
        </w:tc>
        <w:tc>
          <w:tcPr>
            <w:tcW w:type="dxa" w:w="10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No real CSP names reproduced</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Director-to-entity mapping density</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OpenCorporates officer-to-company relationships</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Reference (calibrate multiplicity)</w:t>
            </w:r>
          </w:p>
        </w:tc>
        <w:tc>
          <w:tcPr>
            <w:tcW w:type="dxa" w:w="10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Real distribution shape, fabricated relationships</w:t>
            </w:r>
          </w:p>
        </w:tc>
      </w:tr>
    </w:tbl>
    <w:p>
      <w:pPr>
        <w:spacing w:after="120" w:line="300"/>
      </w:pPr>
    </w:p>
    <w:p>
      <w:pPr>
        <w:pStyle w:val="Heading2"/>
        <w:spacing w:after="160" w:before="280"/>
      </w:pPr>
      <w:r>
        <w:t xml:space="preserve">10.5 Watchlist and advisory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2400"/>
        <w:gridCol w:w="1260"/>
      </w:tblGrid>
      <w:tr>
        <w:tc>
          <w:tcPr>
            <w:tcW w:type="dxa" w:w="27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Field</w:t>
            </w:r>
          </w:p>
        </w:tc>
        <w:tc>
          <w:tcPr>
            <w:tcW w:type="dxa" w:w="30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Public source</w:t>
            </w:r>
          </w:p>
        </w:tc>
        <w:tc>
          <w:tcPr>
            <w:tcW w:type="dxa" w:w="24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Use class</w:t>
            </w:r>
          </w:p>
        </w:tc>
        <w:tc>
          <w:tcPr>
            <w:tcW w:type="dxa" w:w="12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Free?</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OFAC SDN / consolidated</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Treasury OFAC (XML/CSV)</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Schema only - fictional entries</w:t>
            </w:r>
          </w:p>
        </w:tc>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EU consolidated</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EU official feed</w:t>
            </w:r>
          </w:p>
        </w:tc>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Schema only</w:t>
            </w:r>
          </w:p>
        </w:tc>
        <w:tc>
          <w:tcPr>
            <w:tcW w:type="dxa" w:w="12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UK OFSI list</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OFSI (gov.uk)</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Schema only</w:t>
            </w:r>
          </w:p>
        </w:tc>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UN Security Council list</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un.org</w:t>
            </w:r>
          </w:p>
        </w:tc>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Schema only</w:t>
            </w:r>
          </w:p>
        </w:tc>
        <w:tc>
          <w:tcPr>
            <w:tcW w:type="dxa" w:w="12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BIS Entity List, Denied Persons, Unverified</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commerce.gov</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Schema only</w:t>
            </w:r>
          </w:p>
        </w:tc>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Aggregated watchlist + PEP</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OpenSanctions bulk (Follow-the-Money model)</w:t>
            </w:r>
          </w:p>
        </w:tc>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Schema reference; FtM data model adopted as canonical schema for matching</w:t>
            </w:r>
          </w:p>
        </w:tc>
        <w:tc>
          <w:tcPr>
            <w:tcW w:type="dxa" w:w="12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Free for non-commercial; commercial deployment requires license</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FinCEN advisories</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fincen.gov</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Schema reference + real format</w:t>
            </w:r>
          </w:p>
        </w:tc>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BIS advisories</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bis.doc.gov</w:t>
            </w:r>
          </w:p>
        </w:tc>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Schema reference + real format</w:t>
            </w:r>
          </w:p>
        </w:tc>
        <w:tc>
          <w:tcPr>
            <w:tcW w:type="dxa" w:w="12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FATF typology reports</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fatf-gafi.org</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Reference (typology language)</w:t>
            </w:r>
          </w:p>
        </w:tc>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Yes</w:t>
            </w:r>
          </w:p>
        </w:tc>
      </w:tr>
    </w:tbl>
    <w:p>
      <w:pPr>
        <w:spacing w:after="120" w:line="300"/>
      </w:pPr>
    </w:p>
    <w:p>
      <w:pPr>
        <w:pStyle w:val="Heading2"/>
        <w:spacing w:after="160" w:before="280"/>
      </w:pPr>
      <w:r>
        <w:t xml:space="preserve">10.6 Reference and regulatory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2400"/>
        <w:gridCol w:w="1260"/>
      </w:tblGrid>
      <w:tr>
        <w:tc>
          <w:tcPr>
            <w:tcW w:type="dxa" w:w="27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Field</w:t>
            </w:r>
          </w:p>
        </w:tc>
        <w:tc>
          <w:tcPr>
            <w:tcW w:type="dxa" w:w="30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Public source</w:t>
            </w:r>
          </w:p>
        </w:tc>
        <w:tc>
          <w:tcPr>
            <w:tcW w:type="dxa" w:w="24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Use class</w:t>
            </w:r>
          </w:p>
        </w:tc>
        <w:tc>
          <w:tcPr>
            <w:tcW w:type="dxa" w:w="12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Free?</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BSA/AML manual</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FFIEC</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Reference (typology and control language)</w:t>
            </w:r>
          </w:p>
        </w:tc>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FinCEN SAR statistics</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fincen.gov</w:t>
            </w:r>
          </w:p>
        </w:tc>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Reference (amount distribution shapes)</w:t>
            </w:r>
          </w:p>
        </w:tc>
        <w:tc>
          <w:tcPr>
            <w:tcW w:type="dxa" w:w="12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UN Comtrade trade-flow data</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comtrade.un.org</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Reference (corridor volume plausibility)</w:t>
            </w:r>
          </w:p>
        </w:tc>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Yes</w:t>
            </w:r>
          </w:p>
        </w:tc>
      </w:tr>
      <w:tr>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Adverse-media archive patterns</w:t>
            </w:r>
          </w:p>
        </w:tc>
        <w:tc>
          <w:tcPr>
            <w:tcW w:type="dxa" w:w="30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OCCRP, ICIJ archives</w:t>
            </w:r>
          </w:p>
        </w:tc>
        <w:tc>
          <w:tcPr>
            <w:tcW w:type="dxa" w:w="24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Reference (narrative pattern only); no records copied</w:t>
            </w:r>
          </w:p>
        </w:tc>
        <w:tc>
          <w:tcPr>
            <w:tcW w:type="dxa" w:w="12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Yes</w:t>
            </w:r>
          </w:p>
        </w:tc>
      </w:tr>
    </w:tbl>
    <w:p>
      <w:pPr>
        <w:spacing w:after="120" w:line="300"/>
      </w:pPr>
    </w:p>
    <w:p>
      <w:pPr>
        <w:pStyle w:val="Heading2"/>
        <w:spacing w:after="160" w:before="280"/>
      </w:pPr>
      <w:r>
        <w:t xml:space="preserve">10.7 Use-class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300"/>
        <w:gridCol w:w="1760"/>
      </w:tblGrid>
      <w:tr>
        <w:tc>
          <w:tcPr>
            <w:tcW w:type="dxa" w:w="23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Use class</w:t>
            </w:r>
          </w:p>
        </w:tc>
        <w:tc>
          <w:tcPr>
            <w:tcW w:type="dxa" w:w="53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Definition</w:t>
            </w:r>
          </w:p>
        </w:tc>
        <w:tc>
          <w:tcPr>
            <w:tcW w:type="dxa" w:w="17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Risk to real entities</w:t>
            </w:r>
          </w:p>
        </w:tc>
      </w:tr>
      <w:tr>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Vocabulary (real values)</w:t>
            </w:r>
          </w:p>
        </w:tc>
        <w:tc>
          <w:tcPr>
            <w:tcW w:type="dxa" w:w="5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Real values from a public list are used directly (e.g., HS codes, NAICS codes, ISO codes)</w:t>
            </w:r>
          </w:p>
        </w:tc>
        <w:tc>
          <w:tcPr>
            <w:tcW w:type="dxa" w:w="1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None - values are not entity-identifying</w:t>
            </w:r>
          </w:p>
        </w:tc>
      </w:tr>
      <w:tr>
        <w:tc>
          <w:tcPr>
            <w:tcW w:type="dxa" w:w="2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Reference (style or distribution)</w:t>
            </w:r>
          </w:p>
        </w:tc>
        <w:tc>
          <w:tcPr>
            <w:tcW w:type="dxa" w:w="5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Public data informs the shape of fictional records (naming style, count distributions, date clustering)</w:t>
            </w:r>
          </w:p>
        </w:tc>
        <w:tc>
          <w:tcPr>
            <w:tcW w:type="dxa" w:w="17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Low - verified by collision check</w:t>
            </w:r>
          </w:p>
        </w:tc>
      </w:tr>
      <w:tr>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Schema only</w:t>
            </w:r>
          </w:p>
        </w:tc>
        <w:tc>
          <w:tcPr>
            <w:tcW w:type="dxa" w:w="5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Public source is used only for field structure; values are fabricated</w:t>
            </w:r>
          </w:p>
        </w:tc>
        <w:tc>
          <w:tcPr>
            <w:tcW w:type="dxa" w:w="17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None</w:t>
            </w:r>
          </w:p>
        </w:tc>
      </w:tr>
      <w:tr>
        <w:tc>
          <w:tcPr>
            <w:tcW w:type="dxa" w:w="2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Analytical reference</w:t>
            </w:r>
          </w:p>
        </w:tc>
        <w:tc>
          <w:tcPr>
            <w:tcW w:type="dxa" w:w="5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Public archive is read for understanding patterns; no records are reproduced</w:t>
            </w:r>
          </w:p>
        </w:tc>
        <w:tc>
          <w:tcPr>
            <w:tcW w:type="dxa" w:w="17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Low if discipline is enforced</w:t>
            </w:r>
          </w:p>
        </w:tc>
      </w:tr>
    </w:tbl>
    <w:p>
      <w:pPr>
        <w:spacing w:after="120" w:line="300"/>
      </w:pPr>
    </w:p>
    <w:p>
      <w:pPr>
        <w:pStyle w:val="Heading2"/>
        <w:spacing w:after="160" w:before="280"/>
      </w:pPr>
      <w:r>
        <w:t xml:space="preserve">10.8 Collision verification</w:t>
      </w:r>
    </w:p>
    <w:p>
      <w:pPr>
        <w:spacing w:after="120" w:line="300"/>
      </w:pPr>
      <w:r>
        <w:t xml:space="preserve">Before publishing a demonstration dataset, every fictional name is checked against:</w:t>
      </w:r>
    </w:p>
    <w:p>
      <w:pPr>
        <w:pStyle w:val="ListParagraph"/>
        <w:numPr>
          <w:ilvl w:val="0"/>
          <w:numId w:val="2"/>
        </w:numPr>
        <w:spacing w:after="80" w:line="290"/>
      </w:pPr>
      <w:r>
        <w:t xml:space="preserve">OFAC SDN, EU consolidated, UN, UK OFSI, OpenSanctions consolidated</w:t>
      </w:r>
    </w:p>
    <w:p>
      <w:pPr>
        <w:pStyle w:val="ListParagraph"/>
        <w:numPr>
          <w:ilvl w:val="0"/>
          <w:numId w:val="2"/>
        </w:numPr>
        <w:spacing w:after="80" w:line="290"/>
      </w:pPr>
      <w:r>
        <w:t xml:space="preserve">Companies House (for UK names)</w:t>
      </w:r>
    </w:p>
    <w:p>
      <w:pPr>
        <w:pStyle w:val="ListParagraph"/>
        <w:numPr>
          <w:ilvl w:val="0"/>
          <w:numId w:val="2"/>
        </w:numPr>
        <w:spacing w:after="80" w:line="290"/>
      </w:pPr>
      <w:r>
        <w:t xml:space="preserve">OpenCorporates (cross-jurisdiction search)</w:t>
      </w:r>
    </w:p>
    <w:p>
      <w:pPr>
        <w:pStyle w:val="ListParagraph"/>
        <w:numPr>
          <w:ilvl w:val="0"/>
          <w:numId w:val="2"/>
        </w:numPr>
        <w:spacing w:after="80" w:line="290"/>
      </w:pPr>
      <w:r>
        <w:t xml:space="preserve">SEC EDGAR full-text (US names)</w:t>
      </w:r>
    </w:p>
    <w:p>
      <w:pPr>
        <w:spacing w:after="120" w:line="300"/>
      </w:pPr>
      <w:r>
        <w:t xml:space="preserve">Any collision triggers regeneration. The collision check is part of the build pipeline, not a manual review step. The demonstration dataset published as part of Themis ships with a documented collision-check report alongside the dataset itself.</w:t>
      </w:r>
    </w:p>
    <w:p>
      <w:r>
        <w:br w:type="page"/>
      </w:r>
    </w:p>
    <w:p>
      <w:pPr>
        <w:pStyle w:val="Heading1"/>
        <w:spacing w:after="200" w:before="360"/>
      </w:pPr>
      <w:r>
        <w:t xml:space="preserve">11. Build pipeline for the demonstration dataset</w:t>
      </w:r>
    </w:p>
    <w:p>
      <w:pPr>
        <w:pStyle w:val="Heading2"/>
        <w:spacing w:after="160" w:before="280"/>
      </w:pPr>
      <w:r>
        <w:t xml:space="preserve">11.1 Pipeline stages</w:t>
      </w:r>
    </w:p>
    <w:p>
      <w:pPr>
        <w:spacing w:after="120" w:line="300"/>
      </w:pPr>
      <w:r>
        <w:t xml:space="preserve">The synthetic dataset is generated by a deterministic, idempotent pipeline. Each stage reads the outputs of the prior stage and produces structured artifacts that are validated before the next stage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300"/>
        <w:gridCol w:w="1560"/>
      </w:tblGrid>
      <w:tr>
        <w:tc>
          <w:tcPr>
            <w:tcW w:type="dxa" w:w="18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Stage</w:t>
            </w:r>
          </w:p>
        </w:tc>
        <w:tc>
          <w:tcPr>
            <w:tcW w:type="dxa" w:w="27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Inputs</w:t>
            </w:r>
          </w:p>
        </w:tc>
        <w:tc>
          <w:tcPr>
            <w:tcW w:type="dxa" w:w="33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Outputs</w:t>
            </w:r>
          </w:p>
        </w:tc>
        <w:tc>
          <w:tcPr>
            <w:tcW w:type="dxa" w:w="15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tcPr>
          <w:p>
            <w:pPr>
              <w:spacing w:after="0" w:line="270"/>
            </w:pPr>
            <w:r>
              <w:rPr>
                <w:b/>
                <w:bCs/>
                <w:color w:val="FFFFFF"/>
                <w:sz w:val="20"/>
                <w:szCs w:val="20"/>
              </w:rPr>
              <w:t xml:space="preserve">Determinism</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00_seed</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Fixed seed</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Seeded RNG state file</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Bit-identical</w:t>
            </w:r>
          </w:p>
        </w:tc>
      </w:tr>
      <w:tr>
        <w:tc>
          <w:tcPr>
            <w:tcW w:type="dxa" w:w="18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10_anchors</w:t>
            </w:r>
          </w:p>
        </w:tc>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Seed</w:t>
            </w:r>
          </w:p>
        </w:tc>
        <w:tc>
          <w:tcPr>
            <w:tcW w:type="dxa" w:w="3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addresses.json, csps.json, directors.json</w:t>
            </w:r>
          </w:p>
        </w:tc>
        <w:tc>
          <w:tcPr>
            <w:tcW w:type="dxa" w:w="15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Bit-identical</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20_entities</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Anchors</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entities.json (beneficiaries)</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Bit-identical</w:t>
            </w:r>
          </w:p>
        </w:tc>
      </w:tr>
      <w:tr>
        <w:tc>
          <w:tcPr>
            <w:tcW w:type="dxa" w:w="18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30_originators</w:t>
            </w:r>
          </w:p>
        </w:tc>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Seed</w:t>
            </w:r>
          </w:p>
        </w:tc>
        <w:tc>
          <w:tcPr>
            <w:tcW w:type="dxa" w:w="3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originators.json</w:t>
            </w:r>
          </w:p>
        </w:tc>
        <w:tc>
          <w:tcPr>
            <w:tcW w:type="dxa" w:w="15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Bit-identical</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40_wires</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Anchors, entities, originators</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wires.json</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Bit-identical</w:t>
            </w:r>
          </w:p>
        </w:tc>
      </w:tr>
      <w:tr>
        <w:tc>
          <w:tcPr>
            <w:tcW w:type="dxa" w:w="18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50_watchlists</w:t>
            </w:r>
          </w:p>
        </w:tc>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Seed</w:t>
            </w:r>
          </w:p>
        </w:tc>
        <w:tc>
          <w:tcPr>
            <w:tcW w:type="dxa" w:w="3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watchlists.json, advisories.json</w:t>
            </w:r>
          </w:p>
        </w:tc>
        <w:tc>
          <w:tcPr>
            <w:tcW w:type="dxa" w:w="15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Bit-identical</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60_collision_check</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All names from 10-50</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collision_report.json (pass / fail)</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Deterministic against pinned source snapshots</w:t>
            </w:r>
          </w:p>
        </w:tc>
      </w:tr>
      <w:tr>
        <w:tc>
          <w:tcPr>
            <w:tcW w:type="dxa" w:w="18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70_investigators</w:t>
            </w:r>
          </w:p>
        </w:tc>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All preceding + investigator config</w:t>
            </w:r>
          </w:p>
        </w:tc>
        <w:tc>
          <w:tcPr>
            <w:tcW w:type="dxa" w:w="3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typology_verdicts per case, evidence per case</w:t>
            </w:r>
          </w:p>
        </w:tc>
        <w:tc>
          <w:tcPr>
            <w:tcW w:type="dxa" w:w="15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Bit-identical given config_version</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80_synthesize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Verdicts + evidence + synthesizer config</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synthesized_confidence per case</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70"/>
            </w:pPr>
            <w:r>
              <w:rPr>
                <w:b w:val="false"/>
                <w:bCs w:val="false"/>
                <w:color w:val="1A1A1A"/>
                <w:sz w:val="20"/>
                <w:szCs w:val="20"/>
              </w:rPr>
              <w:t xml:space="preserve">Bit-identical given config_version</w:t>
            </w:r>
          </w:p>
        </w:tc>
      </w:tr>
      <w:tr>
        <w:tc>
          <w:tcPr>
            <w:tcW w:type="dxa" w:w="18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90_export</w:t>
            </w:r>
          </w:p>
        </w:tc>
        <w:tc>
          <w:tcPr>
            <w:tcW w:type="dxa" w:w="27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All preceding</w:t>
            </w:r>
          </w:p>
        </w:tc>
        <w:tc>
          <w:tcPr>
            <w:tcW w:type="dxa" w:w="330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dataset.json (canonical) + dataset.sqlite (analytical) + manifest.json</w:t>
            </w:r>
          </w:p>
        </w:tc>
        <w:tc>
          <w:tcPr>
            <w:tcW w:type="dxa" w:w="1560"/>
            <w:tcBorders>
              <w:top w:val="single" w:color="BBBBBB" w:sz="4"/>
              <w:left w:val="single" w:color="BBBBBB" w:sz="4"/>
              <w:bottom w:val="single" w:color="BBBBBB" w:sz="4"/>
              <w:right w:val="single" w:color="BBBBBB" w:sz="4"/>
            </w:tcBorders>
            <w:shd w:fill="F2F5F9" w:val="clear"/>
            <w:tcMar>
              <w:top w:type="dxa" w:w="100"/>
              <w:left w:type="dxa" w:w="140"/>
              <w:bottom w:type="dxa" w:w="100"/>
              <w:right w:type="dxa" w:w="140"/>
            </w:tcMar>
          </w:tcPr>
          <w:p>
            <w:pPr>
              <w:spacing w:after="0" w:line="270"/>
            </w:pPr>
            <w:r>
              <w:rPr>
                <w:b w:val="false"/>
                <w:bCs w:val="false"/>
                <w:color w:val="1A1A1A"/>
                <w:sz w:val="20"/>
                <w:szCs w:val="20"/>
              </w:rPr>
              <w:t xml:space="preserve">Bit-identical</w:t>
            </w:r>
          </w:p>
        </w:tc>
      </w:tr>
    </w:tbl>
    <w:p>
      <w:pPr>
        <w:spacing w:after="120" w:line="300"/>
      </w:pPr>
    </w:p>
    <w:p>
      <w:pPr>
        <w:pStyle w:val="Heading2"/>
        <w:spacing w:after="160" w:before="280"/>
      </w:pPr>
      <w:r>
        <w:t xml:space="preserve">11.2 Outputs</w:t>
      </w:r>
    </w:p>
    <w:p>
      <w:pPr>
        <w:spacing w:after="120" w:line="300"/>
      </w:pPr>
      <w:r>
        <w:t xml:space="preserve">The pipeline produces three artifacts:</w:t>
      </w:r>
    </w:p>
    <w:p>
      <w:pPr>
        <w:pStyle w:val="ListParagraph"/>
        <w:numPr>
          <w:ilvl w:val="0"/>
          <w:numId w:val="2"/>
        </w:numPr>
        <w:spacing w:after="80" w:line="290"/>
      </w:pPr>
      <w:r>
        <w:t xml:space="preserve">dataset.json - the canonical, schema-conformant demonstration dataset; consumed by the demo application</w:t>
      </w:r>
    </w:p>
    <w:p>
      <w:pPr>
        <w:pStyle w:val="ListParagraph"/>
        <w:numPr>
          <w:ilvl w:val="0"/>
          <w:numId w:val="2"/>
        </w:numPr>
        <w:spacing w:after="80" w:line="290"/>
      </w:pPr>
      <w:r>
        <w:t xml:space="preserve">dataset.sqlite - the same data in a relational form for analytical queries (verifying distributions, spot-checking clusters)</w:t>
      </w:r>
    </w:p>
    <w:p>
      <w:pPr>
        <w:pStyle w:val="ListParagraph"/>
        <w:numPr>
          <w:ilvl w:val="0"/>
          <w:numId w:val="2"/>
        </w:numPr>
        <w:spacing w:after="80" w:line="290"/>
      </w:pPr>
      <w:r>
        <w:t xml:space="preserve">manifest.json - pipeline version, seed, source-snapshot pins, collision-check report, summary statistics</w:t>
      </w:r>
    </w:p>
    <w:p>
      <w:pPr>
        <w:pStyle w:val="Heading2"/>
        <w:spacing w:after="160" w:before="280"/>
      </w:pPr>
      <w:r>
        <w:t xml:space="preserve">11.3 Reproducibility</w:t>
      </w:r>
    </w:p>
    <w:p>
      <w:pPr>
        <w:spacing w:after="120" w:line="300"/>
      </w:pPr>
      <w:r>
        <w:t xml:space="preserve">Re-running the pipeline with the same seed and the same source-snapshot pins produces a bit-identical dataset. Source-snapshot pins record the exact versions of public data used (e.g., NAICS edition, HS Nomenclature edition, Faker locale data version) so that an audit can reproduce the exact construction. Pinned snapshots are stored alongside the dataset.</w:t>
      </w:r>
    </w:p>
    <w:p>
      <w:pPr>
        <w:pStyle w:val="Heading2"/>
        <w:spacing w:after="160" w:before="280"/>
      </w:pPr>
      <w:r>
        <w:t xml:space="preserve">11.4 Validation gates</w:t>
      </w:r>
    </w:p>
    <w:p>
      <w:pPr>
        <w:spacing w:after="120" w:line="300"/>
      </w:pPr>
      <w:r>
        <w:t xml:space="preserve">Before publication, the dataset passes the following automated gates:</w:t>
      </w:r>
    </w:p>
    <w:p>
      <w:pPr>
        <w:pStyle w:val="ListParagraph"/>
        <w:numPr>
          <w:ilvl w:val="0"/>
          <w:numId w:val="2"/>
        </w:numPr>
        <w:spacing w:after="80" w:line="290"/>
      </w:pPr>
      <w:r>
        <w:t xml:space="preserve">Schema conformance: every record validates against the canonical schema</w:t>
      </w:r>
    </w:p>
    <w:p>
      <w:pPr>
        <w:pStyle w:val="ListParagraph"/>
        <w:numPr>
          <w:ilvl w:val="0"/>
          <w:numId w:val="2"/>
        </w:numPr>
        <w:spacing w:after="80" w:line="290"/>
      </w:pPr>
      <w:r>
        <w:t xml:space="preserve">Referential integrity: every cross-reference resolves; no dangling IDs</w:t>
      </w:r>
    </w:p>
    <w:p>
      <w:pPr>
        <w:pStyle w:val="ListParagraph"/>
        <w:numPr>
          <w:ilvl w:val="0"/>
          <w:numId w:val="2"/>
        </w:numPr>
        <w:spacing w:after="80" w:line="290"/>
      </w:pPr>
      <w:r>
        <w:t xml:space="preserve">Collision check: zero matches against named public sources</w:t>
      </w:r>
    </w:p>
    <w:p>
      <w:pPr>
        <w:pStyle w:val="ListParagraph"/>
        <w:numPr>
          <w:ilvl w:val="0"/>
          <w:numId w:val="2"/>
        </w:numPr>
        <w:spacing w:after="80" w:line="290"/>
      </w:pPr>
      <w:r>
        <w:t xml:space="preserve">Distributional check: amount distribution, typology mix, and confidence-band mix conform to specified targets within tolerance</w:t>
      </w:r>
    </w:p>
    <w:p>
      <w:pPr>
        <w:pStyle w:val="ListParagraph"/>
        <w:numPr>
          <w:ilvl w:val="0"/>
          <w:numId w:val="2"/>
        </w:numPr>
        <w:spacing w:after="80" w:line="290"/>
      </w:pPr>
      <w:r>
        <w:t xml:space="preserve">Cluster richness check: every L2 surface (signal density, address clusters, director clusters) renders non-trivially</w:t>
      </w:r>
    </w:p>
    <w:p>
      <w:pPr>
        <w:pStyle w:val="ListParagraph"/>
        <w:numPr>
          <w:ilvl w:val="0"/>
          <w:numId w:val="2"/>
        </w:numPr>
        <w:spacing w:after="80" w:line="290"/>
      </w:pPr>
      <w:r>
        <w:t xml:space="preserve">Investigator-coverage check: every typology has at least one fired, one partial, and one false-positive case</w:t>
      </w:r>
    </w:p>
    <w:p>
      <w:pPr>
        <w:pStyle w:val="Heading1"/>
        <w:spacing w:after="200" w:before="360"/>
      </w:pPr>
      <w:r>
        <w:t xml:space="preserve">12. Closing</w:t>
      </w:r>
    </w:p>
    <w:p>
      <w:pPr>
        <w:spacing w:after="120" w:line="300"/>
      </w:pPr>
      <w:r>
        <w:t xml:space="preserve">The data architecture described in this document is deliberately layered. The canonical relational schema is the asset. The investigator contract is the extension point. The evidence ledger is the bridge between investigators and the synthesizer. The synthesizer is decomposable to source. The analyst surfaces consume only what the lower layers produce. The relational store is the system of record at every stage; specialized stores (columnar analytical, search index) are introduced as derived projections only when measured load demands them.</w:t>
      </w:r>
    </w:p>
    <w:p>
      <w:pPr>
        <w:spacing w:after="120" w:line="300"/>
      </w:pPr>
      <w:r>
        <w:t xml:space="preserve">This layering supports two important properties simultaneously: production deployments can integrate one stream at a time and add typologies one at a time without disturbing earlier work, while the demonstration dataset can be regenerated bit-identically from a fixed seed against pinned public sources, with no real-entity exposure and full reproducibility for audit.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A2A2A"/>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Themis - data architecture and synthetic dataset construction</dc:title>
  <dc:creator>Themis product team</dc:creator>
  <cp:lastModifiedBy>Un-named</cp:lastModifiedBy>
  <cp:revision>1</cp:revision>
  <dcterms:created xsi:type="dcterms:W3CDTF">2026-05-03T23:43:35.600Z</dcterms:created>
  <dcterms:modified xsi:type="dcterms:W3CDTF">2026-05-03T23:43:35.601Z</dcterms:modified>
</cp:coreProperties>
</file>

<file path=docProps/custom.xml><?xml version="1.0" encoding="utf-8"?>
<Properties xmlns="http://schemas.openxmlformats.org/officeDocument/2006/custom-properties" xmlns:vt="http://schemas.openxmlformats.org/officeDocument/2006/docPropsVTypes"/>
</file>