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Schrodinger Price Quotation Table</w:t>
      </w:r>
    </w:p>
    <w:p>
      <w:pPr>
        <w:spacing w:after="140"/>
        <w:jc w:val="center"/>
      </w:pPr>
      <w:r>
        <w:rPr>
          <w:rFonts w:ascii="Arial" w:hAnsi="Arial"/>
          <w:b/>
          <w:sz w:val="19"/>
        </w:rPr>
        <w:t>Price Quotation 86380   |   Date 16 April 2026   |   Offer Expires 17 May 2026   |   Payment Terms Net 30</w:t>
      </w:r>
    </w:p>
    <w:tbl>
      <w:tblPr>
        <w:tblW w:type="dxa" w:w="13000"/>
        <w:jc w:val="center"/>
        <w:tblLayout w:type="fixed"/>
        <w:tblLook w:firstColumn="1" w:firstRow="1" w:lastColumn="0" w:lastRow="0" w:noHBand="0" w:noVBand="1" w:val="04A0"/>
      </w:tblPr>
      <w:tblGrid>
        <w:gridCol w:w="1050"/>
        <w:gridCol w:w="7300"/>
        <w:gridCol w:w="2950"/>
        <w:gridCol w:w="1700"/>
      </w:tblGrid>
      <w:tr>
        <w:trPr>
          <w:cantSplit/>
          <w:tblHeader w:val="true"/>
        </w:trPr>
        <w:tc>
          <w:tcPr>
            <w:tcW w:type="dxa" w:w="105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jc w:val="center"/>
            </w:pPr>
            <w:r>
              <w:rPr>
                <w:rFonts w:ascii="Arial" w:hAnsi="Arial"/>
                <w:b/>
                <w:color w:val="FFFFFF"/>
                <w:sz w:val="18"/>
              </w:rPr>
              <w:t>Quantity</w:t>
            </w:r>
          </w:p>
        </w:tc>
        <w:tc>
          <w:tcPr>
            <w:tcW w:type="dxa" w:w="730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jc w:val="center"/>
            </w:pPr>
            <w:r>
              <w:rPr>
                <w:rFonts w:ascii="Arial" w:hAnsi="Arial"/>
                <w:b/>
                <w:color w:val="FFFFFF"/>
                <w:sz w:val="18"/>
              </w:rPr>
              <w:t>Item</w:t>
            </w:r>
          </w:p>
        </w:tc>
        <w:tc>
          <w:tcPr>
            <w:tcW w:type="dxa" w:w="295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jc w:val="center"/>
            </w:pPr>
            <w:r>
              <w:rPr>
                <w:rFonts w:ascii="Arial" w:hAnsi="Arial"/>
                <w:b/>
                <w:color w:val="FFFFFF"/>
                <w:sz w:val="18"/>
              </w:rPr>
              <w:t>Term</w:t>
            </w:r>
          </w:p>
        </w:tc>
        <w:tc>
          <w:tcPr>
            <w:tcW w:type="dxa" w:w="1700"/>
            <w:vAlign w:val="center"/>
            <w:shd w:fill="1F4E78"/>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jc w:val="center"/>
            </w:pPr>
            <w:r>
              <w:rPr>
                <w:rFonts w:ascii="Arial" w:hAnsi="Arial"/>
                <w:b/>
                <w:color w:val="FFFFFF"/>
                <w:sz w:val="18"/>
              </w:rPr>
              <w:t>Amount</w:t>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10</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Tokens for hosted interchangeable library including (Deep)AutoQSAR, AutoTS, Canvas, ConfGen, Epik, GA Optoelectronics, Jaguar, Jaguar pKa, LigPrep, MacroModel, MS CG, MS Complex Bilayer Builder, MS Dielectric, MS Transport, MS Formulation ML, MS Informatics, MS Layered Device ML, MS Microkinetics, MS Mobility, MS Morph, MS Penetrant Loading, MS Reactive Interface Simulator, MS Reactivity, MS Surface, QSite and Quantum Espresso Interface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Jaguar Spectroscopy - Hosted Floating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3</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MS Maestro - Hosted Floating Licenses</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NBO - Hosted Floating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b/>
                <w:sz w:val="16"/>
              </w:rPr>
              <w:t>Subtotal</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b/>
                <w:sz w:val="16"/>
              </w:rPr>
              <w:t>5,88,400</w:t>
            </w:r>
          </w:p>
        </w:tc>
      </w:tr>
      <w:tr>
        <w:trPr>
          <w:cantSplit/>
        </w:trPr>
        <w:tc>
          <w:tcPr>
            <w:tcW w:type="dxa" w:w="10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PyMOL - Tier 1</w:t>
            </w:r>
          </w:p>
        </w:tc>
        <w:tc>
          <w:tcPr>
            <w:tcW w:type="dxa" w:w="29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41,000</w:t>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25</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Tokens for hosted interchangeable library including (Deep)AutoQSAR, Canvas, ConfGen, Core Hopping, Epik, Field-based QSAR, Glide, Impact, Jaguar, Jaguar pKa, LigPrep, MacroModel, Membrane Permeability, Phase, Shape Screening, Prime, PrimeX, QikProp, QSite and SiteMap</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Maestro - Hosted Access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OPLS - Hosted Access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KNIME - Hosted Access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BioLuminate - Hosted Floating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50</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Desmond GPU - Hosted Floating Licenses</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PIPER - Hosted Floating License</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w:t>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Hosted License Server</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 year from date of delivery</w:t>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r>
      <w:tr>
        <w:trPr>
          <w:cantSplit/>
        </w:trPr>
        <w:tc>
          <w:tcPr>
            <w:tcW w:type="dxa" w:w="10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73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b/>
                <w:sz w:val="16"/>
              </w:rPr>
              <w:t>Subtotal</w:t>
            </w:r>
          </w:p>
        </w:tc>
        <w:tc>
          <w:tcPr>
            <w:tcW w:type="dxa" w:w="295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1700"/>
            <w:vAlign w:val="center"/>
            <w:shd w:fill="E7E7E7"/>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b/>
                <w:sz w:val="16"/>
              </w:rPr>
              <w:t>20,32,880</w:t>
            </w:r>
          </w:p>
        </w:tc>
      </w:tr>
      <w:tr>
        <w:trPr>
          <w:cantSplit/>
        </w:trPr>
        <w:tc>
          <w:tcPr>
            <w:tcW w:type="dxa" w:w="10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73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Special Discount for Combined Package</w:t>
            </w:r>
          </w:p>
        </w:tc>
        <w:tc>
          <w:tcPr>
            <w:tcW w:type="dxa" w:w="29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1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-1,31,064</w:t>
            </w:r>
          </w:p>
        </w:tc>
      </w:tr>
      <w:tr>
        <w:trPr>
          <w:cantSplit/>
        </w:trPr>
        <w:tc>
          <w:tcPr>
            <w:tcW w:type="dxa" w:w="10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73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sz w:val="16"/>
              </w:rPr>
              <w:t>18% GST</w:t>
            </w:r>
          </w:p>
        </w:tc>
        <w:tc>
          <w:tcPr>
            <w:tcW w:type="dxa" w:w="295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r>
          </w:p>
        </w:tc>
        <w:tc>
          <w:tcPr>
            <w:tcW w:type="dxa" w:w="1700"/>
            <w:vAlign w:val="center"/>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sz w:val="16"/>
              </w:rPr>
              <w:t>4,55,619</w:t>
            </w:r>
          </w:p>
        </w:tc>
      </w:tr>
      <w:tr>
        <w:trPr>
          <w:cantSplit/>
        </w:trPr>
        <w:tc>
          <w:tcPr>
            <w:tcW w:type="dxa" w:w="1050"/>
            <w:vAlign w:val="center"/>
            <w:shd w:fill="D9E7F5"/>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b/>
                <w:sz w:val="16"/>
              </w:rPr>
            </w:r>
          </w:p>
        </w:tc>
        <w:tc>
          <w:tcPr>
            <w:tcW w:type="dxa" w:w="7300"/>
            <w:vAlign w:val="center"/>
            <w:shd w:fill="D9E7F5"/>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left"/>
            </w:pPr>
            <w:r>
              <w:rPr>
                <w:rFonts w:ascii="Arial" w:hAnsi="Arial"/>
                <w:b/>
                <w:sz w:val="16"/>
              </w:rPr>
              <w:t>Total</w:t>
            </w:r>
          </w:p>
        </w:tc>
        <w:tc>
          <w:tcPr>
            <w:tcW w:type="dxa" w:w="2950"/>
            <w:vAlign w:val="center"/>
            <w:shd w:fill="D9E7F5"/>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b/>
                <w:sz w:val="16"/>
              </w:rPr>
            </w:r>
          </w:p>
        </w:tc>
        <w:tc>
          <w:tcPr>
            <w:tcW w:type="dxa" w:w="1700"/>
            <w:vAlign w:val="center"/>
            <w:shd w:fill="D9E7F5"/>
            <w:tcBorders>
              <w:top w:val="single" w:sz="4" w:color="D9D9D9"/>
              <w:left w:val="single" w:sz="4" w:color="D9D9D9"/>
              <w:bottom w:val="single" w:sz="4" w:color="D9D9D9"/>
              <w:right w:val="single" w:sz="4" w:color="D9D9D9"/>
              <w:insideH w:val="single" w:sz="4" w:color="D9D9D9"/>
              <w:insideV w:val="single" w:sz="4" w:color="D9D9D9"/>
            </w:tcBorders>
            <w:tcMar>
              <w:top w:w="55" w:type="dxa"/>
              <w:left w:w="85" w:type="dxa"/>
              <w:bottom w:w="55" w:type="dxa"/>
              <w:right w:w="85" w:type="dxa"/>
            </w:tcMar>
          </w:tcPr>
          <w:p>
            <w:pPr>
              <w:spacing w:before="24" w:after="24" w:line="228" w:lineRule="auto"/>
              <w:jc w:val="center"/>
            </w:pPr>
            <w:r>
              <w:rPr>
                <w:rFonts w:ascii="Arial" w:hAnsi="Arial"/>
                <w:b/>
                <w:sz w:val="16"/>
              </w:rPr>
              <w:t>₹ 29,86,835</w:t>
            </w:r>
          </w:p>
        </w:tc>
      </w:tr>
    </w:tbl>
    <w:p>
      <w:pPr>
        <w:spacing w:before="80" w:after="0"/>
        <w:jc w:val="center"/>
      </w:pPr>
      <w:r>
        <w:rPr>
          <w:rFonts w:ascii="Arial" w:hAnsi="Arial"/>
          <w:b/>
          <w:sz w:val="17"/>
        </w:rPr>
        <w:t>All amounts shown in Indian Rupee</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jc w:val="cente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Schrodinger Price Quotation Table</dc:title>
  <dc:subject>Price Quotation 86380</dc:subject>
  <dc:creator>Computer and Informatics Centre IIT Kharagpur</dc:creator>
  <cp:keywords/>
  <dc:description>generated by python-docx</dc:description>
  <cp:lastModifiedBy/>
  <cp:revision>1</cp:revision>
  <dcterms:created xsi:type="dcterms:W3CDTF">2013-12-23T23:15:00Z</dcterms:created>
  <dcterms:modified xsi:type="dcterms:W3CDTF">2013-12-23T23:15:00Z</dcterms:modified>
  <cp:category/>
</cp:coreProperties>
</file>