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44"/>
          <w:szCs w:val="44"/>
        </w:rPr>
        <w:t xml:space="preserve">SOFTWARE REQUIREMENTS SPECIFICATION</w:t>
      </w:r>
    </w:p>
    <w:p>
      <w:pPr>
        <w:spacing w:before="300"/>
        <w:jc w:val="center"/>
      </w:pPr>
      <w:r>
        <w:rPr>
          <w:b/>
          <w:bCs/>
          <w:color w:val="2E74B5"/>
          <w:sz w:val="32"/>
          <w:szCs w:val="32"/>
        </w:rPr>
        <w:t xml:space="preserve">Unified Social Media Agency Management Platform</w:t>
      </w:r>
    </w:p>
    <w:p>
      <w:pPr>
        <w:spacing w:before="200"/>
        <w:jc w:val="center"/>
      </w:pPr>
      <w:r>
        <w:rPr>
          <w:i/>
          <w:iCs/>
          <w:sz w:val="24"/>
          <w:szCs w:val="24"/>
        </w:rPr>
        <w:t xml:space="preserve">AI-Driven Publishing, Approval, Community Management, Asset Governance &amp; Agency Operations</w:t>
      </w:r>
    </w:p>
    <w:p>
      <w:pPr>
        <w:spacing w:before="800"/>
        <w:jc w:val="center"/>
      </w:pPr>
      <w:r>
        <w:rPr>
          <w:sz w:val="22"/>
          <w:szCs w:val="22"/>
        </w:rPr>
        <w:t xml:space="preserve">Document Version: 1.0  |  Status: Draft for Review</w:t>
      </w:r>
    </w:p>
    <w:p>
      <w:pPr>
        <w:spacing w:before="100"/>
        <w:jc w:val="center"/>
      </w:pPr>
      <w:r>
        <w:rPr>
          <w:sz w:val="22"/>
          <w:szCs w:val="22"/>
        </w:rPr>
        <w:t xml:space="preserve">Prepared: July 2026</w:t>
      </w:r>
    </w:p>
    <w:p>
      <w:r>
        <w:br w:type="page"/>
      </w:r>
    </w:p>
    <w:p>
      <w:pPr>
        <w:pStyle w:val="Heading1"/>
      </w:pPr>
      <w:r>
        <w:rPr>
          <w:b/>
          <w:bCs/>
          <w:color w:val="1F386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rPr>
        <w:t xml:space="preserve">1  Introduction</w:t>
      </w:r>
    </w:p>
    <w:p>
      <w:pPr>
        <w:pStyle w:val="Heading2"/>
        <w:spacing w:after="120" w:before="280"/>
      </w:pPr>
      <w:r>
        <w:rPr>
          <w:b/>
          <w:bCs/>
          <w:color w:val="2E74B5"/>
        </w:rPr>
        <w:t xml:space="preserve">1.1 Purpose</w:t>
      </w:r>
    </w:p>
    <w:p>
      <w:pPr>
        <w:spacing w:after="160"/>
      </w:pPr>
      <w:r>
        <w:t xml:space="preserve">This Software Requirements Specification (SRS) defines the functional and non-functional requirements for a unified Social Media Agency Management Platform. The platform consolidates content planning, multi-platform publishing, client approval workflows, AI-driven automation, community management (Social CRM), brand/asset governance, and agency operations (profitability, capacity, white-labeling) into a single system. This document is intended for the development team, QA, project stakeholders, and prospective client-side administrators who require insight into system behavior.</w:t>
      </w:r>
    </w:p>
    <w:p>
      <w:pPr>
        <w:pStyle w:val="Heading2"/>
        <w:spacing w:after="120" w:before="280"/>
      </w:pPr>
      <w:r>
        <w:rPr>
          <w:b/>
          <w:bCs/>
          <w:color w:val="2E74B5"/>
        </w:rPr>
        <w:t xml:space="preserve">1.2 Scope</w:t>
      </w:r>
    </w:p>
    <w:p>
      <w:pPr>
        <w:spacing w:after="160"/>
      </w:pPr>
      <w:r>
        <w:t xml:space="preserve">The system, referred to hereafter as “the Platform,” will allow marketing/social media agencies to plan, create, route for approval, publish, and monitor content across Meta (Facebook/Instagram), LinkedIn, X (Twitter), and TikTok, on behalf of multiple client brands. The Platform automates the approval and compliance chase process, centralizes inbound community engagement, enforces brand consistency via reusable Brand Kits, integrates with external creative tools (Canva, Figma, Adobe), and gives agency leadership visibility into profitability and team capacity. The Platform is delivered as a multi-tenant SaaS web application with role-based, white-labeled client portals.</w:t>
      </w:r>
    </w:p>
    <w:p>
      <w:pPr>
        <w:pStyle w:val="Heading2"/>
        <w:spacing w:after="120" w:before="280"/>
      </w:pPr>
      <w:r>
        <w:rPr>
          <w:b/>
          <w:bCs/>
          <w:color w:val="2E74B5"/>
        </w:rPr>
        <w:t xml:space="preserve">1.3 Definitions, Acronyms, and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Term</w:t>
            </w:r>
          </w:p>
        </w:tc>
        <w:tc>
          <w:tcPr>
            <w:tcW w:type="dxa" w:w="7100"/>
            <w:shd w:fill="1F3864" w:val="clear"/>
            <w:tcMar>
              <w:top w:type="dxa" w:w="80"/>
              <w:left w:type="dxa" w:w="100"/>
              <w:bottom w:type="dxa" w:w="80"/>
              <w:right w:type="dxa" w:w="100"/>
            </w:tcMar>
            <w:vAlign w:val="center"/>
          </w:tcPr>
          <w:p>
            <w:r>
              <w:rPr>
                <w:b/>
                <w:bCs/>
                <w:color w:val="FFFFFF"/>
                <w:sz w:val="20"/>
                <w:szCs w:val="20"/>
              </w:rPr>
              <w:t xml:space="preserve">Definition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Agency</w:t>
            </w:r>
          </w:p>
        </w:tc>
        <w:tc>
          <w:tcPr>
            <w:tcW w:type="dxa" w:w="7100"/>
            <w:tcMar>
              <w:top w:type="dxa" w:w="80"/>
              <w:left w:type="dxa" w:w="100"/>
              <w:bottom w:type="dxa" w:w="80"/>
              <w:right w:type="dxa" w:w="100"/>
            </w:tcMar>
            <w:vAlign w:val="center"/>
          </w:tcPr>
          <w:p>
            <w:r>
              <w:rPr>
                <w:b w:val="false"/>
                <w:bCs w:val="false"/>
                <w:color w:val="000000"/>
                <w:sz w:val="20"/>
                <w:szCs w:val="20"/>
              </w:rPr>
              <w:t xml:space="preserve">The tenant organization using the Platform to manage one or more Clients.</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Client</w:t>
            </w:r>
          </w:p>
        </w:tc>
        <w:tc>
          <w:tcPr>
            <w:tcW w:type="dxa" w:w="7100"/>
            <w:shd w:fill="F2F2F2" w:val="clear"/>
            <w:tcMar>
              <w:top w:type="dxa" w:w="80"/>
              <w:left w:type="dxa" w:w="100"/>
              <w:bottom w:type="dxa" w:w="80"/>
              <w:right w:type="dxa" w:w="100"/>
            </w:tcMar>
            <w:vAlign w:val="center"/>
          </w:tcPr>
          <w:p>
            <w:r>
              <w:rPr>
                <w:b w:val="false"/>
                <w:bCs w:val="false"/>
                <w:color w:val="000000"/>
                <w:sz w:val="20"/>
                <w:szCs w:val="20"/>
              </w:rPr>
              <w:t xml:space="preserve">A brand/business whose social accounts are managed by the Agency.</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Workspace</w:t>
            </w:r>
          </w:p>
        </w:tc>
        <w:tc>
          <w:tcPr>
            <w:tcW w:type="dxa" w:w="7100"/>
            <w:tcMar>
              <w:top w:type="dxa" w:w="80"/>
              <w:left w:type="dxa" w:w="100"/>
              <w:bottom w:type="dxa" w:w="80"/>
              <w:right w:type="dxa" w:w="100"/>
            </w:tcMar>
            <w:vAlign w:val="center"/>
          </w:tcPr>
          <w:p>
            <w:r>
              <w:rPr>
                <w:b w:val="false"/>
                <w:bCs w:val="false"/>
                <w:color w:val="000000"/>
                <w:sz w:val="20"/>
                <w:szCs w:val="20"/>
              </w:rPr>
              <w:t xml:space="preserve">An isolated container of campaigns, assets, and users scoped to a single Client.</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Asset</w:t>
            </w:r>
          </w:p>
        </w:tc>
        <w:tc>
          <w:tcPr>
            <w:tcW w:type="dxa" w:w="7100"/>
            <w:shd w:fill="F2F2F2" w:val="clear"/>
            <w:tcMar>
              <w:top w:type="dxa" w:w="80"/>
              <w:left w:type="dxa" w:w="100"/>
              <w:bottom w:type="dxa" w:w="80"/>
              <w:right w:type="dxa" w:w="100"/>
            </w:tcMar>
            <w:vAlign w:val="center"/>
          </w:tcPr>
          <w:p>
            <w:r>
              <w:rPr>
                <w:b w:val="false"/>
                <w:bCs w:val="false"/>
                <w:color w:val="000000"/>
                <w:sz w:val="20"/>
                <w:szCs w:val="20"/>
              </w:rPr>
              <w:t xml:space="preserve">Any raw or finished media file (video, image, audio, copy) stored in the Media Library.</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Post</w:t>
            </w:r>
          </w:p>
        </w:tc>
        <w:tc>
          <w:tcPr>
            <w:tcW w:type="dxa" w:w="7100"/>
            <w:tcMar>
              <w:top w:type="dxa" w:w="80"/>
              <w:left w:type="dxa" w:w="100"/>
              <w:bottom w:type="dxa" w:w="80"/>
              <w:right w:type="dxa" w:w="100"/>
            </w:tcMar>
            <w:vAlign w:val="center"/>
          </w:tcPr>
          <w:p>
            <w:r>
              <w:rPr>
                <w:b w:val="false"/>
                <w:bCs w:val="false"/>
                <w:color w:val="000000"/>
                <w:sz w:val="20"/>
                <w:szCs w:val="20"/>
              </w:rPr>
              <w:t xml:space="preserve">A scheduled or published piece of content targeted at one or more social platforms.</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Approval Workflow</w:t>
            </w:r>
          </w:p>
        </w:tc>
        <w:tc>
          <w:tcPr>
            <w:tcW w:type="dxa" w:w="7100"/>
            <w:shd w:fill="F2F2F2" w:val="clear"/>
            <w:tcMar>
              <w:top w:type="dxa" w:w="80"/>
              <w:left w:type="dxa" w:w="100"/>
              <w:bottom w:type="dxa" w:w="80"/>
              <w:right w:type="dxa" w:w="100"/>
            </w:tcMar>
            <w:vAlign w:val="center"/>
          </w:tcPr>
          <w:p>
            <w:r>
              <w:rPr>
                <w:b w:val="false"/>
                <w:bCs w:val="false"/>
                <w:color w:val="000000"/>
                <w:sz w:val="20"/>
                <w:szCs w:val="20"/>
              </w:rPr>
              <w:t xml:space="preserve">A configurable, ordered sequence of stakeholders who must review/approve a Post before it publishes.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SRS</w:t>
            </w:r>
          </w:p>
        </w:tc>
        <w:tc>
          <w:tcPr>
            <w:tcW w:type="dxa" w:w="7100"/>
            <w:tcMar>
              <w:top w:type="dxa" w:w="80"/>
              <w:left w:type="dxa" w:w="100"/>
              <w:bottom w:type="dxa" w:w="80"/>
              <w:right w:type="dxa" w:w="100"/>
            </w:tcMar>
            <w:vAlign w:val="center"/>
          </w:tcPr>
          <w:p>
            <w:r>
              <w:rPr>
                <w:b w:val="false"/>
                <w:bCs w:val="false"/>
                <w:color w:val="000000"/>
                <w:sz w:val="20"/>
                <w:szCs w:val="20"/>
              </w:rPr>
              <w:t xml:space="preserve">Software Requirements Specification.</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RBAC</w:t>
            </w:r>
          </w:p>
        </w:tc>
        <w:tc>
          <w:tcPr>
            <w:tcW w:type="dxa" w:w="7100"/>
            <w:shd w:fill="F2F2F2" w:val="clear"/>
            <w:tcMar>
              <w:top w:type="dxa" w:w="80"/>
              <w:left w:type="dxa" w:w="100"/>
              <w:bottom w:type="dxa" w:w="80"/>
              <w:right w:type="dxa" w:w="100"/>
            </w:tcMar>
            <w:vAlign w:val="center"/>
          </w:tcPr>
          <w:p>
            <w:r>
              <w:rPr>
                <w:b w:val="false"/>
                <w:bCs w:val="false"/>
                <w:color w:val="000000"/>
                <w:sz w:val="20"/>
                <w:szCs w:val="20"/>
              </w:rPr>
              <w:t xml:space="preserve">Role-Based Access Control.</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SLA</w:t>
            </w:r>
          </w:p>
        </w:tc>
        <w:tc>
          <w:tcPr>
            <w:tcW w:type="dxa" w:w="7100"/>
            <w:tcMar>
              <w:top w:type="dxa" w:w="80"/>
              <w:left w:type="dxa" w:w="100"/>
              <w:bottom w:type="dxa" w:w="80"/>
              <w:right w:type="dxa" w:w="100"/>
            </w:tcMar>
            <w:vAlign w:val="center"/>
          </w:tcPr>
          <w:p>
            <w:r>
              <w:rPr>
                <w:b w:val="false"/>
                <w:bCs w:val="false"/>
                <w:color w:val="000000"/>
                <w:sz w:val="20"/>
                <w:szCs w:val="20"/>
              </w:rPr>
              <w:t xml:space="preserve">Service Level Agreement (e.g., a 24-hour approval window).</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Global Inbox</w:t>
            </w:r>
          </w:p>
        </w:tc>
        <w:tc>
          <w:tcPr>
            <w:tcW w:type="dxa" w:w="7100"/>
            <w:shd w:fill="F2F2F2" w:val="clear"/>
            <w:tcMar>
              <w:top w:type="dxa" w:w="80"/>
              <w:left w:type="dxa" w:w="100"/>
              <w:bottom w:type="dxa" w:w="80"/>
              <w:right w:type="dxa" w:w="100"/>
            </w:tcMar>
            <w:vAlign w:val="center"/>
          </w:tcPr>
          <w:p>
            <w:r>
              <w:rPr>
                <w:b w:val="false"/>
                <w:bCs w:val="false"/>
                <w:color w:val="000000"/>
                <w:sz w:val="20"/>
                <w:szCs w:val="20"/>
              </w:rPr>
              <w:t xml:space="preserve">The unified feed of DMs, comments, mentions, and tags across all connected platforms.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Brand Kit</w:t>
            </w:r>
          </w:p>
        </w:tc>
        <w:tc>
          <w:tcPr>
            <w:tcW w:type="dxa" w:w="7100"/>
            <w:tcMar>
              <w:top w:type="dxa" w:w="80"/>
              <w:left w:type="dxa" w:w="100"/>
              <w:bottom w:type="dxa" w:w="80"/>
              <w:right w:type="dxa" w:w="100"/>
            </w:tcMar>
            <w:vAlign w:val="center"/>
          </w:tcPr>
          <w:p>
            <w:r>
              <w:rPr>
                <w:b w:val="false"/>
                <w:bCs w:val="false"/>
                <w:color w:val="000000"/>
                <w:sz w:val="20"/>
                <w:szCs w:val="20"/>
              </w:rPr>
              <w:t xml:space="preserve">The stored set of a Client's colors, typography, tone-of-voice, and compliance rules.</w:t>
            </w:r>
          </w:p>
        </w:tc>
      </w:tr>
    </w:tbl>
    <w:p>
      <w:pPr>
        <w:spacing w:after="120"/>
      </w:pPr>
    </w:p>
    <w:p>
      <w:pPr>
        <w:pStyle w:val="Heading2"/>
        <w:spacing w:after="120" w:before="280"/>
      </w:pPr>
      <w:r>
        <w:rPr>
          <w:b/>
          <w:bCs/>
          <w:color w:val="2E74B5"/>
        </w:rPr>
        <w:t xml:space="preserve">1.4 References</w:t>
      </w:r>
    </w:p>
    <w:p>
      <w:pPr>
        <w:pStyle w:val="ListParagraph"/>
        <w:numPr>
          <w:ilvl w:val="0"/>
          <w:numId w:val="1"/>
        </w:numPr>
        <w:spacing w:after="80"/>
      </w:pPr>
      <w:r>
        <w:t xml:space="preserve">IEEE Std 830-1998 – Recommended Practice for Software Requirements Specifications</w:t>
      </w:r>
    </w:p>
    <w:p>
      <w:pPr>
        <w:pStyle w:val="ListParagraph"/>
        <w:numPr>
          <w:ilvl w:val="0"/>
          <w:numId w:val="1"/>
        </w:numPr>
        <w:spacing w:after="80"/>
      </w:pPr>
      <w:r>
        <w:t xml:space="preserve">Meta Graph API, LinkedIn Marketing API, X API v2, TikTok for Business API documentation</w:t>
      </w:r>
    </w:p>
    <w:p>
      <w:pPr>
        <w:pStyle w:val="ListParagraph"/>
        <w:numPr>
          <w:ilvl w:val="0"/>
          <w:numId w:val="1"/>
        </w:numPr>
        <w:spacing w:after="80"/>
      </w:pPr>
      <w:r>
        <w:t xml:space="preserve">GDPR (EU 2016/679) and applicable regional data-protection regulations</w:t>
      </w:r>
    </w:p>
    <w:p>
      <w:pPr>
        <w:pStyle w:val="ListParagraph"/>
        <w:numPr>
          <w:ilvl w:val="0"/>
          <w:numId w:val="1"/>
        </w:numPr>
        <w:spacing w:after="80"/>
      </w:pPr>
      <w:r>
        <w:t xml:space="preserve">WCAG 2.1 AA Accessibility Guidelines</w:t>
      </w:r>
    </w:p>
    <w:p>
      <w:pPr>
        <w:pStyle w:val="Heading2"/>
        <w:spacing w:after="120" w:before="280"/>
      </w:pPr>
      <w:r>
        <w:rPr>
          <w:b/>
          <w:bCs/>
          <w:color w:val="2E74B5"/>
        </w:rPr>
        <w:t xml:space="preserve">1.5 Document Overview</w:t>
      </w:r>
    </w:p>
    <w:p>
      <w:pPr>
        <w:spacing w:after="160"/>
      </w:pPr>
      <w:r>
        <w:t xml:space="preserve">Section 2 describes the product at a high level, including sections A–C which establish the platform foundation. Section 3 provides detailed, testable functional requirements organized by module (Sections A–G). Section 4 defines primary use cases. Section 5 defines the logical data model. Section 6 covers external interfaces. Section 7 defines non-functional requirements. Section 8 provides a requirements traceability matrix, and Section 9 lists assumptions, dependencies, and open issues.</w:t>
      </w:r>
    </w:p>
    <w:p>
      <w:r>
        <w:br w:type="page"/>
      </w:r>
    </w:p>
    <w:p>
      <w:pPr>
        <w:pStyle w:val="Heading1"/>
        <w:spacing w:after="200" w:before="400"/>
      </w:pPr>
      <w:r>
        <w:rPr>
          <w:b/>
          <w:bCs/>
          <w:color w:val="1F3864"/>
        </w:rPr>
        <w:t xml:space="preserve">2  Overall Description</w:t>
      </w:r>
    </w:p>
    <w:p>
      <w:pPr>
        <w:pStyle w:val="Heading2"/>
        <w:spacing w:after="120" w:before="280"/>
      </w:pPr>
      <w:r>
        <w:rPr>
          <w:b/>
          <w:bCs/>
          <w:color w:val="2E74B5"/>
        </w:rPr>
        <w:t xml:space="preserve">2.1 Product Perspective</w:t>
      </w:r>
    </w:p>
    <w:p>
      <w:pPr>
        <w:spacing w:after="160"/>
      </w:pPr>
      <w:r>
        <w:t xml:space="preserve">The Platform is a new, standalone, multi-tenant SaaS product. It integrates with external social platform APIs (Meta, LinkedIn, X, TikTok), external creative tools (Canva, Figma, Adobe), and communication channels (email, Slack) for automated notifications. It does not replace those platforms' native analytics but aggregates and orchestrates activity across them from a single agency-facing and client-facing interface.</w:t>
      </w:r>
    </w:p>
    <w:p>
      <w:pPr>
        <w:pStyle w:val="Heading2"/>
        <w:spacing w:after="120" w:before="280"/>
      </w:pPr>
      <w:r>
        <w:rPr>
          <w:b/>
          <w:bCs/>
          <w:color w:val="2E74B5"/>
        </w:rPr>
        <w:t xml:space="preserve">2.2 Product Functions (Summary)</w:t>
      </w:r>
    </w:p>
    <w:p>
      <w:pPr>
        <w:pStyle w:val="ListParagraph"/>
        <w:numPr>
          <w:ilvl w:val="0"/>
          <w:numId w:val="1"/>
        </w:numPr>
        <w:spacing w:after="80"/>
      </w:pPr>
      <w:r>
        <w:t xml:space="preserve">A – Platform Overview &amp; Core Architecture: multi-tenant workspace foundation, authentication, and content calendar shell.</w:t>
      </w:r>
    </w:p>
    <w:p>
      <w:pPr>
        <w:pStyle w:val="ListParagraph"/>
        <w:numPr>
          <w:ilvl w:val="0"/>
          <w:numId w:val="1"/>
        </w:numPr>
        <w:spacing w:after="80"/>
      </w:pPr>
      <w:r>
        <w:t xml:space="preserve">B – Multi-Platform Content Calendar &amp; Publishing Engine: drafting, scheduling, and cross-platform publishing of Posts.</w:t>
      </w:r>
    </w:p>
    <w:p>
      <w:pPr>
        <w:pStyle w:val="ListParagraph"/>
        <w:numPr>
          <w:ilvl w:val="0"/>
          <w:numId w:val="1"/>
        </w:numPr>
        <w:spacing w:after="80"/>
      </w:pPr>
      <w:r>
        <w:t xml:space="preserve">C – Client Collaboration &amp; Baseline Approval Workflow: manual review, commenting, and sign-off between Agency and Client.</w:t>
      </w:r>
    </w:p>
    <w:p>
      <w:pPr>
        <w:pStyle w:val="ListParagraph"/>
        <w:numPr>
          <w:ilvl w:val="0"/>
          <w:numId w:val="1"/>
        </w:numPr>
        <w:spacing w:after="80"/>
      </w:pPr>
      <w:r>
        <w:t xml:space="preserve">D – AI-Driven Workflow &amp; Approval Automation: intelligent routing, automated chasing, and brand-safety/duplicate checks layered on top of B and C.</w:t>
      </w:r>
    </w:p>
    <w:p>
      <w:pPr>
        <w:pStyle w:val="ListParagraph"/>
        <w:numPr>
          <w:ilvl w:val="0"/>
          <w:numId w:val="1"/>
        </w:numPr>
        <w:spacing w:after="80"/>
      </w:pPr>
      <w:r>
        <w:t xml:space="preserve">E – Unified Social CRM: global inbox, AI sentiment triage, and reply-collision prevention.</w:t>
      </w:r>
    </w:p>
    <w:p>
      <w:pPr>
        <w:pStyle w:val="ListParagraph"/>
        <w:numPr>
          <w:ilvl w:val="0"/>
          <w:numId w:val="1"/>
        </w:numPr>
        <w:spacing w:after="80"/>
      </w:pPr>
      <w:r>
        <w:t xml:space="preserve">F – Centralized Asset &amp; Brand Management: tagged media library, Brand Kits, and creative-tool integrations.</w:t>
      </w:r>
    </w:p>
    <w:p>
      <w:pPr>
        <w:pStyle w:val="ListParagraph"/>
        <w:numPr>
          <w:ilvl w:val="0"/>
          <w:numId w:val="1"/>
        </w:numPr>
        <w:spacing w:after="80"/>
      </w:pPr>
      <w:r>
        <w:t xml:space="preserve">G – Agency Operations &amp; Capacity Planning: profitability tracking, white-labeled portals, and RBAC.</w:t>
      </w:r>
    </w:p>
    <w:p>
      <w:pPr>
        <w:pStyle w:val="Heading2"/>
        <w:spacing w:after="120" w:before="280"/>
      </w:pPr>
      <w:r>
        <w:rPr>
          <w:b/>
          <w:bCs/>
          <w:color w:val="2E74B5"/>
        </w:rPr>
        <w:t xml:space="preserve">2.3 User Classes and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User Class</w:t>
            </w:r>
          </w:p>
        </w:tc>
        <w:tc>
          <w:tcPr>
            <w:tcW w:type="dxa" w:w="69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Agency Owner / Admin</w:t>
            </w:r>
          </w:p>
        </w:tc>
        <w:tc>
          <w:tcPr>
            <w:tcW w:type="dxa" w:w="6900"/>
            <w:tcMar>
              <w:top w:type="dxa" w:w="80"/>
              <w:left w:type="dxa" w:w="100"/>
              <w:bottom w:type="dxa" w:w="80"/>
              <w:right w:type="dxa" w:w="100"/>
            </w:tcMar>
            <w:vAlign w:val="center"/>
          </w:tcPr>
          <w:p>
            <w:r>
              <w:rPr>
                <w:b w:val="false"/>
                <w:bCs w:val="false"/>
                <w:color w:val="000000"/>
                <w:sz w:val="20"/>
                <w:szCs w:val="20"/>
              </w:rPr>
              <w:t xml:space="preserve">Full access across all Client workspaces; sees global revenue, capacity, and pipeline metrics; configures RBAC and white-label branding.</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Account Manager</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Manages one or more Client relationships; configures approval workflows; monitors chasing/escalations.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Creator / Designer</w:t>
            </w:r>
          </w:p>
        </w:tc>
        <w:tc>
          <w:tcPr>
            <w:tcW w:type="dxa" w:w="6900"/>
            <w:tcMar>
              <w:top w:type="dxa" w:w="80"/>
              <w:left w:type="dxa" w:w="100"/>
              <w:bottom w:type="dxa" w:w="80"/>
              <w:right w:type="dxa" w:w="100"/>
            </w:tcMar>
            <w:vAlign w:val="center"/>
          </w:tcPr>
          <w:p>
            <w:r>
              <w:rPr>
                <w:b w:val="false"/>
                <w:bCs w:val="false"/>
                <w:color w:val="000000"/>
                <w:sz w:val="20"/>
                <w:szCs w:val="20"/>
              </w:rPr>
              <w:t xml:space="preserve">Uploads and tags assets, drafts Posts, pushes files from Canva/Figma/Adobe into the queue.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Copywriter</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Drafts post copy assisted by the Brand Kit AI voice assistant.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Legal / Compliance Reviewer</w:t>
            </w:r>
          </w:p>
        </w:tc>
        <w:tc>
          <w:tcPr>
            <w:tcW w:type="dxa" w:w="6900"/>
            <w:tcMar>
              <w:top w:type="dxa" w:w="80"/>
              <w:left w:type="dxa" w:w="100"/>
              <w:bottom w:type="dxa" w:w="80"/>
              <w:right w:type="dxa" w:w="100"/>
            </w:tcMar>
            <w:vAlign w:val="center"/>
          </w:tcPr>
          <w:p>
            <w:r>
              <w:rPr>
                <w:b w:val="false"/>
                <w:bCs w:val="false"/>
                <w:color w:val="000000"/>
                <w:sz w:val="20"/>
                <w:szCs w:val="20"/>
              </w:rPr>
              <w:t xml:space="preserve">Mandatory reviewer for regulated content (e.g., healthcare, finance clients) prior to Client visibility.</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Client Stakeholder</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External brand representative who approves/rejects Posts via a white-labeled portal.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Community Manager</w:t>
            </w:r>
          </w:p>
        </w:tc>
        <w:tc>
          <w:tcPr>
            <w:tcW w:type="dxa" w:w="6900"/>
            <w:tcMar>
              <w:top w:type="dxa" w:w="80"/>
              <w:left w:type="dxa" w:w="100"/>
              <w:bottom w:type="dxa" w:w="80"/>
              <w:right w:type="dxa" w:w="100"/>
            </w:tcMar>
            <w:vAlign w:val="center"/>
          </w:tcPr>
          <w:p>
            <w:r>
              <w:rPr>
                <w:b w:val="false"/>
                <w:bCs w:val="false"/>
                <w:color w:val="000000"/>
                <w:sz w:val="20"/>
                <w:szCs w:val="20"/>
              </w:rPr>
              <w:t xml:space="preserve">Monitors and responds to the Global Inbox; triages sentiment-flagged items.</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Freelancer</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Restricted user who sees only explicitly assigned campaigns (RBAC-scoped).</w:t>
            </w:r>
          </w:p>
        </w:tc>
      </w:tr>
    </w:tbl>
    <w:p>
      <w:pPr>
        <w:spacing w:after="120"/>
      </w:pPr>
    </w:p>
    <w:p>
      <w:pPr>
        <w:pStyle w:val="Heading2"/>
        <w:spacing w:after="120" w:before="280"/>
      </w:pPr>
      <w:r>
        <w:rPr>
          <w:b/>
          <w:bCs/>
          <w:color w:val="2E74B5"/>
        </w:rPr>
        <w:t xml:space="preserve">2.4 Operating Environment</w:t>
      </w:r>
    </w:p>
    <w:p>
      <w:pPr>
        <w:spacing w:after="160"/>
      </w:pPr>
      <w:r>
        <w:t xml:space="preserve">Web application accessible via modern evergreen browsers (Chrome, Edge, Safari, Firefox); responsive layout supporting tablet use for on-the-go approvals; backend deployed on cloud infrastructure with horizontal scalability; mobile-responsive client approval portal (native app out of scope for v1).</w:t>
      </w:r>
    </w:p>
    <w:p>
      <w:pPr>
        <w:pStyle w:val="Heading2"/>
        <w:spacing w:after="120" w:before="280"/>
      </w:pPr>
      <w:r>
        <w:rPr>
          <w:b/>
          <w:bCs/>
          <w:color w:val="2E74B5"/>
        </w:rPr>
        <w:t xml:space="preserve">2.5 Design and Implementation Constraints</w:t>
      </w:r>
    </w:p>
    <w:p>
      <w:pPr>
        <w:pStyle w:val="ListParagraph"/>
        <w:numPr>
          <w:ilvl w:val="0"/>
          <w:numId w:val="1"/>
        </w:numPr>
        <w:spacing w:after="80"/>
      </w:pPr>
      <w:r>
        <w:t xml:space="preserve">Must operate within third-party API rate limits imposed by Meta, LinkedIn, X, and TikTok.</w:t>
      </w:r>
    </w:p>
    <w:p>
      <w:pPr>
        <w:pStyle w:val="ListParagraph"/>
        <w:numPr>
          <w:ilvl w:val="0"/>
          <w:numId w:val="1"/>
        </w:numPr>
        <w:spacing w:after="80"/>
      </w:pPr>
      <w:r>
        <w:t xml:space="preserve">Regulated-industry Clients (e.g., healthcare, finance, pharma) require an immutable, auditable compliance trail.</w:t>
      </w:r>
    </w:p>
    <w:p>
      <w:pPr>
        <w:pStyle w:val="ListParagraph"/>
        <w:numPr>
          <w:ilvl w:val="0"/>
          <w:numId w:val="1"/>
        </w:numPr>
        <w:spacing w:after="80"/>
      </w:pPr>
      <w:r>
        <w:t xml:space="preserve">White-labeling requires custom-domain SSL provisioning per Agency.</w:t>
      </w:r>
    </w:p>
    <w:p>
      <w:pPr>
        <w:pStyle w:val="ListParagraph"/>
        <w:numPr>
          <w:ilvl w:val="0"/>
          <w:numId w:val="1"/>
        </w:numPr>
        <w:spacing w:after="80"/>
      </w:pPr>
      <w:r>
        <w:t xml:space="preserve">Must comply with GDPR and applicable regional data-protection law for stored personal data (DMs, comments).</w:t>
      </w:r>
    </w:p>
    <w:p>
      <w:pPr>
        <w:pStyle w:val="Heading2"/>
        <w:spacing w:after="120" w:before="280"/>
      </w:pPr>
      <w:r>
        <w:rPr>
          <w:b/>
          <w:bCs/>
          <w:color w:val="2E74B5"/>
        </w:rPr>
        <w:t xml:space="preserve">2.6 Assumptions and Dependencies</w:t>
      </w:r>
    </w:p>
    <w:p>
      <w:pPr>
        <w:pStyle w:val="ListParagraph"/>
        <w:numPr>
          <w:ilvl w:val="0"/>
          <w:numId w:val="1"/>
        </w:numPr>
        <w:spacing w:after="80"/>
      </w:pPr>
      <w:r>
        <w:t xml:space="preserve">Clients and Agencies will grant the Platform the necessary OAuth permissions/API access to their social accounts.</w:t>
      </w:r>
    </w:p>
    <w:p>
      <w:pPr>
        <w:pStyle w:val="ListParagraph"/>
        <w:numPr>
          <w:ilvl w:val="0"/>
          <w:numId w:val="1"/>
        </w:numPr>
        <w:spacing w:after="80"/>
      </w:pPr>
      <w:r>
        <w:t xml:space="preserve">Availability and rate limits of third-party social APIs are outside the Platform's control and may constrain real-time behavior (e.g., Global Inbox latency).</w:t>
      </w:r>
    </w:p>
    <w:p>
      <w:pPr>
        <w:pStyle w:val="ListParagraph"/>
        <w:numPr>
          <w:ilvl w:val="0"/>
          <w:numId w:val="1"/>
        </w:numPr>
        <w:spacing w:after="80"/>
      </w:pPr>
      <w:r>
        <w:t xml:space="preserve">Canva, Figma, and Adobe expose stable public APIs/plugins suitable for direct asset hand-off.</w:t>
      </w:r>
    </w:p>
    <w:p>
      <w:r>
        <w:br w:type="page"/>
      </w:r>
    </w:p>
    <w:p>
      <w:pPr>
        <w:pStyle w:val="Heading1"/>
        <w:spacing w:after="200" w:before="400"/>
      </w:pPr>
      <w:r>
        <w:rPr>
          <w:b/>
          <w:bCs/>
          <w:color w:val="1F3864"/>
        </w:rPr>
        <w:t xml:space="preserve">3  Specific Requirements</w:t>
      </w:r>
    </w:p>
    <w:p>
      <w:pPr>
        <w:spacing w:after="160"/>
      </w:pPr>
      <w:r>
        <w:t xml:space="preserve">Each requirement is uniquely identified (module prefix + number) and assigned a priority: High (must-have for v1), Medium (should-have), Low (nice-to-have / phase 2). “Shall” denotes a mandatory, testable requirement.</w:t>
      </w:r>
    </w:p>
    <w:p>
      <w:pPr>
        <w:pStyle w:val="Heading2"/>
        <w:spacing w:after="120" w:before="280"/>
      </w:pPr>
      <w:r>
        <w:rPr>
          <w:b/>
          <w:bCs/>
          <w:color w:val="2E74B5"/>
        </w:rPr>
        <w:t xml:space="preserve">3.1  Section A — Platform Overview &amp; Core Architecture</w:t>
      </w:r>
    </w:p>
    <w:p>
      <w:pPr>
        <w:spacing w:after="160"/>
      </w:pPr>
      <w:r>
        <w:rPr>
          <w:i/>
          <w:iCs/>
        </w:rPr>
        <w:t xml:space="preserve">Establishes the multi-tenant foundation that all other modules build upon.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600"/>
      </w:tblGrid>
      <w:tr>
        <w:trPr>
          <w:tblHeader/>
        </w:trPr>
        <w:tc>
          <w:tcPr>
            <w:tcW w:type="dxa" w:w="1300"/>
            <w:shd w:fill="1F3864" w:val="clear"/>
            <w:tcMar>
              <w:top w:type="dxa" w:w="80"/>
              <w:left w:type="dxa" w:w="100"/>
              <w:bottom w:type="dxa" w:w="80"/>
              <w:right w:type="dxa" w:w="100"/>
            </w:tcMar>
            <w:vAlign w:val="center"/>
          </w:tcPr>
          <w:p>
            <w:r>
              <w:rPr>
                <w:b/>
                <w:bCs/>
                <w:color w:val="FFFFFF"/>
                <w:sz w:val="20"/>
                <w:szCs w:val="20"/>
              </w:rPr>
              <w:t xml:space="preserve">ID</w:t>
            </w:r>
          </w:p>
        </w:tc>
        <w:tc>
          <w:tcPr>
            <w:tcW w:type="dxa" w:w="6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FR-A-1</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support multi-tenancy such that each Agency's data, users, and Clients are logically isolated from other Agencies.</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FR-A-2</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allow an Agency Admin to create a Workspace per Client, scoping campaigns, assets, and users to that Client.</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FR-A-3</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provide a unified content calendar (day/week/month/list views) showing all Posts across a Client's connected platforms.</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FR-A-4</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support authentication via email/password and single sign-on (SSO/SAML) for enterprise Agencies.</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Medium</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FR-A-5</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maintain an immutable audit log of all create, edit, approve, reject, and publish actions.</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bl>
    <w:p>
      <w:pPr>
        <w:spacing w:after="120"/>
      </w:pPr>
    </w:p>
    <w:p>
      <w:pPr>
        <w:pStyle w:val="Heading2"/>
        <w:spacing w:after="120" w:before="280"/>
      </w:pPr>
      <w:r>
        <w:rPr>
          <w:b/>
          <w:bCs/>
          <w:color w:val="2E74B5"/>
        </w:rPr>
        <w:t xml:space="preserve">3.2  Section B — Multi-Platform Content Calendar &amp; Publishing Engine</w:t>
      </w:r>
    </w:p>
    <w:p>
      <w:pPr>
        <w:spacing w:after="160"/>
      </w:pPr>
      <w:r>
        <w:rPr>
          <w:i/>
          <w:iCs/>
        </w:rPr>
        <w:t xml:space="preserve">Covers drafting, scheduling, and native publishing of content to connected social accounts.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600"/>
      </w:tblGrid>
      <w:tr>
        <w:trPr>
          <w:tblHeader/>
        </w:trPr>
        <w:tc>
          <w:tcPr>
            <w:tcW w:type="dxa" w:w="1300"/>
            <w:shd w:fill="1F3864" w:val="clear"/>
            <w:tcMar>
              <w:top w:type="dxa" w:w="80"/>
              <w:left w:type="dxa" w:w="100"/>
              <w:bottom w:type="dxa" w:w="80"/>
              <w:right w:type="dxa" w:w="100"/>
            </w:tcMar>
            <w:vAlign w:val="center"/>
          </w:tcPr>
          <w:p>
            <w:r>
              <w:rPr>
                <w:b/>
                <w:bCs/>
                <w:color w:val="FFFFFF"/>
                <w:sz w:val="20"/>
                <w:szCs w:val="20"/>
              </w:rPr>
              <w:t xml:space="preserve">ID</w:t>
            </w:r>
          </w:p>
        </w:tc>
        <w:tc>
          <w:tcPr>
            <w:tcW w:type="dxa" w:w="6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FR-B-1</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allow a Creator to draft a Post with platform-specific variants (copy length, aspect ratio, hashtags) for Meta, LinkedIn, X, and TikTok from a single draft.</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FR-B-2</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allow a Post to be scheduled for a specific date/time per target platform, respecting each platform's optimal-posting-time recommendations where available.</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FR-B-3</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publish approved Posts automatically at their scheduled time via each platform's native API.</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FR-B-4</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retry a failed publish attempt at least twice and alert the responsible Account Manager on final failure.</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FR-B-5</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tag every Post with metadata (Client, campaign, content type, industry/vertical) at creation time.</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bl>
    <w:p>
      <w:pPr>
        <w:spacing w:after="120"/>
      </w:pPr>
    </w:p>
    <w:p>
      <w:pPr>
        <w:pStyle w:val="Heading2"/>
        <w:spacing w:after="120" w:before="280"/>
      </w:pPr>
      <w:r>
        <w:rPr>
          <w:b/>
          <w:bCs/>
          <w:color w:val="2E74B5"/>
        </w:rPr>
        <w:t xml:space="preserve">3.3  Section C — Client Collaboration &amp; Baseline Approval Workflow</w:t>
      </w:r>
    </w:p>
    <w:p>
      <w:pPr>
        <w:spacing w:after="160"/>
      </w:pPr>
      <w:r>
        <w:rPr>
          <w:i/>
          <w:iCs/>
        </w:rPr>
        <w:t xml:space="preserve">Defines the manual review/approve/reject mechanics that Section D automates and augments.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600"/>
      </w:tblGrid>
      <w:tr>
        <w:trPr>
          <w:tblHeader/>
        </w:trPr>
        <w:tc>
          <w:tcPr>
            <w:tcW w:type="dxa" w:w="1300"/>
            <w:shd w:fill="1F3864" w:val="clear"/>
            <w:tcMar>
              <w:top w:type="dxa" w:w="80"/>
              <w:left w:type="dxa" w:w="100"/>
              <w:bottom w:type="dxa" w:w="80"/>
              <w:right w:type="dxa" w:w="100"/>
            </w:tcMar>
            <w:vAlign w:val="center"/>
          </w:tcPr>
          <w:p>
            <w:r>
              <w:rPr>
                <w:b/>
                <w:bCs/>
                <w:color w:val="FFFFFF"/>
                <w:sz w:val="20"/>
                <w:szCs w:val="20"/>
              </w:rPr>
              <w:t xml:space="preserve">ID</w:t>
            </w:r>
          </w:p>
        </w:tc>
        <w:tc>
          <w:tcPr>
            <w:tcW w:type="dxa" w:w="6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FR-C-1</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allow a Client Stakeholder to view Posts pending their approval in a dedicated portal.</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FR-C-2</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allow reviewers to approve, reject, or comment inline on a specific Post (with optional annotation on the asset itself).</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FR-C-3</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notify the Creator/Account Manager immediately upon rejection, including the reviewer's comment.</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FR-C-4</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support a configurable multi-step approval chain (e.g., Account Manager → Legal → Client) per Client or per content tag.</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FR-C-5</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prevent a Post from publishing until all required steps in its approval chain are complete.</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bl>
    <w:p>
      <w:pPr>
        <w:spacing w:after="120"/>
      </w:pPr>
    </w:p>
    <w:p>
      <w:pPr>
        <w:pStyle w:val="Heading2"/>
        <w:spacing w:after="120" w:before="280"/>
      </w:pPr>
      <w:r>
        <w:rPr>
          <w:b/>
          <w:bCs/>
          <w:color w:val="2E74B5"/>
        </w:rPr>
        <w:t xml:space="preserve">3.4  Section D — AI-Driven Workflow &amp; Approval Automation</w:t>
      </w:r>
    </w:p>
    <w:p>
      <w:pPr>
        <w:spacing w:after="160"/>
      </w:pPr>
      <w:r>
        <w:rPr>
          <w:i/>
          <w:iCs/>
        </w:rPr>
        <w:t xml:space="preserve">Removes manual chasing by having the platform intelligently route content and self-manage the approval SLA.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600"/>
      </w:tblGrid>
      <w:tr>
        <w:trPr>
          <w:tblHeader/>
        </w:trPr>
        <w:tc>
          <w:tcPr>
            <w:tcW w:type="dxa" w:w="1300"/>
            <w:shd w:fill="1F3864" w:val="clear"/>
            <w:tcMar>
              <w:top w:type="dxa" w:w="80"/>
              <w:left w:type="dxa" w:w="100"/>
              <w:bottom w:type="dxa" w:w="80"/>
              <w:right w:type="dxa" w:w="100"/>
            </w:tcMar>
            <w:vAlign w:val="center"/>
          </w:tcPr>
          <w:p>
            <w:r>
              <w:rPr>
                <w:b/>
                <w:bCs/>
                <w:color w:val="FFFFFF"/>
                <w:sz w:val="20"/>
                <w:szCs w:val="20"/>
              </w:rPr>
              <w:t xml:space="preserve">ID</w:t>
            </w:r>
          </w:p>
        </w:tc>
        <w:tc>
          <w:tcPr>
            <w:tcW w:type="dxa" w:w="6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FR-D-1</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automatically determine the approval route for a new Asset/Post based on its tags (e.g., Client industry, content type) at upload time.</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FR-D-2</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route Posts tagged with a regulated industry (e.g., “Healthcare Client”, “Financial Client”) through a mandatory Legal/Compliance review step before the Client sees the draft.</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FR-D-3</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allow routine, untagged, or pre-approved-category Posts to bypass intermediate review and route directly to the Client.</w:t>
            </w:r>
          </w:p>
        </w:tc>
        <w:tc>
          <w:tcPr>
            <w:tcW w:type="dxa" w:w="1600"/>
            <w:tcMar>
              <w:top w:type="dxa" w:w="80"/>
              <w:left w:type="dxa" w:w="100"/>
              <w:bottom w:type="dxa" w:w="80"/>
              <w:right w:type="dxa" w:w="100"/>
            </w:tcMar>
            <w:vAlign w:val="center"/>
          </w:tcPr>
          <w:p>
            <w:r>
              <w:rPr>
                <w:b w:val="false"/>
                <w:bCs w:val="false"/>
                <w:color w:val="000000"/>
                <w:sz w:val="20"/>
                <w:szCs w:val="20"/>
              </w:rPr>
              <w:t xml:space="preserve">Medium</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FR-D-4</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monitor the time elapsed since a Post entered a pending-approval state relative to its scheduled publish time.</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FR-D-5</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automatically send a reminder (email and/or Slack) to the outstanding approver if a Post remains unapproved 24 hours before its scheduled launch, without requiring human initiation.</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FR-D-6</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escalate to the Account Manager (and optionally the Agency Admin) if a Post remains unapproved within a configurable threshold (e.g., 4 hours) of scheduled launch.</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Medium</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FR-D-7</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scan draft copy against a Client-specific banned/off-brand terminology list and flag violations before Client visibility.</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FR-D-8</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detect Posts missing a required legal disclaimer (as configured per Client/industry) and block submission until resolved.</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FR-D-9</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detect and flag duplicate or near-duplicate scheduled Posts (same asset/copy, same platform, overlapping time window) before they reach the Client.</w:t>
            </w:r>
          </w:p>
        </w:tc>
        <w:tc>
          <w:tcPr>
            <w:tcW w:type="dxa" w:w="1600"/>
            <w:tcMar>
              <w:top w:type="dxa" w:w="80"/>
              <w:left w:type="dxa" w:w="100"/>
              <w:bottom w:type="dxa" w:w="80"/>
              <w:right w:type="dxa" w:w="100"/>
            </w:tcMar>
            <w:vAlign w:val="center"/>
          </w:tcPr>
          <w:p>
            <w:r>
              <w:rPr>
                <w:b w:val="false"/>
                <w:bCs w:val="false"/>
                <w:color w:val="000000"/>
                <w:sz w:val="20"/>
                <w:szCs w:val="20"/>
              </w:rPr>
              <w:t xml:space="preserve">Medium</w:t>
            </w:r>
          </w:p>
        </w:tc>
      </w:tr>
    </w:tbl>
    <w:p>
      <w:pPr>
        <w:spacing w:after="120"/>
      </w:pPr>
    </w:p>
    <w:p>
      <w:pPr>
        <w:pStyle w:val="Heading2"/>
        <w:spacing w:after="120" w:before="280"/>
      </w:pPr>
      <w:r>
        <w:rPr>
          <w:b/>
          <w:bCs/>
          <w:color w:val="2E74B5"/>
        </w:rPr>
        <w:t xml:space="preserve">3.5  Section E — Unified Social CRM (Community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600"/>
      </w:tblGrid>
      <w:tr>
        <w:trPr>
          <w:tblHeader/>
        </w:trPr>
        <w:tc>
          <w:tcPr>
            <w:tcW w:type="dxa" w:w="1300"/>
            <w:shd w:fill="1F3864" w:val="clear"/>
            <w:tcMar>
              <w:top w:type="dxa" w:w="80"/>
              <w:left w:type="dxa" w:w="100"/>
              <w:bottom w:type="dxa" w:w="80"/>
              <w:right w:type="dxa" w:w="100"/>
            </w:tcMar>
            <w:vAlign w:val="center"/>
          </w:tcPr>
          <w:p>
            <w:r>
              <w:rPr>
                <w:b/>
                <w:bCs/>
                <w:color w:val="FFFFFF"/>
                <w:sz w:val="20"/>
                <w:szCs w:val="20"/>
              </w:rPr>
              <w:t xml:space="preserve">ID</w:t>
            </w:r>
          </w:p>
        </w:tc>
        <w:tc>
          <w:tcPr>
            <w:tcW w:type="dxa" w:w="6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FR-E-1</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aggregate DMs, comments, tags, and mentions from Meta, LinkedIn, X, and TikTok into a single Global Inbox per Client.</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FR-E-2</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allow filtering/sorting the Global Inbox by platform, Client, sentiment, and status (open/resolved).</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FR-E-3</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run sentiment analysis on inbound messages/comments and classify them (e.g., Positive, Neutral, Negative/High Priority).</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FR-E-4</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surface messages classified as High Priority (angry sentiment, PR risk keywords) at the top of the queue and notify assigned Community Managers.</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FR-E-5</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draft an auto-reply suggestion for messages matching known routine FAQ patterns (e.g., business hours, location), pending human send-approval by default.</w:t>
            </w:r>
          </w:p>
        </w:tc>
        <w:tc>
          <w:tcPr>
            <w:tcW w:type="dxa" w:w="1600"/>
            <w:tcMar>
              <w:top w:type="dxa" w:w="80"/>
              <w:left w:type="dxa" w:w="100"/>
              <w:bottom w:type="dxa" w:w="80"/>
              <w:right w:type="dxa" w:w="100"/>
            </w:tcMar>
            <w:vAlign w:val="center"/>
          </w:tcPr>
          <w:p>
            <w:r>
              <w:rPr>
                <w:b w:val="false"/>
                <w:bCs w:val="false"/>
                <w:color w:val="000000"/>
                <w:sz w:val="20"/>
                <w:szCs w:val="20"/>
              </w:rPr>
              <w:t xml:space="preserve">Medium</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FR-E-6</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prevent two Agency users from replying to the same comment/DM simultaneously by locking the item to the first user who opens it, with visible presence indicators.</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FR-E-7</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release a lock automatically if the item is left inactive beyond a configurable timeout (e.g., 5 minutes).</w:t>
            </w:r>
          </w:p>
        </w:tc>
        <w:tc>
          <w:tcPr>
            <w:tcW w:type="dxa" w:w="1600"/>
            <w:tcMar>
              <w:top w:type="dxa" w:w="80"/>
              <w:left w:type="dxa" w:w="100"/>
              <w:bottom w:type="dxa" w:w="80"/>
              <w:right w:type="dxa" w:w="100"/>
            </w:tcMar>
            <w:vAlign w:val="center"/>
          </w:tcPr>
          <w:p>
            <w:r>
              <w:rPr>
                <w:b w:val="false"/>
                <w:bCs w:val="false"/>
                <w:color w:val="000000"/>
                <w:sz w:val="20"/>
                <w:szCs w:val="20"/>
              </w:rPr>
              <w:t xml:space="preserve">Medium</w:t>
            </w:r>
          </w:p>
        </w:tc>
      </w:tr>
    </w:tbl>
    <w:p>
      <w:pPr>
        <w:spacing w:after="120"/>
      </w:pPr>
    </w:p>
    <w:p>
      <w:pPr>
        <w:pStyle w:val="Heading2"/>
        <w:spacing w:after="120" w:before="280"/>
      </w:pPr>
      <w:r>
        <w:rPr>
          <w:b/>
          <w:bCs/>
          <w:color w:val="2E74B5"/>
        </w:rPr>
        <w:t xml:space="preserve">3.6  Section F — Centralized Asset &amp; Brand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600"/>
      </w:tblGrid>
      <w:tr>
        <w:trPr>
          <w:tblHeader/>
        </w:trPr>
        <w:tc>
          <w:tcPr>
            <w:tcW w:type="dxa" w:w="1300"/>
            <w:shd w:fill="1F3864" w:val="clear"/>
            <w:tcMar>
              <w:top w:type="dxa" w:w="80"/>
              <w:left w:type="dxa" w:w="100"/>
              <w:bottom w:type="dxa" w:w="80"/>
              <w:right w:type="dxa" w:w="100"/>
            </w:tcMar>
            <w:vAlign w:val="center"/>
          </w:tcPr>
          <w:p>
            <w:r>
              <w:rPr>
                <w:b/>
                <w:bCs/>
                <w:color w:val="FFFFFF"/>
                <w:sz w:val="20"/>
                <w:szCs w:val="20"/>
              </w:rPr>
              <w:t xml:space="preserve">ID</w:t>
            </w:r>
          </w:p>
        </w:tc>
        <w:tc>
          <w:tcPr>
            <w:tcW w:type="dxa" w:w="6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FR-F-1</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provide a cloud Media Library where raw and finished video, image, and audio files are stored and tagged by Client and campaign.</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FR-F-2</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support full-text and tag-based search/filtering across the Media Library.</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FR-F-3</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store a Brand Kit per Client containing hex color palette, typography, logo files, and tone-of-voice guidelines.</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FR-F-4</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expose the active Client's Brand Kit to the copywriting AI assistant so drafted copy matches the Client's tone of voice.</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FR-F-5</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integrate with Canva, Figma, and Adobe (via API/plugin) allowing a Creator to push a finished design directly into the Platform's scheduling queue without manual download/re-upload.</w:t>
            </w:r>
          </w:p>
        </w:tc>
        <w:tc>
          <w:tcPr>
            <w:tcW w:type="dxa" w:w="1600"/>
            <w:tcMar>
              <w:top w:type="dxa" w:w="80"/>
              <w:left w:type="dxa" w:w="100"/>
              <w:bottom w:type="dxa" w:w="80"/>
              <w:right w:type="dxa" w:w="100"/>
            </w:tcMar>
            <w:vAlign w:val="center"/>
          </w:tcPr>
          <w:p>
            <w:r>
              <w:rPr>
                <w:b w:val="false"/>
                <w:bCs w:val="false"/>
                <w:color w:val="000000"/>
                <w:sz w:val="20"/>
                <w:szCs w:val="20"/>
              </w:rPr>
              <w:t xml:space="preserve">Medium</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FR-F-6</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version finished Assets pushed from an external design tool, retaining prior versions for audit/history.</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Low</w:t>
            </w:r>
          </w:p>
        </w:tc>
      </w:tr>
    </w:tbl>
    <w:p>
      <w:pPr>
        <w:spacing w:after="120"/>
      </w:pPr>
    </w:p>
    <w:p>
      <w:pPr>
        <w:pStyle w:val="Heading2"/>
        <w:spacing w:after="120" w:before="280"/>
      </w:pPr>
      <w:r>
        <w:rPr>
          <w:b/>
          <w:bCs/>
          <w:color w:val="2E74B5"/>
        </w:rPr>
        <w:t xml:space="preserve">3.7  Section G — Agency Operations &amp; Capacity Planning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600"/>
      </w:tblGrid>
      <w:tr>
        <w:trPr>
          <w:tblHeader/>
        </w:trPr>
        <w:tc>
          <w:tcPr>
            <w:tcW w:type="dxa" w:w="1300"/>
            <w:shd w:fill="1F3864" w:val="clear"/>
            <w:tcMar>
              <w:top w:type="dxa" w:w="80"/>
              <w:left w:type="dxa" w:w="100"/>
              <w:bottom w:type="dxa" w:w="80"/>
              <w:right w:type="dxa" w:w="100"/>
            </w:tcMar>
            <w:vAlign w:val="center"/>
          </w:tcPr>
          <w:p>
            <w:r>
              <w:rPr>
                <w:b/>
                <w:bCs/>
                <w:color w:val="FFFFFF"/>
                <w:sz w:val="20"/>
                <w:szCs w:val="20"/>
              </w:rPr>
              <w:t xml:space="preserve">ID</w:t>
            </w:r>
          </w:p>
        </w:tc>
        <w:tc>
          <w:tcPr>
            <w:tcW w:type="dxa" w:w="6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1600"/>
            <w:shd w:fill="1F3864"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FR-G-1</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allow Agency staff to log time spent per Client workspace (manually or via integrated time-tracking).</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FR-G-2</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compare logged time cost against a Client's monthly retainer value to compute a profitability/margin indicator per Client.</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FR-G-3</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flag Clients experiencing “scope creep” when logged effort exceeds retainer-covered hours by a configurable threshold.</w:t>
            </w:r>
          </w:p>
        </w:tc>
        <w:tc>
          <w:tcPr>
            <w:tcW w:type="dxa" w:w="1600"/>
            <w:tcMar>
              <w:top w:type="dxa" w:w="80"/>
              <w:left w:type="dxa" w:w="100"/>
              <w:bottom w:type="dxa" w:w="80"/>
              <w:right w:type="dxa" w:w="100"/>
            </w:tcMar>
            <w:vAlign w:val="center"/>
          </w:tcPr>
          <w:p>
            <w:r>
              <w:rPr>
                <w:b w:val="false"/>
                <w:bCs w:val="false"/>
                <w:color w:val="000000"/>
                <w:sz w:val="20"/>
                <w:szCs w:val="20"/>
              </w:rPr>
              <w:t xml:space="preserve">Medium</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FR-G-4</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allow an Agency Admin to configure white-label branding (logo, color scheme, custom domain) applied to the Client-facing portal.</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FR-G-5</w:t>
            </w:r>
          </w:p>
        </w:tc>
        <w:tc>
          <w:tcPr>
            <w:tcW w:type="dxa" w:w="6600"/>
            <w:tcMar>
              <w:top w:type="dxa" w:w="80"/>
              <w:left w:type="dxa" w:w="100"/>
              <w:bottom w:type="dxa" w:w="80"/>
              <w:right w:type="dxa" w:w="100"/>
            </w:tcMar>
            <w:vAlign w:val="center"/>
          </w:tcPr>
          <w:p>
            <w:r>
              <w:rPr>
                <w:b w:val="false"/>
                <w:bCs w:val="false"/>
                <w:color w:val="000000"/>
                <w:sz w:val="20"/>
                <w:szCs w:val="20"/>
              </w:rPr>
              <w:t xml:space="preserve">The system shall enforce Role-Based Access Control so Freelancers see only explicitly assigned campaigns/Clients, while Agency Owners see global revenue, capacity, and pipeline metrics.</w:t>
            </w:r>
          </w:p>
        </w:tc>
        <w:tc>
          <w:tcPr>
            <w:tcW w:type="dxa" w:w="16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300"/>
            <w:shd w:fill="F2F2F2" w:val="clear"/>
            <w:tcMar>
              <w:top w:type="dxa" w:w="80"/>
              <w:left w:type="dxa" w:w="100"/>
              <w:bottom w:type="dxa" w:w="80"/>
              <w:right w:type="dxa" w:w="100"/>
            </w:tcMar>
            <w:vAlign w:val="center"/>
          </w:tcPr>
          <w:p>
            <w:r>
              <w:rPr>
                <w:b w:val="false"/>
                <w:bCs w:val="false"/>
                <w:color w:val="000000"/>
                <w:sz w:val="20"/>
                <w:szCs w:val="20"/>
              </w:rPr>
              <w:t xml:space="preserve">FR-G-6</w:t>
            </w:r>
          </w:p>
        </w:tc>
        <w:tc>
          <w:tcPr>
            <w:tcW w:type="dxa" w:w="6600"/>
            <w:shd w:fill="F2F2F2" w:val="clear"/>
            <w:tcMar>
              <w:top w:type="dxa" w:w="80"/>
              <w:left w:type="dxa" w:w="100"/>
              <w:bottom w:type="dxa" w:w="80"/>
              <w:right w:type="dxa" w:w="100"/>
            </w:tcMar>
            <w:vAlign w:val="center"/>
          </w:tcPr>
          <w:p>
            <w:r>
              <w:rPr>
                <w:b w:val="false"/>
                <w:bCs w:val="false"/>
                <w:color w:val="000000"/>
                <w:sz w:val="20"/>
                <w:szCs w:val="20"/>
              </w:rPr>
              <w:t xml:space="preserve">The system shall provide an Agency-wide capacity dashboard showing team workload (hours logged/allocated) across all active Clients.</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Medium</w:t>
            </w:r>
          </w:p>
        </w:tc>
      </w:tr>
    </w:tbl>
    <w:p>
      <w:r>
        <w:br w:type="page"/>
      </w:r>
    </w:p>
    <w:p>
      <w:pPr>
        <w:pStyle w:val="Heading1"/>
        <w:spacing w:after="200" w:before="400"/>
      </w:pPr>
      <w:r>
        <w:rPr>
          <w:b/>
          <w:bCs/>
          <w:color w:val="1F3864"/>
        </w:rPr>
        <w:t xml:space="preserve">4  Use Cases</w:t>
      </w:r>
    </w:p>
    <w:p>
      <w:pPr>
        <w:pStyle w:val="Heading3"/>
        <w:spacing w:after="100" w:before="200"/>
      </w:pPr>
      <w:r>
        <w:rPr>
          <w:b/>
          <w:bCs/>
        </w:rPr>
        <w:t xml:space="preserve">UC-1 — Intelligent Routing of a Regulated Asset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3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Actor(s)</w:t>
            </w:r>
          </w:p>
        </w:tc>
        <w:tc>
          <w:tcPr>
            <w:tcW w:type="dxa" w:w="7300"/>
            <w:tcMar>
              <w:top w:type="dxa" w:w="80"/>
              <w:left w:type="dxa" w:w="100"/>
              <w:bottom w:type="dxa" w:w="80"/>
              <w:right w:type="dxa" w:w="100"/>
            </w:tcMar>
            <w:vAlign w:val="center"/>
          </w:tcPr>
          <w:p>
            <w:r>
              <w:rPr>
                <w:b w:val="false"/>
                <w:bCs w:val="false"/>
                <w:color w:val="000000"/>
                <w:sz w:val="20"/>
                <w:szCs w:val="20"/>
              </w:rPr>
              <w:t xml:space="preserve">Creator, Legal Reviewer, System</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Preconditions</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Creator has upload permission; Client tagging taxonomy is configured (e.g., “Healthcare Client”).</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Trigger</w:t>
            </w:r>
          </w:p>
        </w:tc>
        <w:tc>
          <w:tcPr>
            <w:tcW w:type="dxa" w:w="7300"/>
            <w:tcMar>
              <w:top w:type="dxa" w:w="80"/>
              <w:left w:type="dxa" w:w="100"/>
              <w:bottom w:type="dxa" w:w="80"/>
              <w:right w:type="dxa" w:w="100"/>
            </w:tcMar>
            <w:vAlign w:val="center"/>
          </w:tcPr>
          <w:p>
            <w:r>
              <w:rPr>
                <w:b w:val="false"/>
                <w:bCs w:val="false"/>
                <w:color w:val="000000"/>
                <w:sz w:val="20"/>
                <w:szCs w:val="20"/>
              </w:rPr>
              <w:t xml:space="preserve">Creator uploads a new video Asset and tags it “Healthcare Client, Reel.”</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Main Flow</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1) System reads tags. 2) System detects a regulated-industry tag. 3) System routes the draft Post to the Legal/Compliance queue instead of directly to the Client. 4) Legal reviewer approves or rejects with comments. 5) On approval, system forwards the Post to the Client for final sign-off.</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Alternate / Exception Flow</w:t>
            </w:r>
          </w:p>
        </w:tc>
        <w:tc>
          <w:tcPr>
            <w:tcW w:type="dxa" w:w="7300"/>
            <w:tcMar>
              <w:top w:type="dxa" w:w="80"/>
              <w:left w:type="dxa" w:w="100"/>
              <w:bottom w:type="dxa" w:w="80"/>
              <w:right w:type="dxa" w:w="100"/>
            </w:tcMar>
            <w:vAlign w:val="center"/>
          </w:tcPr>
          <w:p>
            <w:r>
              <w:rPr>
                <w:b w:val="false"/>
                <w:bCs w:val="false"/>
                <w:color w:val="000000"/>
                <w:sz w:val="20"/>
                <w:szCs w:val="20"/>
              </w:rPr>
              <w:t xml:space="preserve">If Legal rejects, the Post returns to the Creator with comments and does not advance to the Client.</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Postcondition</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Post is either published-ready (fully approved) or returned for revision, with full routing history logged.</w:t>
            </w:r>
          </w:p>
        </w:tc>
      </w:tr>
    </w:tbl>
    <w:p>
      <w:pPr>
        <w:spacing w:after="120"/>
      </w:pPr>
    </w:p>
    <w:p>
      <w:pPr>
        <w:pStyle w:val="Heading3"/>
        <w:spacing w:after="100" w:before="200"/>
      </w:pPr>
      <w:r>
        <w:rPr>
          <w:b/>
          <w:bCs/>
        </w:rPr>
        <w:t xml:space="preserve">UC-2 — Automated Chasing of an Unapproved Post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3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Actor(s)</w:t>
            </w:r>
          </w:p>
        </w:tc>
        <w:tc>
          <w:tcPr>
            <w:tcW w:type="dxa" w:w="7300"/>
            <w:tcMar>
              <w:top w:type="dxa" w:w="80"/>
              <w:left w:type="dxa" w:w="100"/>
              <w:bottom w:type="dxa" w:w="80"/>
              <w:right w:type="dxa" w:w="100"/>
            </w:tcMar>
            <w:vAlign w:val="center"/>
          </w:tcPr>
          <w:p>
            <w:r>
              <w:rPr>
                <w:b w:val="false"/>
                <w:bCs w:val="false"/>
                <w:color w:val="000000"/>
                <w:sz w:val="20"/>
                <w:szCs w:val="20"/>
              </w:rPr>
              <w:t xml:space="preserve">System, Client Stakeholder, Account Manager</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Preconditions</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Post is scheduled with a defined launch time and is awaiting Client approval.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Trigger</w:t>
            </w:r>
          </w:p>
        </w:tc>
        <w:tc>
          <w:tcPr>
            <w:tcW w:type="dxa" w:w="7300"/>
            <w:tcMar>
              <w:top w:type="dxa" w:w="80"/>
              <w:left w:type="dxa" w:w="100"/>
              <w:bottom w:type="dxa" w:w="80"/>
              <w:right w:type="dxa" w:w="100"/>
            </w:tcMar>
            <w:vAlign w:val="center"/>
          </w:tcPr>
          <w:p>
            <w:r>
              <w:rPr>
                <w:b w:val="false"/>
                <w:bCs w:val="false"/>
                <w:color w:val="000000"/>
                <w:sz w:val="20"/>
                <w:szCs w:val="20"/>
              </w:rPr>
              <w:t xml:space="preserve">Scheduled launch time is within 24 hours and the Post is still pending.</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Main Flow</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1) System detects the 24-hour threshold. 2) System sends an automated reminder via email and/or Slack to the outstanding approver. 3) If still unapproved at the configured escalation threshold, system escalates to the Account Manager.</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Alternate / Exception Flow</w:t>
            </w:r>
          </w:p>
        </w:tc>
        <w:tc>
          <w:tcPr>
            <w:tcW w:type="dxa" w:w="7300"/>
            <w:tcMar>
              <w:top w:type="dxa" w:w="80"/>
              <w:left w:type="dxa" w:w="100"/>
              <w:bottom w:type="dxa" w:w="80"/>
              <w:right w:type="dxa" w:w="100"/>
            </w:tcMar>
            <w:vAlign w:val="center"/>
          </w:tcPr>
          <w:p>
            <w:r>
              <w:rPr>
                <w:b w:val="false"/>
                <w:bCs w:val="false"/>
                <w:color w:val="000000"/>
                <w:sz w:val="20"/>
                <w:szCs w:val="20"/>
              </w:rPr>
              <w:t xml:space="preserve">If the Post is approved before the threshold, no reminder is sent.</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Postcondition</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Approver is reminded without human intervention; escalation is logged if the SLA continues to be missed.</w:t>
            </w:r>
          </w:p>
        </w:tc>
      </w:tr>
    </w:tbl>
    <w:p>
      <w:pPr>
        <w:spacing w:after="120"/>
      </w:pPr>
    </w:p>
    <w:p>
      <w:pPr>
        <w:pStyle w:val="Heading3"/>
        <w:spacing w:after="100" w:before="200"/>
      </w:pPr>
      <w:r>
        <w:rPr>
          <w:b/>
          <w:bCs/>
        </w:rPr>
        <w:t xml:space="preserve">UC-3 — Sentiment Triage in the Global Inbox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3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Actor(s)</w:t>
            </w:r>
          </w:p>
        </w:tc>
        <w:tc>
          <w:tcPr>
            <w:tcW w:type="dxa" w:w="7300"/>
            <w:tcMar>
              <w:top w:type="dxa" w:w="80"/>
              <w:left w:type="dxa" w:w="100"/>
              <w:bottom w:type="dxa" w:w="80"/>
              <w:right w:type="dxa" w:w="100"/>
            </w:tcMar>
            <w:vAlign w:val="center"/>
          </w:tcPr>
          <w:p>
            <w:r>
              <w:rPr>
                <w:b w:val="false"/>
                <w:bCs w:val="false"/>
                <w:color w:val="000000"/>
                <w:sz w:val="20"/>
                <w:szCs w:val="20"/>
              </w:rPr>
              <w:t xml:space="preserve">System, Community Manager</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Preconditions</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Client's social accounts are connected; sentiment model is active.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Trigger</w:t>
            </w:r>
          </w:p>
        </w:tc>
        <w:tc>
          <w:tcPr>
            <w:tcW w:type="dxa" w:w="7300"/>
            <w:tcMar>
              <w:top w:type="dxa" w:w="80"/>
              <w:left w:type="dxa" w:w="100"/>
              <w:bottom w:type="dxa" w:w="80"/>
              <w:right w:type="dxa" w:w="100"/>
            </w:tcMar>
            <w:vAlign w:val="center"/>
          </w:tcPr>
          <w:p>
            <w:r>
              <w:rPr>
                <w:b w:val="false"/>
                <w:bCs w:val="false"/>
                <w:color w:val="000000"/>
                <w:sz w:val="20"/>
                <w:szCs w:val="20"/>
              </w:rPr>
              <w:t xml:space="preserve">A new comment or DM arrives on any connected platform.</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Main Flow</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1) System ingests the message into the Global Inbox. 2) System runs sentiment classification. 3) If classified Negative/High Priority, item is surfaced at top of queue and Community Manager is notified. 4) If it matches a routine FAQ pattern, system drafts a suggested reply for human approval.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Alternate / Exception Flow</w:t>
            </w:r>
          </w:p>
        </w:tc>
        <w:tc>
          <w:tcPr>
            <w:tcW w:type="dxa" w:w="7300"/>
            <w:tcMar>
              <w:top w:type="dxa" w:w="80"/>
              <w:left w:type="dxa" w:w="100"/>
              <w:bottom w:type="dxa" w:w="80"/>
              <w:right w:type="dxa" w:w="100"/>
            </w:tcMar>
            <w:vAlign w:val="center"/>
          </w:tcPr>
          <w:p>
            <w:r>
              <w:rPr>
                <w:b w:val="false"/>
                <w:bCs w:val="false"/>
                <w:color w:val="000000"/>
                <w:sz w:val="20"/>
                <w:szCs w:val="20"/>
              </w:rPr>
              <w:t xml:space="preserve">If sentiment is ambiguous, item is flagged Neutral and queued for standard review.</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Postcondition</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High-risk messages receive prompt human attention; routine messages are answered faster via AI-drafted replies.</w:t>
            </w:r>
          </w:p>
        </w:tc>
      </w:tr>
    </w:tbl>
    <w:p>
      <w:pPr>
        <w:spacing w:after="120"/>
      </w:pPr>
    </w:p>
    <w:p>
      <w:pPr>
        <w:pStyle w:val="Heading3"/>
        <w:spacing w:after="100" w:before="200"/>
      </w:pPr>
      <w:r>
        <w:rPr>
          <w:b/>
          <w:bCs/>
        </w:rPr>
        <w:t xml:space="preserve">UC-4 — Collision Prevention on a Shared Comment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3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Actor(s)</w:t>
            </w:r>
          </w:p>
        </w:tc>
        <w:tc>
          <w:tcPr>
            <w:tcW w:type="dxa" w:w="7300"/>
            <w:tcMar>
              <w:top w:type="dxa" w:w="80"/>
              <w:left w:type="dxa" w:w="100"/>
              <w:bottom w:type="dxa" w:w="80"/>
              <w:right w:type="dxa" w:w="100"/>
            </w:tcMar>
            <w:vAlign w:val="center"/>
          </w:tcPr>
          <w:p>
            <w:r>
              <w:rPr>
                <w:b w:val="false"/>
                <w:bCs w:val="false"/>
                <w:color w:val="000000"/>
                <w:sz w:val="20"/>
                <w:szCs w:val="20"/>
              </w:rPr>
              <w:t xml:space="preserve">Two Community Managers, System</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Preconditions</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Two Agency users have access to the same Client's inbox.</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Trigger</w:t>
            </w:r>
          </w:p>
        </w:tc>
        <w:tc>
          <w:tcPr>
            <w:tcW w:type="dxa" w:w="7300"/>
            <w:tcMar>
              <w:top w:type="dxa" w:w="80"/>
              <w:left w:type="dxa" w:w="100"/>
              <w:bottom w:type="dxa" w:w="80"/>
              <w:right w:type="dxa" w:w="100"/>
            </w:tcMar>
            <w:vAlign w:val="center"/>
          </w:tcPr>
          <w:p>
            <w:r>
              <w:rPr>
                <w:b w:val="false"/>
                <w:bCs w:val="false"/>
                <w:color w:val="000000"/>
                <w:sz w:val="20"/>
                <w:szCs w:val="20"/>
              </w:rPr>
              <w:t xml:space="preserve">User A opens a comment thread to reply.</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Main Flow</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1) System locks the item to User A and shows a presence indicator to other users. 2) User B attempts to open the same item and sees it is locked, with User A's name. 3) User A replies and closes the item, releasing the lock.</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Alternate / Exception Flow</w:t>
            </w:r>
          </w:p>
        </w:tc>
        <w:tc>
          <w:tcPr>
            <w:tcW w:type="dxa" w:w="7300"/>
            <w:tcMar>
              <w:top w:type="dxa" w:w="80"/>
              <w:left w:type="dxa" w:w="100"/>
              <w:bottom w:type="dxa" w:w="80"/>
              <w:right w:type="dxa" w:w="100"/>
            </w:tcMar>
            <w:vAlign w:val="center"/>
          </w:tcPr>
          <w:p>
            <w:r>
              <w:rPr>
                <w:b w:val="false"/>
                <w:bCs w:val="false"/>
                <w:color w:val="000000"/>
                <w:sz w:val="20"/>
                <w:szCs w:val="20"/>
              </w:rPr>
              <w:t xml:space="preserve">If User A is inactive beyond the timeout, the lock auto-releases and User B may claim it.</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Postcondition</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Only one reply is sent per comment; duplicate/conflicting replies are prevented.</w:t>
            </w:r>
          </w:p>
        </w:tc>
      </w:tr>
    </w:tbl>
    <w:p>
      <w:pPr>
        <w:spacing w:after="120"/>
      </w:pPr>
    </w:p>
    <w:p>
      <w:pPr>
        <w:pStyle w:val="Heading3"/>
        <w:spacing w:after="100" w:before="200"/>
      </w:pPr>
      <w:r>
        <w:rPr>
          <w:b/>
          <w:bCs/>
        </w:rPr>
        <w:t xml:space="preserve">UC-5 — Brand-Voice-Assisted Copywriting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3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Actor(s)</w:t>
            </w:r>
          </w:p>
        </w:tc>
        <w:tc>
          <w:tcPr>
            <w:tcW w:type="dxa" w:w="7300"/>
            <w:tcMar>
              <w:top w:type="dxa" w:w="80"/>
              <w:left w:type="dxa" w:w="100"/>
              <w:bottom w:type="dxa" w:w="80"/>
              <w:right w:type="dxa" w:w="100"/>
            </w:tcMar>
            <w:vAlign w:val="center"/>
          </w:tcPr>
          <w:p>
            <w:r>
              <w:rPr>
                <w:b w:val="false"/>
                <w:bCs w:val="false"/>
                <w:color w:val="000000"/>
                <w:sz w:val="20"/>
                <w:szCs w:val="20"/>
              </w:rPr>
              <w:t xml:space="preserve">Copywriter, System</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Preconditions</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Client's Brand Kit (tone-of-voice, terminology) is configured.</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Trigger</w:t>
            </w:r>
          </w:p>
        </w:tc>
        <w:tc>
          <w:tcPr>
            <w:tcW w:type="dxa" w:w="7300"/>
            <w:tcMar>
              <w:top w:type="dxa" w:w="80"/>
              <w:left w:type="dxa" w:w="100"/>
              <w:bottom w:type="dxa" w:w="80"/>
              <w:right w:type="dxa" w:w="100"/>
            </w:tcMar>
            <w:vAlign w:val="center"/>
          </w:tcPr>
          <w:p>
            <w:r>
              <w:rPr>
                <w:b w:val="false"/>
                <w:bCs w:val="false"/>
                <w:color w:val="000000"/>
                <w:sz w:val="20"/>
                <w:szCs w:val="20"/>
              </w:rPr>
              <w:t xml:space="preserve">Copywriter opens a new Post draft for a specific Client.</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Main Flow</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1) System loads the Client's Brand Kit. 2) Copywriter requests AI-suggested copy. 3) System generates copy aligned to the stored tone-of-voice and flags any off-brand terminology in the draft.</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Alternate / Exception Flow</w:t>
            </w:r>
          </w:p>
        </w:tc>
        <w:tc>
          <w:tcPr>
            <w:tcW w:type="dxa" w:w="7300"/>
            <w:tcMar>
              <w:top w:type="dxa" w:w="80"/>
              <w:left w:type="dxa" w:w="100"/>
              <w:bottom w:type="dxa" w:w="80"/>
              <w:right w:type="dxa" w:w="100"/>
            </w:tcMar>
            <w:vAlign w:val="center"/>
          </w:tcPr>
          <w:p>
            <w:r>
              <w:rPr>
                <w:b w:val="false"/>
                <w:bCs w:val="false"/>
                <w:color w:val="000000"/>
                <w:sz w:val="20"/>
                <w:szCs w:val="20"/>
              </w:rPr>
              <w:t xml:space="preserve">If no Brand Kit exists for the Client, system prompts the Copywriter to proceed without AI suggestions or create one first.</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Postcondition</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Draft copy is on-brand and ready for the approval workflow.</w:t>
            </w:r>
          </w:p>
        </w:tc>
      </w:tr>
    </w:tbl>
    <w:p>
      <w:pPr>
        <w:spacing w:after="120"/>
      </w:pPr>
    </w:p>
    <w:p>
      <w:pPr>
        <w:pStyle w:val="Heading3"/>
        <w:spacing w:after="100" w:before="200"/>
      </w:pPr>
      <w:r>
        <w:rPr>
          <w:b/>
          <w:bCs/>
        </w:rPr>
        <w:t xml:space="preserve">UC-6 — Profitability &amp; Scope-Creep Review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3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Actor(s)</w:t>
            </w:r>
          </w:p>
        </w:tc>
        <w:tc>
          <w:tcPr>
            <w:tcW w:type="dxa" w:w="7300"/>
            <w:tcMar>
              <w:top w:type="dxa" w:w="80"/>
              <w:left w:type="dxa" w:w="100"/>
              <w:bottom w:type="dxa" w:w="80"/>
              <w:right w:type="dxa" w:w="100"/>
            </w:tcMar>
            <w:vAlign w:val="center"/>
          </w:tcPr>
          <w:p>
            <w:r>
              <w:rPr>
                <w:b w:val="false"/>
                <w:bCs w:val="false"/>
                <w:color w:val="000000"/>
                <w:sz w:val="20"/>
                <w:szCs w:val="20"/>
              </w:rPr>
              <w:t xml:space="preserve">Agency Owner, System</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Preconditions</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Time entries have been logged against the Client workspace for the billing period.</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Trigger</w:t>
            </w:r>
          </w:p>
        </w:tc>
        <w:tc>
          <w:tcPr>
            <w:tcW w:type="dxa" w:w="7300"/>
            <w:tcMar>
              <w:top w:type="dxa" w:w="80"/>
              <w:left w:type="dxa" w:w="100"/>
              <w:bottom w:type="dxa" w:w="80"/>
              <w:right w:type="dxa" w:w="100"/>
            </w:tcMar>
            <w:vAlign w:val="center"/>
          </w:tcPr>
          <w:p>
            <w:r>
              <w:rPr>
                <w:b w:val="false"/>
                <w:bCs w:val="false"/>
                <w:color w:val="000000"/>
                <w:sz w:val="20"/>
                <w:szCs w:val="20"/>
              </w:rPr>
              <w:t xml:space="preserve">Agency Owner opens the Client Profitability dashboard.</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Main Flow</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1) System aggregates logged hours and converts to cost. 2) System compares cost to the Client's monthly retainer value. 3) System displays margin and flags the Client if logged effort exceeds the retainer-covered threshold.</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Alternate / Exception Flow</w:t>
            </w:r>
          </w:p>
        </w:tc>
        <w:tc>
          <w:tcPr>
            <w:tcW w:type="dxa" w:w="7300"/>
            <w:tcMar>
              <w:top w:type="dxa" w:w="80"/>
              <w:left w:type="dxa" w:w="100"/>
              <w:bottom w:type="dxa" w:w="80"/>
              <w:right w:type="dxa" w:w="100"/>
            </w:tcMar>
            <w:vAlign w:val="center"/>
          </w:tcPr>
          <w:p>
            <w:r>
              <w:rPr>
                <w:b w:val="false"/>
                <w:bCs w:val="false"/>
                <w:color w:val="000000"/>
                <w:sz w:val="20"/>
                <w:szCs w:val="20"/>
              </w:rPr>
              <w:t xml:space="preserve">If time-tracking integration is unavailable, system falls back to manually logged entries only and indicates data may be incomplete.</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Postcondition</w:t>
            </w:r>
          </w:p>
        </w:tc>
        <w:tc>
          <w:tcPr>
            <w:tcW w:type="dxa" w:w="7300"/>
            <w:shd w:fill="F2F2F2" w:val="clear"/>
            <w:tcMar>
              <w:top w:type="dxa" w:w="80"/>
              <w:left w:type="dxa" w:w="100"/>
              <w:bottom w:type="dxa" w:w="80"/>
              <w:right w:type="dxa" w:w="100"/>
            </w:tcMar>
            <w:vAlign w:val="center"/>
          </w:tcPr>
          <w:p>
            <w:r>
              <w:rPr>
                <w:b w:val="false"/>
                <w:bCs w:val="false"/>
                <w:color w:val="000000"/>
                <w:sz w:val="20"/>
                <w:szCs w:val="20"/>
              </w:rPr>
              <w:t xml:space="preserve">Agency Owner can identify under- or over-serviced Clients for renegotiation or resourcing decisions.</w:t>
            </w:r>
          </w:p>
        </w:tc>
      </w:tr>
    </w:tbl>
    <w:p>
      <w:pPr>
        <w:spacing w:after="120"/>
      </w:pPr>
    </w:p>
    <w:p>
      <w:r>
        <w:br w:type="page"/>
      </w:r>
    </w:p>
    <w:p>
      <w:pPr>
        <w:pStyle w:val="Heading1"/>
        <w:spacing w:after="200" w:before="400"/>
      </w:pPr>
      <w:r>
        <w:rPr>
          <w:b/>
          <w:bCs/>
          <w:color w:val="1F3864"/>
        </w:rPr>
        <w:t xml:space="preserve">5  Logical Data Model</w:t>
      </w:r>
    </w:p>
    <w:p>
      <w:pPr>
        <w:spacing w:after="160"/>
      </w:pPr>
      <w:r>
        <w:t xml:space="preserve">The core entities below capture the primary objects the Platform must persist. Relationships are described narratively; a full ERD should be produced during technical design.</w:t>
      </w:r>
    </w:p>
    <w:p>
      <w:pPr>
        <w:pStyle w:val="Heading3"/>
        <w:spacing w:after="100" w:before="200"/>
      </w:pPr>
      <w:r>
        <w:rPr>
          <w:b/>
          <w:bCs/>
        </w:rPr>
        <w:t xml:space="preserve">Agency</w:t>
      </w:r>
    </w:p>
    <w:p>
      <w:pPr>
        <w:spacing w:after="160"/>
      </w:pPr>
      <w:r>
        <w:t xml:space="preserve">The tenant organization.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Attribute</w:t>
            </w:r>
          </w:p>
        </w:tc>
        <w:tc>
          <w:tcPr>
            <w:tcW w:type="dxa" w:w="69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agency_id</w:t>
            </w:r>
          </w:p>
        </w:tc>
        <w:tc>
          <w:tcPr>
            <w:tcW w:type="dxa" w:w="6900"/>
            <w:tcMar>
              <w:top w:type="dxa" w:w="80"/>
              <w:left w:type="dxa" w:w="100"/>
              <w:bottom w:type="dxa" w:w="80"/>
              <w:right w:type="dxa" w:w="100"/>
            </w:tcMar>
            <w:vAlign w:val="center"/>
          </w:tcPr>
          <w:p>
            <w:r>
              <w:rPr>
                <w:b w:val="false"/>
                <w:bCs w:val="false"/>
                <w:color w:val="000000"/>
                <w:sz w:val="20"/>
                <w:szCs w:val="20"/>
              </w:rPr>
              <w:t xml:space="preserve">Primary key</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name, logo, brand_colors, custom_domain</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White-label configuration (Section G)</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plan_tier</w:t>
            </w:r>
          </w:p>
        </w:tc>
        <w:tc>
          <w:tcPr>
            <w:tcW w:type="dxa" w:w="6900"/>
            <w:tcMar>
              <w:top w:type="dxa" w:w="80"/>
              <w:left w:type="dxa" w:w="100"/>
              <w:bottom w:type="dxa" w:w="80"/>
              <w:right w:type="dxa" w:w="100"/>
            </w:tcMar>
            <w:vAlign w:val="center"/>
          </w:tcPr>
          <w:p>
            <w:r>
              <w:rPr>
                <w:b w:val="false"/>
                <w:bCs w:val="false"/>
                <w:color w:val="000000"/>
                <w:sz w:val="20"/>
                <w:szCs w:val="20"/>
              </w:rPr>
              <w:t xml:space="preserve">Subscription level</w:t>
            </w:r>
          </w:p>
        </w:tc>
      </w:tr>
    </w:tbl>
    <w:p>
      <w:pPr>
        <w:spacing w:after="160"/>
      </w:pPr>
      <w:r>
        <w:rPr>
          <w:i/>
          <w:iCs/>
        </w:rPr>
        <w:t xml:space="preserve">Relationships: Has many Users, Clients.</w:t>
      </w:r>
    </w:p>
    <w:p>
      <w:pPr>
        <w:spacing w:after="120"/>
      </w:pPr>
    </w:p>
    <w:p>
      <w:pPr>
        <w:pStyle w:val="Heading3"/>
        <w:spacing w:after="100" w:before="200"/>
      </w:pPr>
      <w:r>
        <w:rPr>
          <w:b/>
          <w:bCs/>
        </w:rPr>
        <w:t xml:space="preserve">Client</w:t>
      </w:r>
    </w:p>
    <w:p>
      <w:pPr>
        <w:spacing w:after="160"/>
      </w:pPr>
      <w:r>
        <w:t xml:space="preserve">A brand managed by the Agency.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Attribute</w:t>
            </w:r>
          </w:p>
        </w:tc>
        <w:tc>
          <w:tcPr>
            <w:tcW w:type="dxa" w:w="69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client_id</w:t>
            </w:r>
          </w:p>
        </w:tc>
        <w:tc>
          <w:tcPr>
            <w:tcW w:type="dxa" w:w="6900"/>
            <w:tcMar>
              <w:top w:type="dxa" w:w="80"/>
              <w:left w:type="dxa" w:w="100"/>
              <w:bottom w:type="dxa" w:w="80"/>
              <w:right w:type="dxa" w:w="100"/>
            </w:tcMar>
            <w:vAlign w:val="center"/>
          </w:tcPr>
          <w:p>
            <w:r>
              <w:rPr>
                <w:b w:val="false"/>
                <w:bCs w:val="false"/>
                <w:color w:val="000000"/>
                <w:sz w:val="20"/>
                <w:szCs w:val="20"/>
              </w:rPr>
              <w:t xml:space="preserve">Primary key</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agency_id</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Foreign key → Agency</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industry_tags</w:t>
            </w:r>
          </w:p>
        </w:tc>
        <w:tc>
          <w:tcPr>
            <w:tcW w:type="dxa" w:w="6900"/>
            <w:tcMar>
              <w:top w:type="dxa" w:w="80"/>
              <w:left w:type="dxa" w:w="100"/>
              <w:bottom w:type="dxa" w:w="80"/>
              <w:right w:type="dxa" w:w="100"/>
            </w:tcMar>
            <w:vAlign w:val="center"/>
          </w:tcPr>
          <w:p>
            <w:r>
              <w:rPr>
                <w:b w:val="false"/>
                <w:bCs w:val="false"/>
                <w:color w:val="000000"/>
                <w:sz w:val="20"/>
                <w:szCs w:val="20"/>
              </w:rPr>
              <w:t xml:space="preserve">e.g., “Healthcare” – drives routing rules (FR-D-2)</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retainer_value</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Monthly retainer amount (Section G)</w:t>
            </w:r>
          </w:p>
        </w:tc>
      </w:tr>
    </w:tbl>
    <w:p>
      <w:pPr>
        <w:spacing w:after="160"/>
      </w:pPr>
      <w:r>
        <w:rPr>
          <w:i/>
          <w:iCs/>
        </w:rPr>
        <w:t xml:space="preserve">Relationships: Has one Workspace, one Brand Kit; many Campaigns, Posts, Assets.</w:t>
      </w:r>
    </w:p>
    <w:p>
      <w:pPr>
        <w:spacing w:after="120"/>
      </w:pPr>
    </w:p>
    <w:p>
      <w:pPr>
        <w:pStyle w:val="Heading3"/>
        <w:spacing w:after="100" w:before="200"/>
      </w:pPr>
      <w:r>
        <w:rPr>
          <w:b/>
          <w:bCs/>
        </w:rPr>
        <w:t xml:space="preserve">Workspace</w:t>
      </w:r>
    </w:p>
    <w:p>
      <w:pPr>
        <w:spacing w:after="160"/>
      </w:pPr>
      <w:r>
        <w:t xml:space="preserve">Isolated container scoping a Client's data and users.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Attribute</w:t>
            </w:r>
          </w:p>
        </w:tc>
        <w:tc>
          <w:tcPr>
            <w:tcW w:type="dxa" w:w="69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workspace_id</w:t>
            </w:r>
          </w:p>
        </w:tc>
        <w:tc>
          <w:tcPr>
            <w:tcW w:type="dxa" w:w="6900"/>
            <w:tcMar>
              <w:top w:type="dxa" w:w="80"/>
              <w:left w:type="dxa" w:w="100"/>
              <w:bottom w:type="dxa" w:w="80"/>
              <w:right w:type="dxa" w:w="100"/>
            </w:tcMar>
            <w:vAlign w:val="center"/>
          </w:tcPr>
          <w:p>
            <w:r>
              <w:rPr>
                <w:b w:val="false"/>
                <w:bCs w:val="false"/>
                <w:color w:val="000000"/>
                <w:sz w:val="20"/>
                <w:szCs w:val="20"/>
              </w:rPr>
              <w:t xml:space="preserve">Primary key</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client_id</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Foreign key → Client</w:t>
            </w:r>
          </w:p>
        </w:tc>
      </w:tr>
    </w:tbl>
    <w:p>
      <w:pPr>
        <w:spacing w:after="160"/>
      </w:pPr>
      <w:r>
        <w:rPr>
          <w:i/>
          <w:iCs/>
        </w:rPr>
        <w:t xml:space="preserve">Relationships: Belongs to Client; scopes Users (via RBAC assignment), Campaigns, Assets.</w:t>
      </w:r>
    </w:p>
    <w:p>
      <w:pPr>
        <w:spacing w:after="120"/>
      </w:pPr>
    </w:p>
    <w:p>
      <w:pPr>
        <w:pStyle w:val="Heading3"/>
        <w:spacing w:after="100" w:before="200"/>
      </w:pPr>
      <w:r>
        <w:rPr>
          <w:b/>
          <w:bCs/>
        </w:rPr>
        <w:t xml:space="preserve">User</w:t>
      </w:r>
    </w:p>
    <w:p>
      <w:pPr>
        <w:spacing w:after="160"/>
      </w:pPr>
      <w:r>
        <w:t xml:space="preserve">Any human actor: Agency staff or Client stakeholder.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Attribute</w:t>
            </w:r>
          </w:p>
        </w:tc>
        <w:tc>
          <w:tcPr>
            <w:tcW w:type="dxa" w:w="69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user_id</w:t>
            </w:r>
          </w:p>
        </w:tc>
        <w:tc>
          <w:tcPr>
            <w:tcW w:type="dxa" w:w="6900"/>
            <w:tcMar>
              <w:top w:type="dxa" w:w="80"/>
              <w:left w:type="dxa" w:w="100"/>
              <w:bottom w:type="dxa" w:w="80"/>
              <w:right w:type="dxa" w:w="100"/>
            </w:tcMar>
            <w:vAlign w:val="center"/>
          </w:tcPr>
          <w:p>
            <w:r>
              <w:rPr>
                <w:b w:val="false"/>
                <w:bCs w:val="false"/>
                <w:color w:val="000000"/>
                <w:sz w:val="20"/>
                <w:szCs w:val="20"/>
              </w:rPr>
              <w:t xml:space="preserve">Primary key</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role</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Agency Owner, Account Manager, Creator, Copywriter, Legal Reviewer, Client Stakeholder, Community Manager, Freelancer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assigned_workspaces</w:t>
            </w:r>
          </w:p>
        </w:tc>
        <w:tc>
          <w:tcPr>
            <w:tcW w:type="dxa" w:w="6900"/>
            <w:tcMar>
              <w:top w:type="dxa" w:w="80"/>
              <w:left w:type="dxa" w:w="100"/>
              <w:bottom w:type="dxa" w:w="80"/>
              <w:right w:type="dxa" w:w="100"/>
            </w:tcMar>
            <w:vAlign w:val="center"/>
          </w:tcPr>
          <w:p>
            <w:r>
              <w:rPr>
                <w:b w:val="false"/>
                <w:bCs w:val="false"/>
                <w:color w:val="000000"/>
                <w:sz w:val="20"/>
                <w:szCs w:val="20"/>
              </w:rPr>
              <w:t xml:space="preserve">RBAC scope (Section G)</w:t>
            </w:r>
          </w:p>
        </w:tc>
      </w:tr>
    </w:tbl>
    <w:p>
      <w:pPr>
        <w:spacing w:after="160"/>
      </w:pPr>
      <w:r>
        <w:rPr>
          <w:i/>
          <w:iCs/>
        </w:rPr>
        <w:t xml:space="preserve">Relationships: Many-to-many with Workspace via role assignment.</w:t>
      </w:r>
    </w:p>
    <w:p>
      <w:pPr>
        <w:spacing w:after="120"/>
      </w:pPr>
    </w:p>
    <w:p>
      <w:pPr>
        <w:pStyle w:val="Heading3"/>
        <w:spacing w:after="100" w:before="200"/>
      </w:pPr>
      <w:r>
        <w:rPr>
          <w:b/>
          <w:bCs/>
        </w:rPr>
        <w:t xml:space="preserve">Asset</w:t>
      </w:r>
    </w:p>
    <w:p>
      <w:pPr>
        <w:spacing w:after="160"/>
      </w:pPr>
      <w:r>
        <w:t xml:space="preserve">A raw or finished media file.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Attribute</w:t>
            </w:r>
          </w:p>
        </w:tc>
        <w:tc>
          <w:tcPr>
            <w:tcW w:type="dxa" w:w="69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asset_id</w:t>
            </w:r>
          </w:p>
        </w:tc>
        <w:tc>
          <w:tcPr>
            <w:tcW w:type="dxa" w:w="6900"/>
            <w:tcMar>
              <w:top w:type="dxa" w:w="80"/>
              <w:left w:type="dxa" w:w="100"/>
              <w:bottom w:type="dxa" w:w="80"/>
              <w:right w:type="dxa" w:w="100"/>
            </w:tcMar>
            <w:vAlign w:val="center"/>
          </w:tcPr>
          <w:p>
            <w:r>
              <w:rPr>
                <w:b w:val="false"/>
                <w:bCs w:val="false"/>
                <w:color w:val="000000"/>
                <w:sz w:val="20"/>
                <w:szCs w:val="20"/>
              </w:rPr>
              <w:t xml:space="preserve">Primary key</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workspace_id</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Foreign key → Workspace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tags</w:t>
            </w:r>
          </w:p>
        </w:tc>
        <w:tc>
          <w:tcPr>
            <w:tcW w:type="dxa" w:w="6900"/>
            <w:tcMar>
              <w:top w:type="dxa" w:w="80"/>
              <w:left w:type="dxa" w:w="100"/>
              <w:bottom w:type="dxa" w:w="80"/>
              <w:right w:type="dxa" w:w="100"/>
            </w:tcMar>
            <w:vAlign w:val="center"/>
          </w:tcPr>
          <w:p>
            <w:r>
              <w:rPr>
                <w:b w:val="false"/>
                <w:bCs w:val="false"/>
                <w:color w:val="000000"/>
                <w:sz w:val="20"/>
                <w:szCs w:val="20"/>
              </w:rPr>
              <w:t xml:space="preserve">Client, campaign, content type, industry (drives FR-D-1)</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source</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Upload, Canva, Figma, Adobe (Section F)</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version_history</w:t>
            </w:r>
          </w:p>
        </w:tc>
        <w:tc>
          <w:tcPr>
            <w:tcW w:type="dxa" w:w="6900"/>
            <w:tcMar>
              <w:top w:type="dxa" w:w="80"/>
              <w:left w:type="dxa" w:w="100"/>
              <w:bottom w:type="dxa" w:w="80"/>
              <w:right w:type="dxa" w:w="100"/>
            </w:tcMar>
            <w:vAlign w:val="center"/>
          </w:tcPr>
          <w:p>
            <w:r>
              <w:rPr>
                <w:b w:val="false"/>
                <w:bCs w:val="false"/>
                <w:color w:val="000000"/>
                <w:sz w:val="20"/>
                <w:szCs w:val="20"/>
              </w:rPr>
              <w:t xml:space="preserve">Prior versions retained (FR-F-6)</w:t>
            </w:r>
          </w:p>
        </w:tc>
      </w:tr>
    </w:tbl>
    <w:p>
      <w:pPr>
        <w:spacing w:after="160"/>
      </w:pPr>
      <w:r>
        <w:rPr>
          <w:i/>
          <w:iCs/>
        </w:rPr>
        <w:t xml:space="preserve">Relationships: Belongs to Workspace/Campaign; referenced by Post.</w:t>
      </w:r>
    </w:p>
    <w:p>
      <w:pPr>
        <w:spacing w:after="120"/>
      </w:pPr>
    </w:p>
    <w:p>
      <w:pPr>
        <w:pStyle w:val="Heading3"/>
        <w:spacing w:after="100" w:before="200"/>
      </w:pPr>
      <w:r>
        <w:rPr>
          <w:b/>
          <w:bCs/>
        </w:rPr>
        <w:t xml:space="preserve">Post</w:t>
      </w:r>
    </w:p>
    <w:p>
      <w:pPr>
        <w:spacing w:after="160"/>
      </w:pPr>
      <w:r>
        <w:t xml:space="preserve">A scheduled or published piece of content.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Attribute</w:t>
            </w:r>
          </w:p>
        </w:tc>
        <w:tc>
          <w:tcPr>
            <w:tcW w:type="dxa" w:w="69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post_id</w:t>
            </w:r>
          </w:p>
        </w:tc>
        <w:tc>
          <w:tcPr>
            <w:tcW w:type="dxa" w:w="6900"/>
            <w:tcMar>
              <w:top w:type="dxa" w:w="80"/>
              <w:left w:type="dxa" w:w="100"/>
              <w:bottom w:type="dxa" w:w="80"/>
              <w:right w:type="dxa" w:w="100"/>
            </w:tcMar>
            <w:vAlign w:val="center"/>
          </w:tcPr>
          <w:p>
            <w:r>
              <w:rPr>
                <w:b w:val="false"/>
                <w:bCs w:val="false"/>
                <w:color w:val="000000"/>
                <w:sz w:val="20"/>
                <w:szCs w:val="20"/>
              </w:rPr>
              <w:t xml:space="preserve">Primary key</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asset_id(s)</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Referenced Asset(s)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platform_variants</w:t>
            </w:r>
          </w:p>
        </w:tc>
        <w:tc>
          <w:tcPr>
            <w:tcW w:type="dxa" w:w="6900"/>
            <w:tcMar>
              <w:top w:type="dxa" w:w="80"/>
              <w:left w:type="dxa" w:w="100"/>
              <w:bottom w:type="dxa" w:w="80"/>
              <w:right w:type="dxa" w:w="100"/>
            </w:tcMar>
            <w:vAlign w:val="center"/>
          </w:tcPr>
          <w:p>
            <w:r>
              <w:rPr>
                <w:b w:val="false"/>
                <w:bCs w:val="false"/>
                <w:color w:val="000000"/>
                <w:sz w:val="20"/>
                <w:szCs w:val="20"/>
              </w:rPr>
              <w:t xml:space="preserve">Per-platform copy/format overrides</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scheduled_time, status</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Draft, Pending Approval, Approved, Published, Failed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approval_workflow_id</w:t>
            </w:r>
          </w:p>
        </w:tc>
        <w:tc>
          <w:tcPr>
            <w:tcW w:type="dxa" w:w="6900"/>
            <w:tcMar>
              <w:top w:type="dxa" w:w="80"/>
              <w:left w:type="dxa" w:w="100"/>
              <w:bottom w:type="dxa" w:w="80"/>
              <w:right w:type="dxa" w:w="100"/>
            </w:tcMar>
            <w:vAlign w:val="center"/>
          </w:tcPr>
          <w:p>
            <w:r>
              <w:rPr>
                <w:b w:val="false"/>
                <w:bCs w:val="false"/>
                <w:color w:val="000000"/>
                <w:sz w:val="20"/>
                <w:szCs w:val="20"/>
              </w:rPr>
              <w:t xml:space="preserve">Foreign key → Approval Workflow instance</w:t>
            </w:r>
          </w:p>
        </w:tc>
      </w:tr>
    </w:tbl>
    <w:p>
      <w:pPr>
        <w:spacing w:after="160"/>
      </w:pPr>
      <w:r>
        <w:rPr>
          <w:i/>
          <w:iCs/>
        </w:rPr>
        <w:t xml:space="preserve">Relationships: Belongs to Campaign; has one Approval Workflow instance.</w:t>
      </w:r>
    </w:p>
    <w:p>
      <w:pPr>
        <w:spacing w:after="120"/>
      </w:pPr>
    </w:p>
    <w:p>
      <w:pPr>
        <w:pStyle w:val="Heading3"/>
        <w:spacing w:after="100" w:before="200"/>
      </w:pPr>
      <w:r>
        <w:rPr>
          <w:b/>
          <w:bCs/>
        </w:rPr>
        <w:t xml:space="preserve">Approval Workflow (Step)</w:t>
      </w:r>
    </w:p>
    <w:p>
      <w:pPr>
        <w:spacing w:after="160"/>
      </w:pPr>
      <w:r>
        <w:t xml:space="preserve">An ordered stage in a Post's review chain.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Attribute</w:t>
            </w:r>
          </w:p>
        </w:tc>
        <w:tc>
          <w:tcPr>
            <w:tcW w:type="dxa" w:w="69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step_id</w:t>
            </w:r>
          </w:p>
        </w:tc>
        <w:tc>
          <w:tcPr>
            <w:tcW w:type="dxa" w:w="6900"/>
            <w:tcMar>
              <w:top w:type="dxa" w:w="80"/>
              <w:left w:type="dxa" w:w="100"/>
              <w:bottom w:type="dxa" w:w="80"/>
              <w:right w:type="dxa" w:w="100"/>
            </w:tcMar>
            <w:vAlign w:val="center"/>
          </w:tcPr>
          <w:p>
            <w:r>
              <w:rPr>
                <w:b w:val="false"/>
                <w:bCs w:val="false"/>
                <w:color w:val="000000"/>
                <w:sz w:val="20"/>
                <w:szCs w:val="20"/>
              </w:rPr>
              <w:t xml:space="preserve">Primary key</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post_id</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Foreign key → Post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approver_role / approver_user</w:t>
            </w:r>
          </w:p>
        </w:tc>
        <w:tc>
          <w:tcPr>
            <w:tcW w:type="dxa" w:w="6900"/>
            <w:tcMar>
              <w:top w:type="dxa" w:w="80"/>
              <w:left w:type="dxa" w:w="100"/>
              <w:bottom w:type="dxa" w:w="80"/>
              <w:right w:type="dxa" w:w="100"/>
            </w:tcMar>
            <w:vAlign w:val="center"/>
          </w:tcPr>
          <w:p>
            <w:r>
              <w:rPr>
                <w:b w:val="false"/>
                <w:bCs w:val="false"/>
                <w:color w:val="000000"/>
                <w:sz w:val="20"/>
                <w:szCs w:val="20"/>
              </w:rPr>
              <w:t xml:space="preserve">Who must act at this step</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status, decision_comment, decided_at</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Approve/Reject/Pending, with audit timestamp</w:t>
            </w:r>
          </w:p>
        </w:tc>
      </w:tr>
    </w:tbl>
    <w:p>
      <w:pPr>
        <w:spacing w:after="160"/>
      </w:pPr>
      <w:r>
        <w:rPr>
          <w:i/>
          <w:iCs/>
        </w:rPr>
        <w:t xml:space="preserve">Relationships: Sequenced set belongs to a Post; generated per FR-D-1/D-2 routing rules.</w:t>
      </w:r>
    </w:p>
    <w:p>
      <w:pPr>
        <w:spacing w:after="120"/>
      </w:pPr>
    </w:p>
    <w:p>
      <w:pPr>
        <w:pStyle w:val="Heading3"/>
        <w:spacing w:after="100" w:before="200"/>
      </w:pPr>
      <w:r>
        <w:rPr>
          <w:b/>
          <w:bCs/>
        </w:rPr>
        <w:t xml:space="preserve">Inbox Item</w:t>
      </w:r>
    </w:p>
    <w:p>
      <w:pPr>
        <w:spacing w:after="160"/>
      </w:pPr>
      <w:r>
        <w:t xml:space="preserve">A DM, comment, tag, or mention from a connected platform.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Attribute</w:t>
            </w:r>
          </w:p>
        </w:tc>
        <w:tc>
          <w:tcPr>
            <w:tcW w:type="dxa" w:w="69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item_id</w:t>
            </w:r>
          </w:p>
        </w:tc>
        <w:tc>
          <w:tcPr>
            <w:tcW w:type="dxa" w:w="6900"/>
            <w:tcMar>
              <w:top w:type="dxa" w:w="80"/>
              <w:left w:type="dxa" w:w="100"/>
              <w:bottom w:type="dxa" w:w="80"/>
              <w:right w:type="dxa" w:w="100"/>
            </w:tcMar>
            <w:vAlign w:val="center"/>
          </w:tcPr>
          <w:p>
            <w:r>
              <w:rPr>
                <w:b w:val="false"/>
                <w:bCs w:val="false"/>
                <w:color w:val="000000"/>
                <w:sz w:val="20"/>
                <w:szCs w:val="20"/>
              </w:rPr>
              <w:t xml:space="preserve">Primary key</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platform, client_id</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Source platform and Client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sentiment, priority</w:t>
            </w:r>
          </w:p>
        </w:tc>
        <w:tc>
          <w:tcPr>
            <w:tcW w:type="dxa" w:w="6900"/>
            <w:tcMar>
              <w:top w:type="dxa" w:w="80"/>
              <w:left w:type="dxa" w:w="100"/>
              <w:bottom w:type="dxa" w:w="80"/>
              <w:right w:type="dxa" w:w="100"/>
            </w:tcMar>
            <w:vAlign w:val="center"/>
          </w:tcPr>
          <w:p>
            <w:r>
              <w:rPr>
                <w:b w:val="false"/>
                <w:bCs w:val="false"/>
                <w:color w:val="000000"/>
                <w:sz w:val="20"/>
                <w:szCs w:val="20"/>
              </w:rPr>
              <w:t xml:space="preserve">AI-classified (FR-E-3)</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lock_owner, lock_expires_at</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Collision prevention (FR-E-6/E-7)</w:t>
            </w:r>
          </w:p>
        </w:tc>
      </w:tr>
    </w:tbl>
    <w:p>
      <w:pPr>
        <w:spacing w:after="160"/>
      </w:pPr>
      <w:r>
        <w:rPr>
          <w:i/>
          <w:iCs/>
        </w:rPr>
        <w:t xml:space="preserve">Relationships: Belongs to Client; optionally linked to a suggested Reply.</w:t>
      </w:r>
    </w:p>
    <w:p>
      <w:pPr>
        <w:spacing w:after="120"/>
      </w:pPr>
    </w:p>
    <w:p>
      <w:pPr>
        <w:pStyle w:val="Heading3"/>
        <w:spacing w:after="100" w:before="200"/>
      </w:pPr>
      <w:r>
        <w:rPr>
          <w:b/>
          <w:bCs/>
        </w:rPr>
        <w:t xml:space="preserve">Brand Kit</w:t>
      </w:r>
    </w:p>
    <w:p>
      <w:pPr>
        <w:spacing w:after="160"/>
      </w:pPr>
      <w:r>
        <w:t xml:space="preserve">A Client's visual and voice guidelines.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Attribute</w:t>
            </w:r>
          </w:p>
        </w:tc>
        <w:tc>
          <w:tcPr>
            <w:tcW w:type="dxa" w:w="69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brand_kit_id</w:t>
            </w:r>
          </w:p>
        </w:tc>
        <w:tc>
          <w:tcPr>
            <w:tcW w:type="dxa" w:w="6900"/>
            <w:tcMar>
              <w:top w:type="dxa" w:w="80"/>
              <w:left w:type="dxa" w:w="100"/>
              <w:bottom w:type="dxa" w:w="80"/>
              <w:right w:type="dxa" w:w="100"/>
            </w:tcMar>
            <w:vAlign w:val="center"/>
          </w:tcPr>
          <w:p>
            <w:r>
              <w:rPr>
                <w:b w:val="false"/>
                <w:bCs w:val="false"/>
                <w:color w:val="000000"/>
                <w:sz w:val="20"/>
                <w:szCs w:val="20"/>
              </w:rPr>
              <w:t xml:space="preserve">Primary key</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client_id</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Foreign key → Client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hex_colors, typography, logo_assets</w:t>
            </w:r>
          </w:p>
        </w:tc>
        <w:tc>
          <w:tcPr>
            <w:tcW w:type="dxa" w:w="6900"/>
            <w:tcMar>
              <w:top w:type="dxa" w:w="80"/>
              <w:left w:type="dxa" w:w="100"/>
              <w:bottom w:type="dxa" w:w="80"/>
              <w:right w:type="dxa" w:w="100"/>
            </w:tcMar>
            <w:vAlign w:val="center"/>
          </w:tcPr>
          <w:p>
            <w:r>
              <w:rPr>
                <w:b w:val="false"/>
                <w:bCs w:val="false"/>
                <w:color w:val="000000"/>
                <w:sz w:val="20"/>
                <w:szCs w:val="20"/>
              </w:rPr>
              <w:t xml:space="preserve">Visual identity</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tone_of_voice_profile, banned_terms</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Feeds AI copywriting and FR-D-7 checks</w:t>
            </w:r>
          </w:p>
        </w:tc>
      </w:tr>
    </w:tbl>
    <w:p>
      <w:pPr>
        <w:spacing w:after="160"/>
      </w:pPr>
      <w:r>
        <w:rPr>
          <w:i/>
          <w:iCs/>
        </w:rPr>
        <w:t xml:space="preserve">Relationships: Belongs to Client; consumed by AI copy assistant and compliance scanner.</w:t>
      </w:r>
    </w:p>
    <w:p>
      <w:pPr>
        <w:spacing w:after="120"/>
      </w:pPr>
    </w:p>
    <w:p>
      <w:pPr>
        <w:pStyle w:val="Heading3"/>
        <w:spacing w:after="100" w:before="200"/>
      </w:pPr>
      <w:r>
        <w:rPr>
          <w:b/>
          <w:bCs/>
        </w:rPr>
        <w:t xml:space="preserve">Time Entry</w:t>
      </w:r>
    </w:p>
    <w:p>
      <w:pPr>
        <w:spacing w:after="160"/>
      </w:pPr>
      <w:r>
        <w:t xml:space="preserve">Logged effort against a Client workspace.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Attribute</w:t>
            </w:r>
          </w:p>
        </w:tc>
        <w:tc>
          <w:tcPr>
            <w:tcW w:type="dxa" w:w="69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entry_id</w:t>
            </w:r>
          </w:p>
        </w:tc>
        <w:tc>
          <w:tcPr>
            <w:tcW w:type="dxa" w:w="6900"/>
            <w:tcMar>
              <w:top w:type="dxa" w:w="80"/>
              <w:left w:type="dxa" w:w="100"/>
              <w:bottom w:type="dxa" w:w="80"/>
              <w:right w:type="dxa" w:w="100"/>
            </w:tcMar>
            <w:vAlign w:val="center"/>
          </w:tcPr>
          <w:p>
            <w:r>
              <w:rPr>
                <w:b w:val="false"/>
                <w:bCs w:val="false"/>
                <w:color w:val="000000"/>
                <w:sz w:val="20"/>
                <w:szCs w:val="20"/>
              </w:rPr>
              <w:t xml:space="preserve">Primary key</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user_id, workspace_id</w:t>
            </w:r>
          </w:p>
        </w:tc>
        <w:tc>
          <w:tcPr>
            <w:tcW w:type="dxa" w:w="6900"/>
            <w:shd w:fill="F2F2F2" w:val="clear"/>
            <w:tcMar>
              <w:top w:type="dxa" w:w="80"/>
              <w:left w:type="dxa" w:w="100"/>
              <w:bottom w:type="dxa" w:w="80"/>
              <w:right w:type="dxa" w:w="100"/>
            </w:tcMar>
            <w:vAlign w:val="center"/>
          </w:tcPr>
          <w:p>
            <w:r>
              <w:rPr>
                <w:b w:val="false"/>
                <w:bCs w:val="false"/>
                <w:color w:val="000000"/>
                <w:sz w:val="20"/>
                <w:szCs w:val="20"/>
              </w:rPr>
              <w:t xml:space="preserve">Who logged time, against which Client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hours, date, task_type</w:t>
            </w:r>
          </w:p>
        </w:tc>
        <w:tc>
          <w:tcPr>
            <w:tcW w:type="dxa" w:w="6900"/>
            <w:tcMar>
              <w:top w:type="dxa" w:w="80"/>
              <w:left w:type="dxa" w:w="100"/>
              <w:bottom w:type="dxa" w:w="80"/>
              <w:right w:type="dxa" w:w="100"/>
            </w:tcMar>
            <w:vAlign w:val="center"/>
          </w:tcPr>
          <w:p>
            <w:r>
              <w:rPr>
                <w:b w:val="false"/>
                <w:bCs w:val="false"/>
                <w:color w:val="000000"/>
                <w:sz w:val="20"/>
                <w:szCs w:val="20"/>
              </w:rPr>
              <w:t xml:space="preserve">Used for profitability calculation (Section G)</w:t>
            </w:r>
          </w:p>
        </w:tc>
      </w:tr>
    </w:tbl>
    <w:p>
      <w:pPr>
        <w:spacing w:after="160"/>
      </w:pPr>
      <w:r>
        <w:rPr>
          <w:i/>
          <w:iCs/>
        </w:rPr>
        <w:t xml:space="preserve">Relationships: Belongs to User and Workspace.</w:t>
      </w:r>
    </w:p>
    <w:p>
      <w:pPr>
        <w:spacing w:after="120"/>
      </w:pPr>
    </w:p>
    <w:p>
      <w:r>
        <w:br w:type="page"/>
      </w:r>
    </w:p>
    <w:p>
      <w:pPr>
        <w:pStyle w:val="Heading1"/>
        <w:spacing w:after="200" w:before="400"/>
      </w:pPr>
      <w:r>
        <w:rPr>
          <w:b/>
          <w:bCs/>
          <w:color w:val="1F3864"/>
        </w:rPr>
        <w:t xml:space="preserve">6  External Interface Requirements</w:t>
      </w:r>
    </w:p>
    <w:p>
      <w:pPr>
        <w:pStyle w:val="Heading2"/>
        <w:spacing w:after="120" w:before="280"/>
      </w:pPr>
      <w:r>
        <w:rPr>
          <w:b/>
          <w:bCs/>
          <w:color w:val="2E74B5"/>
        </w:rPr>
        <w:t xml:space="preserve">6.1 User Interfaces</w:t>
      </w:r>
    </w:p>
    <w:p>
      <w:pPr>
        <w:pStyle w:val="ListParagraph"/>
        <w:numPr>
          <w:ilvl w:val="0"/>
          <w:numId w:val="1"/>
        </w:numPr>
        <w:spacing w:after="80"/>
      </w:pPr>
      <w:r>
        <w:t xml:space="preserve">Agency Dashboard — calendar, inbox, asset library, approvals, profitability views (role-gated).</w:t>
      </w:r>
    </w:p>
    <w:p>
      <w:pPr>
        <w:pStyle w:val="ListParagraph"/>
        <w:numPr>
          <w:ilvl w:val="0"/>
          <w:numId w:val="1"/>
        </w:numPr>
        <w:spacing w:after="80"/>
      </w:pPr>
      <w:r>
        <w:t xml:space="preserve">Client Portal — white-labeled, simplified view limited to pending approvals, campaign status, and asset review.</w:t>
      </w:r>
    </w:p>
    <w:p>
      <w:pPr>
        <w:pStyle w:val="ListParagraph"/>
        <w:numPr>
          <w:ilvl w:val="0"/>
          <w:numId w:val="1"/>
        </w:numPr>
        <w:spacing w:after="80"/>
      </w:pPr>
      <w:r>
        <w:t xml:space="preserve">Mobile-responsive layouts for approval actions and inbox triage.</w:t>
      </w:r>
    </w:p>
    <w:p>
      <w:pPr>
        <w:pStyle w:val="Heading2"/>
        <w:spacing w:after="120" w:before="280"/>
      </w:pPr>
      <w:r>
        <w:rPr>
          <w:b/>
          <w:bCs/>
          <w:color w:val="2E74B5"/>
        </w:rPr>
        <w:t xml:space="preserve">6.2 Software / API Interfaces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Interface</w:t>
            </w:r>
          </w:p>
        </w:tc>
        <w:tc>
          <w:tcPr>
            <w:tcW w:type="dxa" w:w="650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Meta Graph API</w:t>
            </w:r>
          </w:p>
        </w:tc>
        <w:tc>
          <w:tcPr>
            <w:tcW w:type="dxa" w:w="6500"/>
            <w:tcMar>
              <w:top w:type="dxa" w:w="80"/>
              <w:left w:type="dxa" w:w="100"/>
              <w:bottom w:type="dxa" w:w="80"/>
              <w:right w:type="dxa" w:w="100"/>
            </w:tcMar>
            <w:vAlign w:val="center"/>
          </w:tcPr>
          <w:p>
            <w:r>
              <w:rPr>
                <w:b w:val="false"/>
                <w:bCs w:val="false"/>
                <w:color w:val="000000"/>
                <w:sz w:val="20"/>
                <w:szCs w:val="20"/>
              </w:rPr>
              <w:t xml:space="preserve">Publishing to Facebook/Instagram; ingesting comments/DMs for the Global Inbox.</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LinkedIn Marketing API</w:t>
            </w:r>
          </w:p>
        </w:tc>
        <w:tc>
          <w:tcPr>
            <w:tcW w:type="dxa" w:w="6500"/>
            <w:shd w:fill="F2F2F2" w:val="clear"/>
            <w:tcMar>
              <w:top w:type="dxa" w:w="80"/>
              <w:left w:type="dxa" w:w="100"/>
              <w:bottom w:type="dxa" w:w="80"/>
              <w:right w:type="dxa" w:w="100"/>
            </w:tcMar>
            <w:vAlign w:val="center"/>
          </w:tcPr>
          <w:p>
            <w:r>
              <w:rPr>
                <w:b w:val="false"/>
                <w:bCs w:val="false"/>
                <w:color w:val="000000"/>
                <w:sz w:val="20"/>
                <w:szCs w:val="20"/>
              </w:rPr>
              <w:t xml:space="preserve">Publishing and engagement ingestion for LinkedIn Pages.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X API v2</w:t>
            </w:r>
          </w:p>
        </w:tc>
        <w:tc>
          <w:tcPr>
            <w:tcW w:type="dxa" w:w="6500"/>
            <w:tcMar>
              <w:top w:type="dxa" w:w="80"/>
              <w:left w:type="dxa" w:w="100"/>
              <w:bottom w:type="dxa" w:w="80"/>
              <w:right w:type="dxa" w:w="100"/>
            </w:tcMar>
            <w:vAlign w:val="center"/>
          </w:tcPr>
          <w:p>
            <w:r>
              <w:rPr>
                <w:b w:val="false"/>
                <w:bCs w:val="false"/>
                <w:color w:val="000000"/>
                <w:sz w:val="20"/>
                <w:szCs w:val="20"/>
              </w:rPr>
              <w:t xml:space="preserve">Publishing and mention/DM ingestion for X.</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TikTok for Business API</w:t>
            </w:r>
          </w:p>
        </w:tc>
        <w:tc>
          <w:tcPr>
            <w:tcW w:type="dxa" w:w="6500"/>
            <w:shd w:fill="F2F2F2" w:val="clear"/>
            <w:tcMar>
              <w:top w:type="dxa" w:w="80"/>
              <w:left w:type="dxa" w:w="100"/>
              <w:bottom w:type="dxa" w:w="80"/>
              <w:right w:type="dxa" w:w="100"/>
            </w:tcMar>
            <w:vAlign w:val="center"/>
          </w:tcPr>
          <w:p>
            <w:r>
              <w:rPr>
                <w:b w:val="false"/>
                <w:bCs w:val="false"/>
                <w:color w:val="000000"/>
                <w:sz w:val="20"/>
                <w:szCs w:val="20"/>
              </w:rPr>
              <w:t xml:space="preserve">Publishing and comment ingestion for TikTok.</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Canva / Figma / Adobe APIs or plugins</w:t>
            </w:r>
          </w:p>
        </w:tc>
        <w:tc>
          <w:tcPr>
            <w:tcW w:type="dxa" w:w="6500"/>
            <w:tcMar>
              <w:top w:type="dxa" w:w="80"/>
              <w:left w:type="dxa" w:w="100"/>
              <w:bottom w:type="dxa" w:w="80"/>
              <w:right w:type="dxa" w:w="100"/>
            </w:tcMar>
            <w:vAlign w:val="center"/>
          </w:tcPr>
          <w:p>
            <w:r>
              <w:rPr>
                <w:b w:val="false"/>
                <w:bCs w:val="false"/>
                <w:color w:val="000000"/>
                <w:sz w:val="20"/>
                <w:szCs w:val="20"/>
              </w:rPr>
              <w:t xml:space="preserve">Direct asset hand-off into the scheduling queue (FR-F-5).</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Email (SMTP/provider API) &amp; Slack API</w:t>
            </w:r>
          </w:p>
        </w:tc>
        <w:tc>
          <w:tcPr>
            <w:tcW w:type="dxa" w:w="6500"/>
            <w:shd w:fill="F2F2F2" w:val="clear"/>
            <w:tcMar>
              <w:top w:type="dxa" w:w="80"/>
              <w:left w:type="dxa" w:w="100"/>
              <w:bottom w:type="dxa" w:w="80"/>
              <w:right w:type="dxa" w:w="100"/>
            </w:tcMar>
            <w:vAlign w:val="center"/>
          </w:tcPr>
          <w:p>
            <w:r>
              <w:rPr>
                <w:b w:val="false"/>
                <w:bCs w:val="false"/>
                <w:color w:val="000000"/>
                <w:sz w:val="20"/>
                <w:szCs w:val="20"/>
              </w:rPr>
              <w:t xml:space="preserve">Automated chasing and escalation notifications (FR-D-5/D-6).</w:t>
            </w:r>
          </w:p>
        </w:tc>
      </w:tr>
    </w:tbl>
    <w:p>
      <w:pPr>
        <w:spacing w:after="120"/>
      </w:pPr>
    </w:p>
    <w:p>
      <w:pPr>
        <w:pStyle w:val="Heading2"/>
        <w:spacing w:after="120" w:before="280"/>
      </w:pPr>
      <w:r>
        <w:rPr>
          <w:b/>
          <w:bCs/>
          <w:color w:val="2E74B5"/>
        </w:rPr>
        <w:t xml:space="preserve">6.3 Communications Interfaces</w:t>
      </w:r>
    </w:p>
    <w:p>
      <w:pPr>
        <w:spacing w:after="160"/>
      </w:pPr>
      <w:r>
        <w:t xml:space="preserve">All external API traffic shall use HTTPS/TLS 1.2+. Webhooks from social platforms shall be verified via signature validation before processing.</w:t>
      </w:r>
    </w:p>
    <w:p>
      <w:r>
        <w:br w:type="page"/>
      </w:r>
    </w:p>
    <w:p>
      <w:pPr>
        <w:pStyle w:val="Heading1"/>
        <w:spacing w:after="200" w:before="400"/>
      </w:pPr>
      <w:r>
        <w:rPr>
          <w:b/>
          <w:bCs/>
          <w:color w:val="1F3864"/>
        </w:rPr>
        <w:t xml:space="preserve">7  Non-Functional Requirements</w:t>
      </w:r>
    </w:p>
    <w:p>
      <w:pPr>
        <w:pStyle w:val="Heading2"/>
        <w:spacing w:after="120" w:before="280"/>
      </w:pPr>
      <w:r>
        <w:rPr>
          <w:b/>
          <w:bCs/>
          <w:color w:val="2E74B5"/>
        </w:rPr>
        <w:t xml:space="preserve">7.1 Performance</w:t>
      </w:r>
    </w:p>
    <w:p>
      <w:pPr>
        <w:pStyle w:val="ListParagraph"/>
        <w:numPr>
          <w:ilvl w:val="0"/>
          <w:numId w:val="1"/>
        </w:numPr>
        <w:spacing w:after="80"/>
      </w:pPr>
      <w:r>
        <w:t xml:space="preserve">NFR-1: The content calendar shall load a Client's month view of Posts within 2 seconds under normal load.</w:t>
      </w:r>
    </w:p>
    <w:p>
      <w:pPr>
        <w:pStyle w:val="ListParagraph"/>
        <w:numPr>
          <w:ilvl w:val="0"/>
          <w:numId w:val="1"/>
        </w:numPr>
        <w:spacing w:after="80"/>
      </w:pPr>
      <w:r>
        <w:t xml:space="preserve">NFR-2: The Global Inbox shall reflect a new inbound platform message within 60 seconds of receipt via API/webhook, subject to third-party API rate limits.</w:t>
      </w:r>
    </w:p>
    <w:p>
      <w:pPr>
        <w:pStyle w:val="ListParagraph"/>
        <w:numPr>
          <w:ilvl w:val="0"/>
          <w:numId w:val="1"/>
        </w:numPr>
        <w:spacing w:after="80"/>
      </w:pPr>
      <w:r>
        <w:t xml:space="preserve">NFR-3: The system shall support at least 50 concurrent Agency users and 500 scheduled Posts per Client workspace without degraded performance.</w:t>
      </w:r>
    </w:p>
    <w:p>
      <w:pPr>
        <w:pStyle w:val="Heading2"/>
        <w:spacing w:after="120" w:before="280"/>
      </w:pPr>
      <w:r>
        <w:rPr>
          <w:b/>
          <w:bCs/>
          <w:color w:val="2E74B5"/>
        </w:rPr>
        <w:t xml:space="preserve">7.2 Security &amp; Compliance</w:t>
      </w:r>
    </w:p>
    <w:p>
      <w:pPr>
        <w:pStyle w:val="ListParagraph"/>
        <w:numPr>
          <w:ilvl w:val="0"/>
          <w:numId w:val="1"/>
        </w:numPr>
        <w:spacing w:after="80"/>
      </w:pPr>
      <w:r>
        <w:t xml:space="preserve">NFR-4: All personal data (DMs, comments, contact details) shall be encrypted at rest and in transit.</w:t>
      </w:r>
    </w:p>
    <w:p>
      <w:pPr>
        <w:pStyle w:val="ListParagraph"/>
        <w:numPr>
          <w:ilvl w:val="0"/>
          <w:numId w:val="1"/>
        </w:numPr>
        <w:spacing w:after="80"/>
      </w:pPr>
      <w:r>
        <w:t xml:space="preserve">NFR-5: The system shall comply with GDPR data-subject access and deletion requirements.</w:t>
      </w:r>
    </w:p>
    <w:p>
      <w:pPr>
        <w:pStyle w:val="ListParagraph"/>
        <w:numPr>
          <w:ilvl w:val="0"/>
          <w:numId w:val="1"/>
        </w:numPr>
        <w:spacing w:after="80"/>
      </w:pPr>
      <w:r>
        <w:t xml:space="preserve">NFR-6: The audit log (FR-A-5) shall be tamper-evident and retained for a minimum of 24 months for regulated Clients.</w:t>
      </w:r>
    </w:p>
    <w:p>
      <w:pPr>
        <w:pStyle w:val="ListParagraph"/>
        <w:numPr>
          <w:ilvl w:val="0"/>
          <w:numId w:val="1"/>
        </w:numPr>
        <w:spacing w:after="80"/>
      </w:pPr>
      <w:r>
        <w:t xml:space="preserve">NFR-7: OAuth tokens for connected social accounts shall be stored encrypted and scoped to least-privilege permissions.</w:t>
      </w:r>
    </w:p>
    <w:p>
      <w:pPr>
        <w:pStyle w:val="Heading2"/>
        <w:spacing w:after="120" w:before="280"/>
      </w:pPr>
      <w:r>
        <w:rPr>
          <w:b/>
          <w:bCs/>
          <w:color w:val="2E74B5"/>
        </w:rPr>
        <w:t xml:space="preserve">7.3 Availability &amp; Reliability</w:t>
      </w:r>
    </w:p>
    <w:p>
      <w:pPr>
        <w:pStyle w:val="ListParagraph"/>
        <w:numPr>
          <w:ilvl w:val="0"/>
          <w:numId w:val="1"/>
        </w:numPr>
        <w:spacing w:after="80"/>
      </w:pPr>
      <w:r>
        <w:t xml:space="preserve">NFR-8: The Platform shall target 99.5% uptime for publishing and approval-critical services.</w:t>
      </w:r>
    </w:p>
    <w:p>
      <w:pPr>
        <w:pStyle w:val="ListParagraph"/>
        <w:numPr>
          <w:ilvl w:val="0"/>
          <w:numId w:val="1"/>
        </w:numPr>
        <w:spacing w:after="80"/>
      </w:pPr>
      <w:r>
        <w:t xml:space="preserve">NFR-9: Scheduled Posts shall not be lost on transient failure; failed publishes shall be retried per FR-B-4 and never silently dropped.</w:t>
      </w:r>
    </w:p>
    <w:p>
      <w:pPr>
        <w:pStyle w:val="Heading2"/>
        <w:spacing w:after="120" w:before="280"/>
      </w:pPr>
      <w:r>
        <w:rPr>
          <w:b/>
          <w:bCs/>
          <w:color w:val="2E74B5"/>
        </w:rPr>
        <w:t xml:space="preserve">7.4 Usability &amp; Accessibility</w:t>
      </w:r>
    </w:p>
    <w:p>
      <w:pPr>
        <w:pStyle w:val="ListParagraph"/>
        <w:numPr>
          <w:ilvl w:val="0"/>
          <w:numId w:val="1"/>
        </w:numPr>
        <w:spacing w:after="80"/>
      </w:pPr>
      <w:r>
        <w:t xml:space="preserve">NFR-10: The Client Portal shall conform to WCAG 2.1 AA accessibility guidelines.</w:t>
      </w:r>
    </w:p>
    <w:p>
      <w:pPr>
        <w:pStyle w:val="ListParagraph"/>
        <w:numPr>
          <w:ilvl w:val="0"/>
          <w:numId w:val="1"/>
        </w:numPr>
        <w:spacing w:after="80"/>
      </w:pPr>
      <w:r>
        <w:t xml:space="preserve">NFR-11: White-label theming shall not compromise minimum color-contrast accessibility thresholds.</w:t>
      </w:r>
    </w:p>
    <w:p>
      <w:pPr>
        <w:pStyle w:val="Heading2"/>
        <w:spacing w:after="120" w:before="280"/>
      </w:pPr>
      <w:r>
        <w:rPr>
          <w:b/>
          <w:bCs/>
          <w:color w:val="2E74B5"/>
        </w:rPr>
        <w:t xml:space="preserve">7.5 Scalability &amp; Maintainability</w:t>
      </w:r>
    </w:p>
    <w:p>
      <w:pPr>
        <w:pStyle w:val="ListParagraph"/>
        <w:numPr>
          <w:ilvl w:val="0"/>
          <w:numId w:val="1"/>
        </w:numPr>
        <w:spacing w:after="80"/>
      </w:pPr>
      <w:r>
        <w:t xml:space="preserve">NFR-12: The system architecture shall allow new social platforms to be added as publishing/inbox connectors without core data-model changes.</w:t>
      </w:r>
    </w:p>
    <w:p>
      <w:pPr>
        <w:pStyle w:val="ListParagraph"/>
        <w:numPr>
          <w:ilvl w:val="0"/>
          <w:numId w:val="1"/>
        </w:numPr>
        <w:spacing w:after="80"/>
      </w:pPr>
      <w:r>
        <w:t xml:space="preserve">NFR-13: AI components (sentiment analysis, routing, copy assistant, duplicate detection) shall be modular services that can be independently retrained/updated.</w:t>
      </w:r>
    </w:p>
    <w:p>
      <w:r>
        <w:br w:type="page"/>
      </w:r>
    </w:p>
    <w:p>
      <w:pPr>
        <w:pStyle w:val="Heading1"/>
        <w:spacing w:after="200" w:before="400"/>
      </w:pPr>
      <w:r>
        <w:rPr>
          <w:b/>
          <w:bCs/>
          <w:color w:val="1F3864"/>
        </w:rPr>
        <w:t xml:space="preserve">8  Requirements Traceability Matrix</w:t>
      </w:r>
    </w:p>
    <w:p>
      <w:pPr>
        <w:spacing w:after="160"/>
      </w:pPr>
      <w:r>
        <w:t xml:space="preserve">Maps each module's requirements to the primary stakeholder(s) who requested/benefit from it and the related use case(s), for QA and stakeholder sign-off tracing.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400"/>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Module</w:t>
            </w:r>
          </w:p>
        </w:tc>
        <w:tc>
          <w:tcPr>
            <w:tcW w:type="dxa" w:w="2200"/>
            <w:shd w:fill="1F3864" w:val="clear"/>
            <w:tcMar>
              <w:top w:type="dxa" w:w="80"/>
              <w:left w:type="dxa" w:w="100"/>
              <w:bottom w:type="dxa" w:w="80"/>
              <w:right w:type="dxa" w:w="100"/>
            </w:tcMar>
            <w:vAlign w:val="center"/>
          </w:tcPr>
          <w:p>
            <w:r>
              <w:rPr>
                <w:b/>
                <w:bCs/>
                <w:color w:val="FFFFFF"/>
                <w:sz w:val="20"/>
                <w:szCs w:val="20"/>
              </w:rPr>
              <w:t xml:space="preserve">Requirement IDs</w:t>
            </w:r>
          </w:p>
        </w:tc>
        <w:tc>
          <w:tcPr>
            <w:tcW w:type="dxa" w:w="2600"/>
            <w:shd w:fill="1F3864" w:val="clear"/>
            <w:tcMar>
              <w:top w:type="dxa" w:w="80"/>
              <w:left w:type="dxa" w:w="100"/>
              <w:bottom w:type="dxa" w:w="80"/>
              <w:right w:type="dxa" w:w="100"/>
            </w:tcMar>
            <w:vAlign w:val="center"/>
          </w:tcPr>
          <w:p>
            <w:r>
              <w:rPr>
                <w:b/>
                <w:bCs/>
                <w:color w:val="FFFFFF"/>
                <w:sz w:val="20"/>
                <w:szCs w:val="20"/>
              </w:rPr>
              <w:t xml:space="preserve">Primary Stakeholder</w:t>
            </w:r>
          </w:p>
        </w:tc>
        <w:tc>
          <w:tcPr>
            <w:tcW w:type="dxa" w:w="2400"/>
            <w:shd w:fill="1F3864" w:val="clear"/>
            <w:tcMar>
              <w:top w:type="dxa" w:w="80"/>
              <w:left w:type="dxa" w:w="100"/>
              <w:bottom w:type="dxa" w:w="80"/>
              <w:right w:type="dxa" w:w="100"/>
            </w:tcMar>
            <w:vAlign w:val="center"/>
          </w:tcPr>
          <w:p>
            <w:r>
              <w:rPr>
                <w:b/>
                <w:bCs/>
                <w:color w:val="FFFFFF"/>
                <w:sz w:val="20"/>
                <w:szCs w:val="20"/>
              </w:rPr>
              <w:t xml:space="preserve">Related Use Case(s)</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 – Core Architecture</w:t>
            </w:r>
          </w:p>
        </w:tc>
        <w:tc>
          <w:tcPr>
            <w:tcW w:type="dxa" w:w="2200"/>
            <w:tcMar>
              <w:top w:type="dxa" w:w="80"/>
              <w:left w:type="dxa" w:w="100"/>
              <w:bottom w:type="dxa" w:w="80"/>
              <w:right w:type="dxa" w:w="100"/>
            </w:tcMar>
            <w:vAlign w:val="center"/>
          </w:tcPr>
          <w:p>
            <w:r>
              <w:rPr>
                <w:b w:val="false"/>
                <w:bCs w:val="false"/>
                <w:color w:val="000000"/>
                <w:sz w:val="20"/>
                <w:szCs w:val="20"/>
              </w:rPr>
              <w:t xml:space="preserve">FR-A-1 – FR-A-5</w:t>
            </w:r>
          </w:p>
        </w:tc>
        <w:tc>
          <w:tcPr>
            <w:tcW w:type="dxa" w:w="2600"/>
            <w:tcMar>
              <w:top w:type="dxa" w:w="80"/>
              <w:left w:type="dxa" w:w="100"/>
              <w:bottom w:type="dxa" w:w="80"/>
              <w:right w:type="dxa" w:w="100"/>
            </w:tcMar>
            <w:vAlign w:val="center"/>
          </w:tcPr>
          <w:p>
            <w:r>
              <w:rPr>
                <w:b w:val="false"/>
                <w:bCs w:val="false"/>
                <w:color w:val="000000"/>
                <w:sz w:val="20"/>
                <w:szCs w:val="20"/>
              </w:rPr>
              <w:t xml:space="preserve">Agency Admin, All Users</w:t>
            </w:r>
          </w:p>
        </w:tc>
        <w:tc>
          <w:tcPr>
            <w:tcW w:type="dxa" w:w="2400"/>
            <w:tcMar>
              <w:top w:type="dxa" w:w="80"/>
              <w:left w:type="dxa" w:w="100"/>
              <w:bottom w:type="dxa" w:w="80"/>
              <w:right w:type="dxa" w:w="100"/>
            </w:tcMar>
            <w:vAlign w:val="center"/>
          </w:tcPr>
          <w:p>
            <w:r>
              <w:rPr>
                <w:b w:val="false"/>
                <w:bCs w:val="false"/>
                <w:color w:val="000000"/>
                <w:sz w:val="20"/>
                <w:szCs w:val="20"/>
              </w:rPr>
              <w:t xml:space="preserve">Foundation for UC-1–UC-6</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B – Publishing Engine</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FR-B-1 – FR-B-5</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Creator, Account Manager</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UC-1, UC-2</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C – Baseline Approval</w:t>
            </w:r>
          </w:p>
        </w:tc>
        <w:tc>
          <w:tcPr>
            <w:tcW w:type="dxa" w:w="2200"/>
            <w:tcMar>
              <w:top w:type="dxa" w:w="80"/>
              <w:left w:type="dxa" w:w="100"/>
              <w:bottom w:type="dxa" w:w="80"/>
              <w:right w:type="dxa" w:w="100"/>
            </w:tcMar>
            <w:vAlign w:val="center"/>
          </w:tcPr>
          <w:p>
            <w:r>
              <w:rPr>
                <w:b w:val="false"/>
                <w:bCs w:val="false"/>
                <w:color w:val="000000"/>
                <w:sz w:val="20"/>
                <w:szCs w:val="20"/>
              </w:rPr>
              <w:t xml:space="preserve">FR-C-1 – FR-C-5</w:t>
            </w:r>
          </w:p>
        </w:tc>
        <w:tc>
          <w:tcPr>
            <w:tcW w:type="dxa" w:w="2600"/>
            <w:tcMar>
              <w:top w:type="dxa" w:w="80"/>
              <w:left w:type="dxa" w:w="100"/>
              <w:bottom w:type="dxa" w:w="80"/>
              <w:right w:type="dxa" w:w="100"/>
            </w:tcMar>
            <w:vAlign w:val="center"/>
          </w:tcPr>
          <w:p>
            <w:r>
              <w:rPr>
                <w:b w:val="false"/>
                <w:bCs w:val="false"/>
                <w:color w:val="000000"/>
                <w:sz w:val="20"/>
                <w:szCs w:val="20"/>
              </w:rPr>
              <w:t xml:space="preserve">Client Stakeholder, Account Manager</w:t>
            </w:r>
          </w:p>
        </w:tc>
        <w:tc>
          <w:tcPr>
            <w:tcW w:type="dxa" w:w="2400"/>
            <w:tcMar>
              <w:top w:type="dxa" w:w="80"/>
              <w:left w:type="dxa" w:w="100"/>
              <w:bottom w:type="dxa" w:w="80"/>
              <w:right w:type="dxa" w:w="100"/>
            </w:tcMar>
            <w:vAlign w:val="center"/>
          </w:tcPr>
          <w:p>
            <w:r>
              <w:rPr>
                <w:b w:val="false"/>
                <w:bCs w:val="false"/>
                <w:color w:val="000000"/>
                <w:sz w:val="20"/>
                <w:szCs w:val="20"/>
              </w:rPr>
              <w:t xml:space="preserve">UC-1, UC-2</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D – Workflow Automation</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FR-D-1 – FR-D-9</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Account Manager, Legal Reviewer, Client</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UC-1, UC-2</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E – Social CRM</w:t>
            </w:r>
          </w:p>
        </w:tc>
        <w:tc>
          <w:tcPr>
            <w:tcW w:type="dxa" w:w="2200"/>
            <w:tcMar>
              <w:top w:type="dxa" w:w="80"/>
              <w:left w:type="dxa" w:w="100"/>
              <w:bottom w:type="dxa" w:w="80"/>
              <w:right w:type="dxa" w:w="100"/>
            </w:tcMar>
            <w:vAlign w:val="center"/>
          </w:tcPr>
          <w:p>
            <w:r>
              <w:rPr>
                <w:b w:val="false"/>
                <w:bCs w:val="false"/>
                <w:color w:val="000000"/>
                <w:sz w:val="20"/>
                <w:szCs w:val="20"/>
              </w:rPr>
              <w:t xml:space="preserve">FR-E-1 – FR-E-7</w:t>
            </w:r>
          </w:p>
        </w:tc>
        <w:tc>
          <w:tcPr>
            <w:tcW w:type="dxa" w:w="2600"/>
            <w:tcMar>
              <w:top w:type="dxa" w:w="80"/>
              <w:left w:type="dxa" w:w="100"/>
              <w:bottom w:type="dxa" w:w="80"/>
              <w:right w:type="dxa" w:w="100"/>
            </w:tcMar>
            <w:vAlign w:val="center"/>
          </w:tcPr>
          <w:p>
            <w:r>
              <w:rPr>
                <w:b w:val="false"/>
                <w:bCs w:val="false"/>
                <w:color w:val="000000"/>
                <w:sz w:val="20"/>
                <w:szCs w:val="20"/>
              </w:rPr>
              <w:t xml:space="preserve">Community Manager</w:t>
            </w:r>
          </w:p>
        </w:tc>
        <w:tc>
          <w:tcPr>
            <w:tcW w:type="dxa" w:w="2400"/>
            <w:tcMar>
              <w:top w:type="dxa" w:w="80"/>
              <w:left w:type="dxa" w:w="100"/>
              <w:bottom w:type="dxa" w:w="80"/>
              <w:right w:type="dxa" w:w="100"/>
            </w:tcMar>
            <w:vAlign w:val="center"/>
          </w:tcPr>
          <w:p>
            <w:r>
              <w:rPr>
                <w:b w:val="false"/>
                <w:bCs w:val="false"/>
                <w:color w:val="000000"/>
                <w:sz w:val="20"/>
                <w:szCs w:val="20"/>
              </w:rPr>
              <w:t xml:space="preserve">UC-3, UC-4</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F – Asset &amp; Brand Mgmt</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FR-F-1 – FR-F-6</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Creator, Copywriter</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UC-5</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G – Agency Operations</w:t>
            </w:r>
          </w:p>
        </w:tc>
        <w:tc>
          <w:tcPr>
            <w:tcW w:type="dxa" w:w="2200"/>
            <w:tcMar>
              <w:top w:type="dxa" w:w="80"/>
              <w:left w:type="dxa" w:w="100"/>
              <w:bottom w:type="dxa" w:w="80"/>
              <w:right w:type="dxa" w:w="100"/>
            </w:tcMar>
            <w:vAlign w:val="center"/>
          </w:tcPr>
          <w:p>
            <w:r>
              <w:rPr>
                <w:b w:val="false"/>
                <w:bCs w:val="false"/>
                <w:color w:val="000000"/>
                <w:sz w:val="20"/>
                <w:szCs w:val="20"/>
              </w:rPr>
              <w:t xml:space="preserve">FR-G-1 – FR-G-6</w:t>
            </w:r>
          </w:p>
        </w:tc>
        <w:tc>
          <w:tcPr>
            <w:tcW w:type="dxa" w:w="2600"/>
            <w:tcMar>
              <w:top w:type="dxa" w:w="80"/>
              <w:left w:type="dxa" w:w="100"/>
              <w:bottom w:type="dxa" w:w="80"/>
              <w:right w:type="dxa" w:w="100"/>
            </w:tcMar>
            <w:vAlign w:val="center"/>
          </w:tcPr>
          <w:p>
            <w:r>
              <w:rPr>
                <w:b w:val="false"/>
                <w:bCs w:val="false"/>
                <w:color w:val="000000"/>
                <w:sz w:val="20"/>
                <w:szCs w:val="20"/>
              </w:rPr>
              <w:t xml:space="preserve">Agency Owner</w:t>
            </w:r>
          </w:p>
        </w:tc>
        <w:tc>
          <w:tcPr>
            <w:tcW w:type="dxa" w:w="2400"/>
            <w:tcMar>
              <w:top w:type="dxa" w:w="80"/>
              <w:left w:type="dxa" w:w="100"/>
              <w:bottom w:type="dxa" w:w="80"/>
              <w:right w:type="dxa" w:w="100"/>
            </w:tcMar>
            <w:vAlign w:val="center"/>
          </w:tcPr>
          <w:p>
            <w:r>
              <w:rPr>
                <w:b w:val="false"/>
                <w:bCs w:val="false"/>
                <w:color w:val="000000"/>
                <w:sz w:val="20"/>
                <w:szCs w:val="20"/>
              </w:rPr>
              <w:t xml:space="preserve">UC-6</w:t>
            </w:r>
          </w:p>
        </w:tc>
      </w:tr>
    </w:tbl>
    <w:p>
      <w:r>
        <w:br w:type="page"/>
      </w:r>
    </w:p>
    <w:p>
      <w:pPr>
        <w:pStyle w:val="Heading1"/>
        <w:spacing w:after="200" w:before="400"/>
      </w:pPr>
      <w:r>
        <w:rPr>
          <w:b/>
          <w:bCs/>
          <w:color w:val="1F3864"/>
        </w:rPr>
        <w:t xml:space="preserve">9  Appendices</w:t>
      </w:r>
    </w:p>
    <w:p>
      <w:pPr>
        <w:pStyle w:val="Heading2"/>
        <w:spacing w:after="120" w:before="280"/>
      </w:pPr>
      <w:r>
        <w:rPr>
          <w:b/>
          <w:bCs/>
          <w:color w:val="2E74B5"/>
        </w:rPr>
        <w:t xml:space="preserve">9.1 Assumptions</w:t>
      </w:r>
    </w:p>
    <w:p>
      <w:pPr>
        <w:pStyle w:val="ListParagraph"/>
        <w:numPr>
          <w:ilvl w:val="0"/>
          <w:numId w:val="1"/>
        </w:numPr>
        <w:spacing w:after="80"/>
      </w:pPr>
      <w:r>
        <w:t xml:space="preserve">Sections A–C were drafted as a reasonable baseline foundation to support the AI automation (D), Social CRM (E), Asset Management (F), and Operations (G) requirements supplied for this SRS, and should be validated against any pre-existing product requirements the Agency has already defined.</w:t>
      </w:r>
    </w:p>
    <w:p>
      <w:pPr>
        <w:pStyle w:val="ListParagraph"/>
        <w:numPr>
          <w:ilvl w:val="0"/>
          <w:numId w:val="1"/>
        </w:numPr>
        <w:spacing w:after="80"/>
      </w:pPr>
      <w:r>
        <w:t xml:space="preserve">“Regulated content” tags (e.g., Healthcare, Financial) and their mandatory-reviewer mapping are configurable per Agency and assumed to be defined during onboarding.</w:t>
      </w:r>
    </w:p>
    <w:p>
      <w:pPr>
        <w:pStyle w:val="ListParagraph"/>
        <w:numPr>
          <w:ilvl w:val="0"/>
          <w:numId w:val="1"/>
        </w:numPr>
        <w:spacing w:after="80"/>
      </w:pPr>
      <w:r>
        <w:t xml:space="preserve">AI features (sentiment analysis, routing, brand-voice copy, duplicate detection) assume access to a sufficiently trained model or third-party LLM/NLP service.</w:t>
      </w:r>
    </w:p>
    <w:p>
      <w:pPr>
        <w:pStyle w:val="Heading2"/>
        <w:spacing w:after="120" w:before="280"/>
      </w:pPr>
      <w:r>
        <w:rPr>
          <w:b/>
          <w:bCs/>
          <w:color w:val="2E74B5"/>
        </w:rPr>
        <w:t xml:space="preserve">9.2 Open Issues / Items for Stakeholder Decision</w:t>
      </w:r>
    </w:p>
    <w:p>
      <w:pPr>
        <w:pStyle w:val="ListParagraph"/>
        <w:numPr>
          <w:ilvl w:val="0"/>
          <w:numId w:val="1"/>
        </w:numPr>
        <w:spacing w:after="80"/>
      </w:pPr>
      <w:r>
        <w:t xml:space="preserve">Exact SLA escalation thresholds (currently proposed at 24 hours for reminder, 4 hours for escalation) need Agency sign-off.</w:t>
      </w:r>
    </w:p>
    <w:p>
      <w:pPr>
        <w:pStyle w:val="ListParagraph"/>
        <w:numPr>
          <w:ilvl w:val="0"/>
          <w:numId w:val="1"/>
        </w:numPr>
        <w:spacing w:after="80"/>
      </w:pPr>
      <w:r>
        <w:t xml:space="preserve">Whether AI-drafted FAQ replies (FR-E-5) may ever auto-send without human approval, and under what conditions.</w:t>
      </w:r>
    </w:p>
    <w:p>
      <w:pPr>
        <w:pStyle w:val="ListParagraph"/>
        <w:numPr>
          <w:ilvl w:val="0"/>
          <w:numId w:val="1"/>
        </w:numPr>
        <w:spacing w:after="80"/>
      </w:pPr>
      <w:r>
        <w:t xml:space="preserve">Data residency requirements for Clients in regulated industries (e.g., healthcare data handling beyond GDPR).</w:t>
      </w:r>
    </w:p>
    <w:p>
      <w:pPr>
        <w:pStyle w:val="ListParagraph"/>
        <w:numPr>
          <w:ilvl w:val="0"/>
          <w:numId w:val="1"/>
        </w:numPr>
        <w:spacing w:after="80"/>
      </w:pPr>
      <w:r>
        <w:t xml:space="preserve">Native mobile app is out of scope for v1 — confirm whether a mobile-responsive web portal is sufficient for Client approvals.</w:t>
      </w:r>
    </w:p>
    <w:p>
      <w:pPr>
        <w:pStyle w:val="Heading2"/>
        <w:spacing w:after="120" w:before="280"/>
      </w:pPr>
      <w:r>
        <w:rPr>
          <w:b/>
          <w:bCs/>
          <w:color w:val="2E74B5"/>
        </w:rPr>
        <w:t xml:space="preserve">9.3 Glossary</w:t>
      </w:r>
    </w:p>
    <w:p>
      <w:pPr>
        <w:spacing w:after="160"/>
      </w:pPr>
      <w:r>
        <w:t xml:space="preserve">See Section 1.3 for core terminology.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SRS – Social Media Agency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2026-07-14T03:40:07.645Z</dcterms:created>
  <dcterms:modified xsi:type="dcterms:W3CDTF">2026-07-14T03:40:07.665Z</dcterms:modified>
</cp:coreProperties>
</file>

<file path=docProps/custom.xml><?xml version="1.0" encoding="utf-8"?>
<Properties xmlns="http://schemas.openxmlformats.org/officeDocument/2006/custom-properties" xmlns:vt="http://schemas.openxmlformats.org/officeDocument/2006/docPropsVTypes"/>
</file>