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r/>
      <w:r>
        <w:rPr>
          <w:b/>
        </w:rPr>
        <w:t>Project Title:</w:t>
      </w:r>
      <w:r>
        <w:t xml:space="preserve"> AI-Driven Standardization and Harmonization of Material Codes Across CPSEs</w:t>
      </w:r>
    </w:p>
    <w:p>
      <w:r/>
      <w:r>
        <w:rPr>
          <w:b/>
        </w:rPr>
        <w:t>Team:</w:t>
      </w:r>
      <w:r>
        <w:t xml:space="preserve"> AstraNyx | Skynovia Technologies</w:t>
      </w:r>
    </w:p>
    <w:p>
      <w:r/>
      <w:r>
        <w:rPr>
          <w:b/>
        </w:rPr>
        <w:t>Prepared By:</w:t>
      </w:r>
      <w:r>
        <w:t xml:space="preserve"> Kasturi Shinde, Sumit Borse</w:t>
      </w:r>
    </w:p>
    <w:p>
      <w:r/>
      <w:r>
        <w:rPr>
          <w:b/>
        </w:rPr>
        <w:t>Target Organization:</w:t>
      </w:r>
      <w:r>
        <w:t xml:space="preserve"> Ministry of Petroleum &amp; Natural Gas (MoPNG) / Chennai Petroleum Corporation Limited (CPCL)</w:t>
      </w:r>
    </w:p>
    <w:p>
      <w:r/>
      <w:r>
        <w:rPr>
          <w:b/>
        </w:rPr>
        <w:t>Standard Reference:</w:t>
      </w:r>
      <w:r>
        <w:t xml:space="preserve"> IEEE 830 / ISO/IEC/IEEE 29148 Standard for System and Software Requirements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 xml:space="preserve">This Software Requirements Specification (SRS) defines the functional, non-functional, architectural, and data governance requirements for the </w:t>
      </w:r>
      <w:r>
        <w:rPr>
          <w:b/>
        </w:rPr>
        <w:t>AI-Powered National Unified Material Master Platform</w:t>
      </w:r>
      <w:r>
        <w:t>. The platform ingests, cleanses, standardizes, harmonizes, and rationalizes material master records across disparate Central Public Sector Enterprises (CPSEs). It acts as an intelligent overlay/hub on top of existing SAP/ERP systems, creating a standardized national taxonomy while preserving complete backward traceability to legacy enterprise records.</w:t>
      </w:r>
    </w:p>
    <w:p>
      <w:pPr>
        <w:pStyle w:val="Heading2"/>
      </w:pPr>
      <w:r>
        <w:t>1.2 Background &amp; Problem Statement</w:t>
      </w:r>
    </w:p>
    <w:p>
      <w:r>
        <w:t>CPSEs across key sectors (Oil &amp; Gas, Steel, Power, Mining, Heavy Engineering) independently maintain millions of stock-keeping units (SKUs) inside isolated ERP landscapes (e.g., SAP Materials Management). Identical or functionally interchangeable physical components (e.g., standard bearings, high-pressure valves, electrical switchgear) are assigned incompatible internal codes, inconsistent abbreviations, fragmented technical specifications, and discordant Units of Measurement (UoM).</w:t>
      </w:r>
    </w:p>
    <w:p>
      <w:r>
        <w:t>This structural fragmentation causes:</w:t>
      </w:r>
    </w:p>
    <w:p>
      <w:pPr>
        <w:pStyle w:val="ListBullet"/>
      </w:pPr>
      <w:r>
        <w:t>**Duplicate Cataloging &amp; Excess Safety Stock:** Identical items are cataloged under multiple codes, causing inflated inventory carrying costs across public sector warehouses.</w:t>
      </w:r>
    </w:p>
    <w:p>
      <w:pPr>
        <w:pStyle w:val="ListBullet"/>
      </w:pPr>
      <w:r>
        <w:t>**Procurement Slicing:** Disconnected purchasing data prevents inter-CPSE demand aggregation, sacrificing volume discounts and bargaining power.</w:t>
      </w:r>
    </w:p>
    <w:p>
      <w:pPr>
        <w:pStyle w:val="ListBullet"/>
      </w:pPr>
      <w:r>
        <w:t>**Zero Inter-Enterprise Visibility:** Lack of standard cross-referencing prevents emergency stock transfers between neighboring CPSE facilities.</w:t>
      </w:r>
    </w:p>
    <w:p>
      <w:pPr>
        <w:pStyle w:val="ListBullet"/>
      </w:pPr>
      <w:r>
        <w:t>**Error-Prone Manual Harmonization:** Traditional rule-based matching fails on dense, shorthand-heavy industrial descriptions.</w:t>
      </w:r>
    </w:p>
    <w:p>
      <w:pPr>
        <w:pStyle w:val="Heading2"/>
      </w:pPr>
      <w:r>
        <w:t>1.3 Product Vision: Digital Public Infrastructure (DPI)</w:t>
      </w:r>
    </w:p>
    <w:p>
      <w:r>
        <w:t xml:space="preserve">Positioned as the </w:t>
      </w:r>
      <w:r>
        <w:rPr>
          <w:b/>
        </w:rPr>
        <w:t>"UPI of Material Master Data,"</w:t>
      </w:r>
      <w:r>
        <w:t xml:space="preserve"> this platform operates as a secure, federated Digital Public Infrastructure delivering </w:t>
      </w:r>
      <w:r>
        <w:rPr>
          <w:b/>
        </w:rPr>
        <w:t>"One Nation – One Material Code."</w:t>
      </w:r>
      <w:r>
        <w:t xml:space="preserve"> It leverages domain-specialized Natural Language Processing (NLP), Attribute-Aware Entity Resolution, and Explainable AI (XAI) to transform unstructured technical specifications into structured, standardized, and interoperable procurement intelligence.</w:t>
      </w:r>
    </w:p>
    <w:p>
      <w:pPr>
        <w:pStyle w:val="Heading1"/>
      </w:pPr>
      <w:r>
        <w:t>2. Strategic Objectives &amp; Key Innovations</w:t>
      </w:r>
    </w:p>
    <w:p>
      <w:pPr>
        <w:pStyle w:val="ListBullet"/>
      </w:pPr>
      <w:r>
        <w:t>**Attribute-Aware Structured Matching:** Replaces brittle fuzzy-string similarity with deep Named Entity Recognition (NER) to extract core engineering attributes (material grade, dimension, tolerance, pressure rating, and IS/ISO/ASTM standards) before computing similarity.</w:t>
      </w:r>
    </w:p>
    <w:p>
      <w:pPr>
        <w:pStyle w:val="ListBullet"/>
      </w:pPr>
      <w:r>
        <w:t>**Cross-Industry Comparative Visualization:** Equips technical reviewers with interactive radar charts and factor comparison graphs comparing specifications, quality compliance, and historical procurement rates across multiple CPSEs.</w:t>
      </w:r>
    </w:p>
    <w:p>
      <w:pPr>
        <w:pStyle w:val="ListBullet"/>
      </w:pPr>
      <w:r>
        <w:t>**Explainable AI (XAI) for Governance:** Delivers transparent, auditable evidence tables detailing exact attribute overlaps and semantic confidence to satisfy CAG, internal audit, and vigilance mandates.</w:t>
      </w:r>
    </w:p>
    <w:p>
      <w:pPr>
        <w:pStyle w:val="ListBullet"/>
      </w:pPr>
      <w:r>
        <w:t>**Edge-Native Data Sovereignty &amp; Breach Prevention:** Implements a federated, on-premise privacy layer ensuring sensitive commercial data (vendor identities, unmasked contract rates, plant locations) never leaves the CPSE intranet.</w:t>
      </w:r>
    </w:p>
    <w:p>
      <w:pPr>
        <w:pStyle w:val="ListBullet"/>
      </w:pPr>
      <w:r>
        <w:t>**Procurement Savings &amp; Strategic Sourcing Simulator:** Quantifies data harmonization into financial metrics, surfacing cross-CPSE price variances and simulating aggregate tendering savings.</w:t>
      </w:r>
    </w:p>
    <w:p>
      <w:pPr>
        <w:pStyle w:val="Heading1"/>
      </w:pPr>
      <w:r>
        <w:t>3. Scope of the System</w:t>
      </w:r>
    </w:p>
    <w:p>
      <w:pPr>
        <w:pStyle w:val="Heading2"/>
      </w:pPr>
      <w:r>
        <w:t>3.1 In-Scope Capabilities</w:t>
      </w:r>
    </w:p>
    <w:p>
      <w:pPr>
        <w:pStyle w:val="ListNumber"/>
      </w:pPr>
      <w:r>
        <w:t>**Multi-Modal Data Ingestion:** Automated ingestion of live SAP/ERP material records and legacy batch processing of unstructured scans/CSVs via AI-powered OCR.</w:t>
      </w:r>
    </w:p>
    <w:p>
      <w:pPr>
        <w:pStyle w:val="ListNumber"/>
      </w:pPr>
      <w:r>
        <w:t>**6-Agent Autonomous AI Pipeline:** Modular agentic architecture executing edge masking, attribute extraction, deduplication, reconciliation, compliance verification, and executive reporting.</w:t>
      </w:r>
    </w:p>
    <w:p>
      <w:pPr>
        <w:pStyle w:val="ListNumber"/>
      </w:pPr>
      <w:r>
        <w:t>**Multi-Dimensional Factor Comparison &amp; Visualizations:** Visual breakdown of material specs, quality guidelines, and inter-industry rate variations.</w:t>
      </w:r>
    </w:p>
    <w:p>
      <w:pPr>
        <w:pStyle w:val="ListNumber"/>
      </w:pPr>
      <w:r>
        <w:t>**Three-Tier Workflow Orchestration:** Automated classification into Green (&gt;95% auto-assign), Yellow (70–94% human review), and Red (&lt;70% new code generation).</w:t>
      </w:r>
    </w:p>
    <w:p>
      <w:pPr>
        <w:pStyle w:val="ListNumber"/>
      </w:pPr>
      <w:r>
        <w:t>**Non-Invasive Bi-Directional SAP/ERP Synchronization:** Seamless sync via standard protocols (SAP OData, RFC, BAPI, IDoc) without altering underlying ERP business logic.</w:t>
      </w:r>
    </w:p>
    <w:p>
      <w:pPr>
        <w:pStyle w:val="ListNumber"/>
      </w:pPr>
      <w:r>
        <w:t>**Security, Breach Detection &amp; Drift Governance:** Continuous verification of mapped records to prevent unauthorized local overrides, schema drift, and data tampering.</w:t>
      </w:r>
    </w:p>
    <w:p>
      <w:pPr>
        <w:pStyle w:val="Heading2"/>
      </w:pPr>
      <w:r>
        <w:t>3.2 Target Deployment Strategy (The CPCL ↔ IOCL Pilot)</w:t>
      </w:r>
    </w:p>
    <w:p>
      <w:r>
        <w:t xml:space="preserve">The initial Phase 1 rollout focuses on </w:t>
      </w:r>
      <w:r>
        <w:rPr>
          <w:b/>
        </w:rPr>
        <w:t>Chennai Petroleum Corporation Limited (CPCL)</w:t>
      </w:r>
      <w:r>
        <w:t>:</w:t>
      </w:r>
    </w:p>
    <w:p>
      <w:pPr>
        <w:pStyle w:val="ListBullet"/>
      </w:pPr>
      <w:r>
        <w:t>**Architectural Synergy:** CPCL operates an SAP Materials Management (MM) environment provisioned via its parent organization, Indian Oil Corporation Limited (IOCL). Deduplicating across CPCL and IOCL provides a low-risk, shared-template testbed.</w:t>
      </w:r>
    </w:p>
    <w:p>
      <w:pPr>
        <w:pStyle w:val="ListBullet"/>
      </w:pPr>
      <w:r>
        <w:t>**High-Complexity Validation:** Refinery spares (API-6D ball valves, ASTM A106 pipes, rotating equipment spares) represent dense, specification-heavy categories. Proving attribute extraction on MoPNG refinery datasets validates readiness for national-scale expansion.</w:t>
      </w:r>
    </w:p>
    <w:p>
      <w:pPr>
        <w:pStyle w:val="Heading2"/>
      </w:pPr>
      <w:r>
        <w:t>3.3 Out of Scope</w:t>
      </w:r>
    </w:p>
    <w:p>
      <w:pPr>
        <w:pStyle w:val="ListBullet"/>
      </w:pPr>
      <w:r>
        <w:t>Decommissioning, altering, or replacing existing CPSE ERP/SAP installations.</w:t>
      </w:r>
    </w:p>
    <w:p>
      <w:pPr>
        <w:pStyle w:val="ListBullet"/>
      </w:pPr>
      <w:r>
        <w:t>Direct automated placement of purchase orders (platform remains a master data and analytics overlay).</w:t>
      </w:r>
    </w:p>
    <w:p>
      <w:pPr>
        <w:pStyle w:val="Heading1"/>
      </w:pPr>
      <w:r>
        <w:t>4. System Architecture</w:t>
      </w:r>
    </w:p>
    <w:p>
      <w:r>
        <w:t xml:space="preserve">The solution uses a </w:t>
      </w:r>
      <w:r>
        <w:rPr>
          <w:b/>
        </w:rPr>
        <w:t>Federated Hub-and-Spoke Architecture</w:t>
      </w:r>
      <w:r>
        <w:t xml:space="preserve"> that couples decentralized edge processing inside each CPSE with a centralized National Master Data Hub.</w:t>
      </w:r>
    </w:p>
    <w:p>
      <w:pPr>
        <w:spacing w:after="80"/>
      </w:pPr>
      <w:r>
        <w:rPr>
          <w:rFonts w:ascii="Consolas" w:hAnsi="Consolas"/>
          <w:sz w:val="15"/>
        </w:rPr>
        <w:t>+-----------------------------------------------------------------------------------+</w:t>
        <w:br/>
        <w:t>|                           CPSE INTRANET (e.g., CPCL / IOCL)                       |</w:t>
        <w:br/>
        <w:t>|                                                                                   |</w:t>
        <w:br/>
        <w:t>|   +-------------------+       +-----------------------------------------------+   |</w:t>
        <w:br/>
        <w:t>|   |   SAP S/4HANA /   | &lt;---&gt; |  Agent 4: Reconciliation &amp; SAP Connector      |   |</w:t>
        <w:br/>
        <w:t>|   |    ECC 6.0 (MM)   |       |  (PyRFC, OData v4, IDoc bi-directional sync)  |   |</w:t>
        <w:br/>
        <w:t>|   +-------------------+       +-----------------------------------------------+   |</w:t>
        <w:br/>
        <w:t>|             ^                                         ^                           |</w:t>
        <w:br/>
        <w:t>|             | (Local Read)                            | (Approved Mapping Sync)   |</w:t>
        <w:br/>
        <w:t>|             v                                         |                           |</w:t>
        <w:br/>
        <w:t>|   +---------------------------------------------------+-----------------------+   |</w:t>
        <w:br/>
        <w:t>|   |  Agent 6: Local Privacy-Preserving Edge Agent                             |   |</w:t>
        <w:br/>
        <w:t>|   |  - PII &amp; Commercial Masking (Presidio)                                    |   |</w:t>
        <w:br/>
        <w:t>|   |  - Local Feature Parsing &amp; On-Premise Vectorization (BGE-large-en)        |   |</w:t>
        <w:br/>
        <w:t>|   +---------------------------------------------------------------------------+   |</w:t>
        <w:br/>
        <w:t>+------------------------------------------|----------------------------------------+</w:t>
        <w:br/>
        <w:t xml:space="preserve">                                           | Anonymized Vector Embeddings + Ref IDs</w:t>
        <w:br/>
        <w:t xml:space="preserve">                                           v (TLS 1.3 / mTLS API Gateway)</w:t>
        <w:br/>
        <w:t>+-----------------------------------------------------------------------------------+</w:t>
        <w:br/>
        <w:t>|                        CENTRAL DPI HUB (MeghRaj / Govt Cloud)                     |</w:t>
        <w:br/>
        <w:t>|                                                                                   |</w:t>
        <w:br/>
        <w:t>|   +---------------------------------------------------------------------------+   |</w:t>
        <w:br/>
        <w:t>|   |  Agent 1: Autonomous Matching &amp; Routing Engine                            |   |</w:t>
        <w:br/>
        <w:t>|   |  - Qdrant Vector Index + PostgreSQL Structured Attribute Match            |   |</w:t>
        <w:br/>
        <w:t>|   |  - Tri-Tier Decision Gate: Green (&gt;95%) | Yellow (70-94%) | Red (&lt;70%)     |   |</w:t>
        <w:br/>
        <w:t>|   +---------------------------------------------------------------------------+   |</w:t>
        <w:br/>
        <w:t>|          |                                   |                       |            |</w:t>
        <w:br/>
        <w:t>|          v                                   v                       v            |</w:t>
        <w:br/>
        <w:t>|   +------------------+             +-------------------+   +------------------+   |</w:t>
        <w:br/>
        <w:t>|   | Agent 2: Legacy  |             | Agent 5: Drift &amp;  |   | Agent 3: Insights|   |</w:t>
        <w:br/>
        <w:t>|   | Migration Agent  |             | Security Monitor  |   | &amp; Savings Engine |   |</w:t>
        <w:br/>
        <w:t>|   | (OCR/LayoutLMv3) |             | (Audit/Integrity) |   | (LLM Summaries)  |   |</w:t>
        <w:br/>
        <w:t>|   +------------------+             +-------------------+   +------------------+   |</w:t>
        <w:br/>
        <w:t>|          |                                   |                       |            |</w:t>
        <w:br/>
        <w:t>|          +-----------------------------------+-----------------------+            |</w:t>
        <w:br/>
        <w:t>|                                              |                                    |</w:t>
        <w:br/>
        <w:t>|                                              v                                    |</w:t>
        <w:br/>
        <w:t>|   +---------------------------------------------------------------------------+   |</w:t>
        <w:br/>
        <w:t>|   |  Master Data Registry &amp; Cryptographic Audit Ledger                        |   |</w:t>
        <w:br/>
        <w:t>|   |  - 1:N National Code Mapping Table (One National Code : N Legacy Codes)   |   |</w:t>
        <w:br/>
        <w:t>|   |  - Tamper-Evident SHA-256 Hashed Audit Logs                               |   |</w:t>
        <w:br/>
        <w:t>|   +---------------------------------------------------------------------------+   |</w:t>
        <w:br/>
        <w:t>|                                              |                                    |</w:t>
        <w:br/>
        <w:t>+----------------------------------------------|------------------------------------+</w:t>
        <w:br/>
        <w:t xml:space="preserve">                                               v</w:t>
        <w:br/>
        <w:t>+-----------------------------------------------------------------------------------+</w:t>
        <w:br/>
        <w:t>|                           PRESENTATION &amp; GOVERNANCE UI                            |</w:t>
        <w:br/>
        <w:t>|                                                                                   |</w:t>
        <w:br/>
        <w:t>|   +---------------------------------------------------------------------------+   |</w:t>
        <w:br/>
        <w:t>|   |  Reviewer Portal &amp; Visual Comparison Matrix                               |   |</w:t>
        <w:br/>
        <w:t>|   |  - Multi-Factor Radar Charts (Specs, Quality Guidelines, UoM, Dimensions) |   |</w:t>
        <w:br/>
        <w:t>|   |  - Cross-CPSE Historical Rate &amp; Price Dispersion Scatter Plots            |   |</w:t>
        <w:br/>
        <w:t>|   |  - Explainable AI (XAI) Attribute Diff Tables &amp; Feature Importance        |   |</w:t>
        <w:br/>
        <w:t>|   +---------------------------------------------------------------------------+   |</w:t>
        <w:br/>
        <w:t>+-----------------------------------------------------------------------------------+</w:t>
      </w:r>
    </w:p>
    <w:p>
      <w:pPr>
        <w:pStyle w:val="Heading1"/>
      </w:pPr>
      <w:r>
        <w:t>5. Functional Requirements (FR)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**Requirement ID**</w:t>
            </w:r>
          </w:p>
        </w:tc>
        <w:tc>
          <w:tcPr>
            <w:tcW w:type="dxa" w:w="2484"/>
          </w:tcPr>
          <w:p>
            <w:r>
              <w:rPr>
                <w:b/>
              </w:rPr>
              <w:t>**Module / Category**</w:t>
            </w:r>
          </w:p>
        </w:tc>
        <w:tc>
          <w:tcPr>
            <w:tcW w:type="dxa" w:w="2484"/>
          </w:tcPr>
          <w:p>
            <w:r>
              <w:rPr>
                <w:b/>
              </w:rPr>
              <w:t>**Requirement Description**</w:t>
            </w:r>
          </w:p>
        </w:tc>
        <w:tc>
          <w:tcPr>
            <w:tcW w:type="dxa" w:w="2484"/>
          </w:tcPr>
          <w:p>
            <w:r>
              <w:rPr>
                <w:b/>
              </w:rPr>
              <w:t>**Target Priority**</w:t>
            </w:r>
          </w:p>
        </w:tc>
      </w:tr>
      <w:tr>
        <w:tc>
          <w:tcPr>
            <w:tcW w:type="dxa" w:w="2484"/>
          </w:tcPr>
          <w:p>
            <w:r>
              <w:t>**FR-01**</w:t>
            </w:r>
          </w:p>
        </w:tc>
        <w:tc>
          <w:tcPr>
            <w:tcW w:type="dxa" w:w="2484"/>
          </w:tcPr>
          <w:p>
            <w:r>
              <w:t>Attribute Parsing</w:t>
            </w:r>
          </w:p>
        </w:tc>
        <w:tc>
          <w:tcPr>
            <w:tcW w:type="dxa" w:w="2484"/>
          </w:tcPr>
          <w:p>
            <w:r>
              <w:t>System shall parse unstructured text descriptions into structured key-value attributes (Material Grade, Dimension, Pressure Class, Schedule, Standard, UoM) using domain-adapted NER.</w:t>
            </w:r>
          </w:p>
        </w:tc>
        <w:tc>
          <w:tcPr>
            <w:tcW w:type="dxa" w:w="2484"/>
          </w:tcPr>
          <w:p>
            <w:r>
              <w:t>**Critical**</w:t>
            </w:r>
          </w:p>
        </w:tc>
      </w:tr>
      <w:tr>
        <w:tc>
          <w:tcPr>
            <w:tcW w:type="dxa" w:w="2484"/>
          </w:tcPr>
          <w:p>
            <w:r>
              <w:t>**FR-02**</w:t>
            </w:r>
          </w:p>
        </w:tc>
        <w:tc>
          <w:tcPr>
            <w:tcW w:type="dxa" w:w="2484"/>
          </w:tcPr>
          <w:p>
            <w:r>
              <w:t>National Code Assignment</w:t>
            </w:r>
          </w:p>
        </w:tc>
        <w:tc>
          <w:tcPr>
            <w:tcW w:type="dxa" w:w="2484"/>
          </w:tcPr>
          <w:p>
            <w:r>
              <w:t>System shall generate and maintain a persistent, standardized 12-character alphanumeric **Common National Material Code** while maintaining a permanent 1\:N mapping to all legacy CPSE codes.</w:t>
            </w:r>
          </w:p>
        </w:tc>
        <w:tc>
          <w:tcPr>
            <w:tcW w:type="dxa" w:w="2484"/>
          </w:tcPr>
          <w:p>
            <w:r>
              <w:t>**Critical**</w:t>
            </w:r>
          </w:p>
        </w:tc>
      </w:tr>
      <w:tr>
        <w:tc>
          <w:tcPr>
            <w:tcW w:type="dxa" w:w="2484"/>
          </w:tcPr>
          <w:p>
            <w:r>
              <w:t>**FR-03**</w:t>
            </w:r>
          </w:p>
        </w:tc>
        <w:tc>
          <w:tcPr>
            <w:tcW w:type="dxa" w:w="2484"/>
          </w:tcPr>
          <w:p>
            <w:r>
              <w:t>Tri-Tier Confidence Routing</w:t>
            </w:r>
          </w:p>
        </w:tc>
        <w:tc>
          <w:tcPr>
            <w:tcW w:type="dxa" w:w="2484"/>
          </w:tcPr>
          <w:p>
            <w:r>
              <w:t>Matching engine shall score candidate pairs and route them into three explicit operational tiers: **Green Tier (&gt;95%)**, **Yellow Tier (70%–94%)**, and **Red Tier (&lt;70%)**.</w:t>
            </w:r>
          </w:p>
        </w:tc>
        <w:tc>
          <w:tcPr>
            <w:tcW w:type="dxa" w:w="2484"/>
          </w:tcPr>
          <w:p>
            <w:r>
              <w:t>**Critical**</w:t>
            </w:r>
          </w:p>
        </w:tc>
      </w:tr>
      <w:tr>
        <w:tc>
          <w:tcPr>
            <w:tcW w:type="dxa" w:w="2484"/>
          </w:tcPr>
          <w:p>
            <w:r>
              <w:t>**FR-04**</w:t>
            </w:r>
          </w:p>
        </w:tc>
        <w:tc>
          <w:tcPr>
            <w:tcW w:type="dxa" w:w="2484"/>
          </w:tcPr>
          <w:p>
            <w:r>
              <w:t>Multi-Factor Visualization</w:t>
            </w:r>
          </w:p>
        </w:tc>
        <w:tc>
          <w:tcPr>
            <w:tcW w:type="dxa" w:w="2484"/>
          </w:tcPr>
          <w:p>
            <w:r>
              <w:t>Reviewer Portal shall display interactive **Multi-Factor Radar Charts** and **Attribute Diff Graphs** comparing Technical Specs, Quality Guidelines (IS/ISO/ASTM), Dimensional Tolerances, and Cross-Industry Rates.</w:t>
            </w:r>
          </w:p>
        </w:tc>
        <w:tc>
          <w:tcPr>
            <w:tcW w:type="dxa" w:w="2484"/>
          </w:tcPr>
          <w:p>
            <w:r>
              <w:t>**High**</w:t>
            </w:r>
          </w:p>
        </w:tc>
      </w:tr>
      <w:tr>
        <w:tc>
          <w:tcPr>
            <w:tcW w:type="dxa" w:w="2484"/>
          </w:tcPr>
          <w:p>
            <w:r>
              <w:t>**FR-05**</w:t>
            </w:r>
          </w:p>
        </w:tc>
        <w:tc>
          <w:tcPr>
            <w:tcW w:type="dxa" w:w="2484"/>
          </w:tcPr>
          <w:p>
            <w:r>
              <w:t>Explainable AI (XAI)</w:t>
            </w:r>
          </w:p>
        </w:tc>
        <w:tc>
          <w:tcPr>
            <w:tcW w:type="dxa" w:w="2484"/>
          </w:tcPr>
          <w:p>
            <w:r>
              <w:t>Every match recommendation shall generate an auditable justification table highlighting exact matched tokens, normalized spec values, and calculated feature weights.</w:t>
            </w:r>
          </w:p>
        </w:tc>
        <w:tc>
          <w:tcPr>
            <w:tcW w:type="dxa" w:w="2484"/>
          </w:tcPr>
          <w:p>
            <w:r>
              <w:t>**High**</w:t>
            </w:r>
          </w:p>
        </w:tc>
      </w:tr>
      <w:tr>
        <w:tc>
          <w:tcPr>
            <w:tcW w:type="dxa" w:w="2484"/>
          </w:tcPr>
          <w:p>
            <w:r>
              <w:t>**FR-06**</w:t>
            </w:r>
          </w:p>
        </w:tc>
        <w:tc>
          <w:tcPr>
            <w:tcW w:type="dxa" w:w="2484"/>
          </w:tcPr>
          <w:p>
            <w:r>
              <w:t>Legacy OCR Migration</w:t>
            </w:r>
          </w:p>
        </w:tc>
        <w:tc>
          <w:tcPr>
            <w:tcW w:type="dxa" w:w="2484"/>
          </w:tcPr>
          <w:p>
            <w:r>
              <w:t>System shall ingest historical blueprints, scanned catalogs (PDF/TIFF/JPG), and legacy spreadsheets, executing OCR, spell-correction against industrial dictionaries, and structured extraction.</w:t>
            </w:r>
          </w:p>
        </w:tc>
        <w:tc>
          <w:tcPr>
            <w:tcW w:type="dxa" w:w="2484"/>
          </w:tcPr>
          <w:p>
            <w:r>
              <w:t>**High**</w:t>
            </w:r>
          </w:p>
        </w:tc>
      </w:tr>
      <w:tr>
        <w:tc>
          <w:tcPr>
            <w:tcW w:type="dxa" w:w="2484"/>
          </w:tcPr>
          <w:p>
            <w:r>
              <w:t>**FR-07**</w:t>
            </w:r>
          </w:p>
        </w:tc>
        <w:tc>
          <w:tcPr>
            <w:tcW w:type="dxa" w:w="2484"/>
          </w:tcPr>
          <w:p>
            <w:r>
              <w:t>Bi-Directional SAP Sync</w:t>
            </w:r>
          </w:p>
        </w:tc>
        <w:tc>
          <w:tcPr>
            <w:tcW w:type="dxa" w:w="2484"/>
          </w:tcPr>
          <w:p>
            <w:r>
              <w:t>System shall automatically push approved National Code mappings back to the respective CPSE's SAP MM module via RFC/OData connectors without disrupting existing line-item keys.</w:t>
            </w:r>
          </w:p>
        </w:tc>
        <w:tc>
          <w:tcPr>
            <w:tcW w:type="dxa" w:w="2484"/>
          </w:tcPr>
          <w:p>
            <w:r>
              <w:t>**High**</w:t>
            </w:r>
          </w:p>
        </w:tc>
      </w:tr>
      <w:tr>
        <w:tc>
          <w:tcPr>
            <w:tcW w:type="dxa" w:w="2484"/>
          </w:tcPr>
          <w:p>
            <w:r>
              <w:t>**FR-08**</w:t>
            </w:r>
          </w:p>
        </w:tc>
        <w:tc>
          <w:tcPr>
            <w:tcW w:type="dxa" w:w="2484"/>
          </w:tcPr>
          <w:p>
            <w:r>
              <w:t>Edge Privacy Masking</w:t>
            </w:r>
          </w:p>
        </w:tc>
        <w:tc>
          <w:tcPr>
            <w:tcW w:type="dxa" w:w="2484"/>
          </w:tcPr>
          <w:p>
            <w:r>
              <w:t>Edge agent shall strip and mask all sensitive commercial identifiers (vendor IDs, supplier names, unit purchase prices, purchase order references) before generating numerical vector embeddings.</w:t>
            </w:r>
          </w:p>
        </w:tc>
        <w:tc>
          <w:tcPr>
            <w:tcW w:type="dxa" w:w="2484"/>
          </w:tcPr>
          <w:p>
            <w:r>
              <w:t>**Critical**</w:t>
            </w:r>
          </w:p>
        </w:tc>
      </w:tr>
      <w:tr>
        <w:tc>
          <w:tcPr>
            <w:tcW w:type="dxa" w:w="2484"/>
          </w:tcPr>
          <w:p>
            <w:r>
              <w:t>**FR-09**</w:t>
            </w:r>
          </w:p>
        </w:tc>
        <w:tc>
          <w:tcPr>
            <w:tcW w:type="dxa" w:w="2484"/>
          </w:tcPr>
          <w:p>
            <w:r>
              <w:t>Procurement Savings Simulator</w:t>
            </w:r>
          </w:p>
        </w:tc>
        <w:tc>
          <w:tcPr>
            <w:tcW w:type="dxa" w:w="2484"/>
          </w:tcPr>
          <w:p>
            <w:r>
              <w:t>System shall aggregate quantities of deduplicated materials across CPSEs, calculate historical price variance, and project ₹ savings achieved through consolidated national rate contracts.</w:t>
            </w:r>
          </w:p>
        </w:tc>
        <w:tc>
          <w:tcPr>
            <w:tcW w:type="dxa" w:w="2484"/>
          </w:tcPr>
          <w:p>
            <w:r>
              <w:t>**High**</w:t>
            </w:r>
          </w:p>
        </w:tc>
      </w:tr>
      <w:tr>
        <w:tc>
          <w:tcPr>
            <w:tcW w:type="dxa" w:w="2484"/>
          </w:tcPr>
          <w:p>
            <w:r>
              <w:t>**FR-10**</w:t>
            </w:r>
          </w:p>
        </w:tc>
        <w:tc>
          <w:tcPr>
            <w:tcW w:type="dxa" w:w="2484"/>
          </w:tcPr>
          <w:p>
            <w:r>
              <w:t>Drift &amp; Security Breach Alert</w:t>
            </w:r>
          </w:p>
        </w:tc>
        <w:tc>
          <w:tcPr>
            <w:tcW w:type="dxa" w:w="2484"/>
          </w:tcPr>
          <w:p>
            <w:r>
              <w:t>System shall continuously monitor live SAP records, detecting external schema modifications, unauthorized manual description edits, or mapping overrides, triggering real-time alerts.</w:t>
            </w:r>
          </w:p>
        </w:tc>
        <w:tc>
          <w:tcPr>
            <w:tcW w:type="dxa" w:w="2484"/>
          </w:tcPr>
          <w:p>
            <w:r>
              <w:t>**Critical**</w:t>
            </w:r>
          </w:p>
        </w:tc>
      </w:tr>
      <w:tr>
        <w:tc>
          <w:tcPr>
            <w:tcW w:type="dxa" w:w="2484"/>
          </w:tcPr>
          <w:p>
            <w:r>
              <w:t>**FR-11**</w:t>
            </w:r>
          </w:p>
        </w:tc>
        <w:tc>
          <w:tcPr>
            <w:tcW w:type="dxa" w:w="2484"/>
          </w:tcPr>
          <w:p>
            <w:r>
              <w:t>Immutable Audit Trail</w:t>
            </w:r>
          </w:p>
        </w:tc>
        <w:tc>
          <w:tcPr>
            <w:tcW w:type="dxa" w:w="2484"/>
          </w:tcPr>
          <w:p>
            <w:r>
              <w:t>All mapping determinations, user approvals, rejections, manual overrides, and sync events shall be logged in a cryptographically chained, append-only ledger.</w:t>
            </w:r>
          </w:p>
        </w:tc>
        <w:tc>
          <w:tcPr>
            <w:tcW w:type="dxa" w:w="2484"/>
          </w:tcPr>
          <w:p>
            <w:r>
              <w:t>**Critical**</w:t>
            </w:r>
          </w:p>
        </w:tc>
      </w:tr>
    </w:tbl>
    <w:p/>
    <w:p>
      <w:pPr>
        <w:pStyle w:val="Heading1"/>
      </w:pPr>
      <w:r>
        <w:t>6. Detailed Specifications of the 6 Autonomous AI Agents</w:t>
      </w:r>
    </w:p>
    <w:p>
      <w:pPr>
        <w:spacing w:after="80"/>
      </w:pPr>
      <w:r>
        <w:rPr>
          <w:rFonts w:ascii="Consolas" w:hAnsi="Consolas"/>
          <w:sz w:val="15"/>
        </w:rPr>
        <w:t>+--------------------------------------------------------------------------------------------------+</w:t>
        <w:br/>
        <w:t>|                                    6-AGENT AGENTIC PIPELINE                                      |</w:t>
        <w:br/>
        <w:t>+--------------------------------+--------------------------------+--------------------------------+</w:t>
        <w:br/>
        <w:t>|  Agent 6: Local Privacy Edge   |  Agent 1: Matching &amp; Routing   |  Agent 2: Legacy Migration     |</w:t>
        <w:br/>
        <w:t>|  - Edge Data Scrubbing (PII)   |  - Attribute Extraction &amp; NER  |  - Document OCR &amp; LayoutLMv3   |</w:t>
        <w:br/>
        <w:t>|  - On-Premise Vectorization    |  - Tri-Tier Decision Engine    |  - Engineering Spell-Check     |</w:t>
        <w:br/>
        <w:t>+--------------------------------+--------------------------------+--------------------------------+</w:t>
        <w:br/>
        <w:t>|  Agent 4: SAP Reconciliation   |  Agent 5: Drift &amp; Security     |  Agent 3: Reporting &amp; Insights |</w:t>
        <w:br/>
        <w:t>|  - PyRFC / OData Integration   |  - Live ERP Diff Checking      |  - Procurement Cost Modeling   |</w:t>
        <w:br/>
        <w:t>|  - Idempotent Payload Sync     |  - Tamper &amp; Breach Alerts      |  - Executive LLM Summaries     |</w:t>
        <w:br/>
        <w:t>+--------------------------------+--------------------------------+--------------------------------+</w:t>
      </w:r>
    </w:p>
    <w:p>
      <w:pPr>
        <w:pStyle w:val="Heading2"/>
      </w:pPr>
      <w:r>
        <w:t>Agent 1: Autonomous Matching &amp; Routing Agent</w:t>
      </w:r>
    </w:p>
    <w:p>
      <w:pPr>
        <w:pStyle w:val="ListBullet"/>
      </w:pPr>
      <w:r>
        <w:t>**Role:** Central entity resolution, confidence scoring, and human-in-the-loop triage.</w:t>
      </w:r>
    </w:p>
    <w:p>
      <w:pPr>
        <w:pStyle w:val="ListBullet"/>
      </w:pPr>
      <w:r>
        <w:t>**Input:** Anonymized vector embeddings, structured attribute payloads, and originating CPSE metadata from Agent 6.</w:t>
      </w:r>
    </w:p>
    <w:p>
      <w:pPr>
        <w:pStyle w:val="ListBullet"/>
      </w:pPr>
      <w:r>
        <w:t>**Processing Tasks:**</w:t>
      </w:r>
    </w:p>
    <w:p>
      <w:pPr>
        <w:pStyle w:val="ListBullet"/>
      </w:pPr>
      <w:r>
        <w:t>Executes vector similarity search against the National Master Database using cosine distance in Qdrant.</w:t>
      </w:r>
    </w:p>
    <w:p>
      <w:pPr>
        <w:pStyle w:val="ListBullet"/>
      </w:pPr>
      <w:r>
        <w:t>Evaluates structured attribute equality (e.g., verifying `Outer Diameter == 50mm` and `Material == SS316`).</w:t>
      </w:r>
    </w:p>
    <w:p>
      <w:pPr>
        <w:pStyle w:val="ListBullet"/>
      </w:pPr>
      <w:r>
        <w:t>Computes a unified confidence score $S\_{\text{final}} = w\_1 \cdot S\_{\text{vector}} + w\_2 \cdot S\_{\text{attribute}}$.</w:t>
      </w:r>
    </w:p>
    <w:p>
      <w:pPr>
        <w:pStyle w:val="ListBullet"/>
      </w:pPr>
      <w:r>
        <w:t>**Decision Logic:**</w:t>
      </w:r>
    </w:p>
    <w:p>
      <w:pPr>
        <w:pStyle w:val="ListBullet"/>
      </w:pPr>
      <w:r>
        <w:t>**Green Tier ($S\_{\text{final}} \ge 0.95$):** Auto-link record to existing National Code; trigger Agent 4 for automated SAP sync.</w:t>
      </w:r>
    </w:p>
    <w:p>
      <w:pPr>
        <w:pStyle w:val="ListBullet"/>
      </w:pPr>
      <w:r>
        <w:t>**Yellow Tier ($0.70 \le S\_{\text{final}} &lt; 0.95$):** Generate XAI evidence table, compile multi-factor radar chart, and route to the CPSE Domain Reviewer queue.</w:t>
      </w:r>
    </w:p>
    <w:p>
      <w:pPr>
        <w:pStyle w:val="ListBullet"/>
      </w:pPr>
      <w:r>
        <w:t>**Red Tier ($S\_{\text{final}} &lt; 0.70$):** Flag as a distinct new material; initiate new Common National Code generation workflow.</w:t>
      </w:r>
    </w:p>
    <w:p>
      <w:pPr>
        <w:pStyle w:val="ListBullet"/>
      </w:pPr>
      <w:r>
        <w:t>**Error Handling:** Incomplete specifications downgrade confidence scores automatically, preventing false-positive auto-merges.</w:t>
      </w:r>
    </w:p>
    <w:p>
      <w:pPr>
        <w:pStyle w:val="Heading2"/>
      </w:pPr>
      <w:r>
        <w:t>Agent 2: Legacy Migration Agent</w:t>
      </w:r>
    </w:p>
    <w:p>
      <w:pPr>
        <w:pStyle w:val="ListBullet"/>
      </w:pPr>
      <w:r>
        <w:t>**Role:** Digitization and ingestion of historical, non-ERP records and unstructured technical documents.</w:t>
      </w:r>
    </w:p>
    <w:p>
      <w:pPr>
        <w:pStyle w:val="ListBullet"/>
      </w:pPr>
      <w:r>
        <w:t>**Input:** Batch uploads of scanned catalogs, purchase orders, PDF technical datasheets, legacy CSV/Excel files.</w:t>
      </w:r>
    </w:p>
    <w:p>
      <w:pPr>
        <w:pStyle w:val="ListBullet"/>
      </w:pPr>
      <w:r>
        <w:t>**Processing Tasks:**</w:t>
      </w:r>
    </w:p>
    <w:p>
      <w:pPr>
        <w:pStyle w:val="ListBullet"/>
      </w:pPr>
      <w:r>
        <w:t>Executes OCR using LayoutLMv3 and Tesseract OCR engine.</w:t>
      </w:r>
    </w:p>
    <w:p>
      <w:pPr>
        <w:pStyle w:val="ListBullet"/>
      </w:pPr>
      <w:r>
        <w:t>Applies automated domain post-processing, validating extracted tokens against standard industrial dictionaries (API, ASTM, IS, DIN, ASME).</w:t>
      </w:r>
    </w:p>
    <w:p>
      <w:pPr>
        <w:pStyle w:val="ListBullet"/>
      </w:pPr>
      <w:r>
        <w:t>Resolves common OCR character misreads (e.g., distinguishing "0" vs "O", "1" vs "I" in standard codes like "6205-ZZ").</w:t>
      </w:r>
    </w:p>
    <w:p>
      <w:pPr>
        <w:pStyle w:val="ListBullet"/>
      </w:pPr>
      <w:r>
        <w:t>**Decision Logic:** Flags items where OCR character confidence is below 85% for manual visual verification; clean records are forwarded directly to Agent 1.</w:t>
      </w:r>
    </w:p>
    <w:p>
      <w:pPr>
        <w:pStyle w:val="ListBullet"/>
      </w:pPr>
      <w:r>
        <w:t>**Output:** Migration batch summary reports presenting side-by-side original image crops and extracted attribute key-values.</w:t>
      </w:r>
    </w:p>
    <w:p>
      <w:pPr>
        <w:pStyle w:val="Heading2"/>
      </w:pPr>
      <w:r>
        <w:t>Agent 3: Reporting &amp; Insight Agent (Procurement Savings Simulator)</w:t>
      </w:r>
    </w:p>
    <w:p>
      <w:pPr>
        <w:pStyle w:val="ListBullet"/>
      </w:pPr>
      <w:r>
        <w:t>**Role:** Business value analytics, cross-CPSE procurement intelligence, and automated executive reporting.</w:t>
      </w:r>
    </w:p>
    <w:p>
      <w:pPr>
        <w:pStyle w:val="ListBullet"/>
      </w:pPr>
      <w:r>
        <w:t>**Input:** Normalized catalog data, deduplication registries, historical price benchmarks, and reviewer throughput logs.</w:t>
      </w:r>
    </w:p>
    <w:p>
      <w:pPr>
        <w:pStyle w:val="ListBullet"/>
      </w:pPr>
      <w:r>
        <w:t>**Processing Tasks:**</w:t>
      </w:r>
    </w:p>
    <w:p>
      <w:pPr>
        <w:pStyle w:val="ListBullet"/>
      </w:pPr>
      <w:r>
        <w:t>Computes price dispersion metrics across CPSEs procuring identical National Material Codes.</w:t>
      </w:r>
    </w:p>
    <w:p>
      <w:pPr>
        <w:pStyle w:val="ListBullet"/>
      </w:pPr>
      <w:r>
        <w:t>Models bulk procurement discount curves to estimate financial savings (₹ Lakh/Crore) under joint tendering.</w:t>
      </w:r>
    </w:p>
    <w:p>
      <w:pPr>
        <w:pStyle w:val="ListBullet"/>
      </w:pPr>
      <w:r>
        <w:t>Calculates data stewardship metrics: SLA turnaround times, backlog volume, and duplication reduction percentages.</w:t>
      </w:r>
    </w:p>
    <w:p>
      <w:pPr>
        <w:pStyle w:val="ListBullet"/>
      </w:pPr>
      <w:r>
        <w:t>**Output:** Generates automated natural-language executive briefs (using local Llama-3-8B-Instruct) and delivers periodic summary digests to ministry and nodal leadership.</w:t>
      </w:r>
    </w:p>
    <w:p>
      <w:pPr>
        <w:pStyle w:val="Heading2"/>
      </w:pPr>
      <w:r>
        <w:t>Agent 4: Reconciliation Agent (SAP/ERP Synchronizer)</w:t>
      </w:r>
    </w:p>
    <w:p>
      <w:pPr>
        <w:pStyle w:val="ListBullet"/>
      </w:pPr>
      <w:r>
        <w:t>**Role:** Non-invasive, bi-directional integration with CPSE enterprise systems.</w:t>
      </w:r>
    </w:p>
    <w:p>
      <w:pPr>
        <w:pStyle w:val="ListBullet"/>
      </w:pPr>
      <w:r>
        <w:t>**Input:** Finalized National Material Code mappings (from Green auto-approvals or Yellow human confirmations).</w:t>
      </w:r>
    </w:p>
    <w:p>
      <w:pPr>
        <w:pStyle w:val="ListBullet"/>
      </w:pPr>
      <w:r>
        <w:t>**Processing Tasks:**</w:t>
      </w:r>
    </w:p>
    <w:p>
      <w:pPr>
        <w:pStyle w:val="ListBullet"/>
      </w:pPr>
      <w:r>
        <w:t>Formats payload into CPSE-specific ERP schemas (SAP OData entity sets, RFC structures, or IDoc `MATMAS05` messages).</w:t>
      </w:r>
    </w:p>
    <w:p>
      <w:pPr>
        <w:pStyle w:val="ListBullet"/>
      </w:pPr>
      <w:r>
        <w:t>Dispatches payload to local SAP instances using secure API connectors.</w:t>
      </w:r>
    </w:p>
    <w:p>
      <w:pPr>
        <w:pStyle w:val="ListBullet"/>
      </w:pPr>
      <w:r>
        <w:t>Awaits transactional return receipts and handles transient connectivity errors via exponential backoff.</w:t>
      </w:r>
    </w:p>
    <w:p>
      <w:pPr>
        <w:pStyle w:val="ListBullet"/>
      </w:pPr>
      <w:r>
        <w:t>**Decision Logic:** Validates SAP response. Differentiates between network drops (queue for retry) and business validation faults (notify local SAP administrator).</w:t>
      </w:r>
    </w:p>
    <w:p>
      <w:pPr>
        <w:pStyle w:val="ListBullet"/>
      </w:pPr>
      <w:r>
        <w:t>**Output:** Updates central synchronization status registry with timestamped SAP acknowledgment IDs.</w:t>
      </w:r>
    </w:p>
    <w:p>
      <w:pPr>
        <w:pStyle w:val="Heading2"/>
      </w:pPr>
      <w:r>
        <w:t>Agent 5: Compliance &amp; Drift-Detection Agent</w:t>
      </w:r>
    </w:p>
    <w:p>
      <w:pPr>
        <w:pStyle w:val="ListBullet"/>
      </w:pPr>
      <w:r>
        <w:t>**Role:** Real-time security governance, integrity verification, and ERP drift detection.</w:t>
      </w:r>
    </w:p>
    <w:p>
      <w:pPr>
        <w:pStyle w:val="ListBullet"/>
      </w:pPr>
      <w:r>
        <w:t>**Input:** Scheduled diff queries of live SAP material master tables versus the National DPI Hub state.</w:t>
      </w:r>
    </w:p>
    <w:p>
      <w:pPr>
        <w:pStyle w:val="ListBullet"/>
      </w:pPr>
      <w:r>
        <w:t>**Processing Tasks:**</w:t>
      </w:r>
    </w:p>
    <w:p>
      <w:pPr>
        <w:pStyle w:val="ListBullet"/>
      </w:pPr>
      <w:r>
        <w:t>Inspects previously mapped records to detect unauthorized local changes to material descriptions, grades, or classifications.</w:t>
      </w:r>
    </w:p>
    <w:p>
      <w:pPr>
        <w:pStyle w:val="ListBullet"/>
      </w:pPr>
      <w:r>
        <w:t>Verifies cryptographic hashes of audit ledger entries to detect unauthorized database alterations.</w:t>
      </w:r>
    </w:p>
    <w:p>
      <w:pPr>
        <w:pStyle w:val="ListBullet"/>
      </w:pPr>
      <w:r>
        <w:t>Monitors reviewer approval velocity to detect anomalous patterns (e.g., bulk approvals without inspecting diff tables).</w:t>
      </w:r>
    </w:p>
    <w:p>
      <w:pPr>
        <w:pStyle w:val="ListBullet"/>
      </w:pPr>
      <w:r>
        <w:t>**Decision Logic:** Classifies drift severity. Minor changes trigger warning flags in the governance queue; unauthorized code deletions or major spec alterations trigger high-priority security breach alerts.</w:t>
      </w:r>
    </w:p>
    <w:p>
      <w:pPr>
        <w:pStyle w:val="ListBullet"/>
      </w:pPr>
      <w:r>
        <w:t>**Output:** Generates real-time compliance alerts on the Nodal Oversight Dashboard.</w:t>
      </w:r>
    </w:p>
    <w:p>
      <w:pPr>
        <w:pStyle w:val="Heading2"/>
      </w:pPr>
      <w:r>
        <w:t>Agent 6: Local Privacy-Preserving Agent (Edge Node)</w:t>
      </w:r>
    </w:p>
    <w:p>
      <w:pPr>
        <w:pStyle w:val="ListBullet"/>
      </w:pPr>
      <w:r>
        <w:t>**Role:** On-premise data security, commercial de-identification, and edge vectorization.</w:t>
      </w:r>
    </w:p>
    <w:p>
      <w:pPr>
        <w:pStyle w:val="ListBullet"/>
      </w:pPr>
      <w:r>
        <w:t>**Input:** Direct read-only connection to the local CPSE SAP database or staging tables.</w:t>
      </w:r>
    </w:p>
    <w:p>
      <w:pPr>
        <w:pStyle w:val="ListBullet"/>
      </w:pPr>
      <w:r>
        <w:t>**Processing Tasks:**</w:t>
      </w:r>
    </w:p>
    <w:p>
      <w:pPr>
        <w:pStyle w:val="ListBullet"/>
      </w:pPr>
      <w:r>
        <w:t>Scans records and applies strict PII/Commercial masking using rule-based and NER filters (stripping vendor IDs, plant names, purchase prices, proprietary notes).</w:t>
      </w:r>
    </w:p>
    <w:p>
      <w:pPr>
        <w:pStyle w:val="ListBullet"/>
      </w:pPr>
      <w:r>
        <w:t>Executes on-premise feature extraction and vector embedding generation using a localized embedding model.</w:t>
      </w:r>
    </w:p>
    <w:p>
      <w:pPr>
        <w:pStyle w:val="ListBullet"/>
      </w:pPr>
      <w:r>
        <w:t>**Decision Logic:** Enforces a zero-leakage security allow-list. Only mathematical vector embeddings and cryptographic reference tokens are transmitted across the boundary.</w:t>
      </w:r>
    </w:p>
    <w:p>
      <w:pPr>
        <w:pStyle w:val="ListBullet"/>
      </w:pPr>
      <w:r>
        <w:t>**Output:** Streams sanitized vector payloads to the central hub via mutual TLS (mTLS).</w:t>
      </w:r>
    </w:p>
    <w:p>
      <w:pPr>
        <w:pStyle w:val="Heading1"/>
      </w:pPr>
      <w:r>
        <w:t>7. User Interface &amp; Visualization Specifications</w:t>
      </w:r>
    </w:p>
    <w:p>
      <w:pPr>
        <w:spacing w:after="80"/>
      </w:pPr>
      <w:r>
        <w:rPr>
          <w:rFonts w:ascii="Consolas" w:hAnsi="Consolas"/>
          <w:sz w:val="15"/>
        </w:rPr>
        <w:t>+----------------------------------------------------------------------------------------------------+</w:t>
        <w:br/>
        <w:t>|  REVIEWER PORTAL: SIDE-BY-SIDE HARMONIZATION &amp; COMPARISON VIEW                                    |</w:t>
        <w:br/>
        <w:t>+------------------------------------------------------------------+---------------------------------+</w:t>
        <w:br/>
        <w:t>|  LOCAL CPSE SPECIFICATION (CPCL)                                 |  MATCHED CANDIDATE (IOCL / NAT) |</w:t>
        <w:br/>
        <w:t>|  - Code: MAT-REF-44091                                           |  - Nat Code: NAT-VALV-6205      |</w:t>
        <w:br/>
        <w:t>|  - Description: "BALL VALVE 2IN 150# CS BODY SS316 BALL FLANGED" |  - Desc: "VALVE, BALL, 2IN, CL150|</w:t>
        <w:br/>
        <w:t>|  - Std: ASME B16.34 | Class: 150 | Body: WCB | Ball: SS316       |  - Std: ASME B16.34 | Class: 150 |</w:t>
        <w:br/>
        <w:t>+------------------------------------------------------------------+---------------------------------+</w:t>
        <w:br/>
        <w:t>|  EXPLAINABLE AI (XAI) MATCH JUSTIFICATION                        |  FACTOR COMPARISON RADAR        |</w:t>
        <w:br/>
        <w:t>|  - Material Grade Overlap: 100% (SS316 == SS316)                 |          Pressure Class         |</w:t>
        <w:br/>
        <w:t>|  - Pressure Class Overlap: 100% (150# == Class 150)              |                /\               |</w:t>
        <w:br/>
        <w:t>|  - Dimension Overlap: 100% (2 Inch == 2" NB)                     |   Standard    /  \   Dimension  |</w:t>
        <w:br/>
        <w:t>|  - Overall System Confidence Score: 96.8% [GREEN TIER]           |               \  /              |</w:t>
        <w:br/>
        <w:t>|                                                                  |                \/               |</w:t>
        <w:br/>
        <w:t>|                                                                  |             Material            |</w:t>
        <w:br/>
        <w:t>+------------------------------------------------------------------+---------------------------------+</w:t>
        <w:br/>
        <w:t>|  CROSS-INDUSTRY HISTORICAL RATE &amp; PRICE DISPERSION               |  ACTION GATEWAY                 |</w:t>
        <w:br/>
        <w:t>|  - CPCL Rate: Rs 14,200/unit | IOCL Rate: Rs 12,800/unit         |  [ APPROVE &amp; MAP ]              |</w:t>
        <w:br/>
        <w:t>|  - Potential Savings via Joint Tendering: Rs 1,400/unit (9.8%)   |  [ REJECT ]  [ MODIFY SPECS ]   |</w:t>
        <w:br/>
        <w:t>+----------------------------------------------------------------------------------------------------+</w:t>
      </w:r>
    </w:p>
    <w:p>
      <w:pPr>
        <w:pStyle w:val="Heading2"/>
      </w:pPr>
      <w:r>
        <w:t>7.1 Reviewer Portal &amp; Comparison Matrix</w:t>
      </w:r>
    </w:p>
    <w:p>
      <w:pPr>
        <w:pStyle w:val="ListBullet"/>
      </w:pPr>
      <w:r>
        <w:t>**Multi-Factor Radar Chart:** Visualizes similarity along 5 axes: **Dimensional Conformance**, **Material Grade Match**, **Pressure/Tolerance Rating**, **Standard/Quality Code Overlap**, and **UoM Consistency**.</w:t>
      </w:r>
    </w:p>
    <w:p>
      <w:pPr>
        <w:pStyle w:val="ListBullet"/>
      </w:pPr>
      <w:r>
        <w:t>**XAI Side-by-Side Diff Table:** Highlights identical attributes in green, minor variations in yellow, and conflicting specifications in red.</w:t>
      </w:r>
    </w:p>
    <w:p>
      <w:pPr>
        <w:pStyle w:val="ListBullet"/>
      </w:pPr>
      <w:r>
        <w:t>**Inter-Industry Rate Comparison:** Displays anonymized historical purchase rate dispersion curves for equivalent materials across CPSEs to highlight potential savings.</w:t>
      </w:r>
    </w:p>
    <w:p>
      <w:pPr>
        <w:pStyle w:val="Heading1"/>
      </w:pPr>
      <w:r>
        <w:t>8. Non-Functional Requirements (NFR)</w:t>
      </w:r>
    </w:p>
    <w:p>
      <w:pPr>
        <w:pStyle w:val="ListBullet"/>
      </w:pPr>
      <w:r>
        <w:t>**NFR-01: Performance &amp; Latency:** Real-time vector search across 10,000,000+ national SKUs shall return top-k matches within $&lt;250\text{ ms}$.</w:t>
      </w:r>
    </w:p>
    <w:p>
      <w:pPr>
        <w:pStyle w:val="ListBullet"/>
      </w:pPr>
      <w:r>
        <w:t>**NFR-02: Edge Data Security:** Raw commercial records (purchase rates, vendor names) shall strictly reside inside the CPSE network; transmission of unmasked text outside the intranet triggers an automatic security halt.</w:t>
      </w:r>
    </w:p>
    <w:p>
      <w:pPr>
        <w:pStyle w:val="ListBullet"/>
      </w:pPr>
      <w:r>
        <w:t>**NFR-03: System Availability:** The Central DPI Hub shall maintain $99.95\\%$ uptime with geo-redundant disaster recovery.</w:t>
      </w:r>
    </w:p>
    <w:p>
      <w:pPr>
        <w:pStyle w:val="ListBullet"/>
      </w:pPr>
      <w:r>
        <w:t>**NFR-04: Scalability:** Ingestion architecture shall handle batch uploads of up to $1,000,000$ legacy records per batch using asynchronous queueing without degradation of real-time search.</w:t>
      </w:r>
    </w:p>
    <w:p>
      <w:pPr>
        <w:pStyle w:val="ListBullet"/>
      </w:pPr>
      <w:r>
        <w:t>**NFR-05: Audit Integrity:** All audit logs shall be hashed using SHA-256 and cryptographically chained to prevent historical tampering or silent administrative modification.</w:t>
      </w:r>
    </w:p>
    <w:p>
      <w:pPr>
        <w:pStyle w:val="Heading1"/>
      </w:pPr>
      <w:r>
        <w:t>9. Verification &amp; Acceptance Criteria</w:t>
      </w:r>
    </w:p>
    <w:p>
      <w:pPr>
        <w:pStyle w:val="ListNumber"/>
      </w:pPr>
      <w:r>
        <w:t>**Extraction Accuracy:** Domain NER model achieves $&gt;95\\%$ F1-score on benchmark refinery and engineering material test datasets.</w:t>
      </w:r>
    </w:p>
    <w:p>
      <w:pPr>
        <w:pStyle w:val="ListNumber"/>
      </w:pPr>
      <w:r>
        <w:t>**Deduplication Precision:** Green-tier auto-matches demonstrate $&lt;0.5\\%$ false-positive rate during golden-dataset validation.</w:t>
      </w:r>
    </w:p>
    <w:p>
      <w:pPr>
        <w:pStyle w:val="ListNumber"/>
      </w:pPr>
      <w:r>
        <w:t>**Integration Non-Invasiveness:** Bi-directional sync completes via standard SAP BAPI/OData interfaces without requiring alterations to existing SAP table schemas.</w:t>
      </w:r>
    </w:p>
    <w:p>
      <w:pPr>
        <w:pStyle w:val="ListNumber"/>
      </w:pPr>
      <w:r>
        <w:t>**Data Privacy Zero-Leakage:** Independent network packet audits verify zero cleartext leakage of restricted commercial attributes from Edge nodes.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