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200"/>
        <w:jc w:val="center"/>
      </w:pPr>
      <w:r>
        <w:rPr>
          <w:rFonts w:ascii="Arial" w:cs="Arial" w:eastAsia="Arial" w:hAnsi="Arial"/>
          <w:b/>
          <w:bCs/>
          <w:color w:val="1F3864"/>
          <w:sz w:val="52"/>
          <w:szCs w:val="52"/>
        </w:rPr>
        <w:t xml:space="preserve">ORDER MANAGEMENT SYSTEM</w:t>
      </w:r>
    </w:p>
    <w:p>
      <w:pPr>
        <w:spacing w:after="120"/>
        <w:jc w:val="center"/>
      </w:pPr>
      <w:r>
        <w:rPr>
          <w:rFonts w:ascii="Arial" w:cs="Arial" w:eastAsia="Arial" w:hAnsi="Arial"/>
          <w:b/>
          <w:bCs/>
          <w:color w:val="2E75B6"/>
          <w:sz w:val="36"/>
          <w:szCs w:val="36"/>
        </w:rPr>
        <w:t xml:space="preserve">Inventory Service</w:t>
      </w:r>
    </w:p>
    <w:p>
      <w:pPr>
        <w:spacing w:after="480"/>
        <w:jc w:val="center"/>
      </w:pPr>
      <w:r>
        <w:rPr>
          <w:rFonts w:ascii="Arial" w:cs="Arial" w:eastAsia="Arial" w:hAnsi="Arial"/>
          <w:i/>
          <w:iCs/>
          <w:color w:val="5F5E5A"/>
          <w:sz w:val="28"/>
          <w:szCs w:val="28"/>
        </w:rPr>
        <w:t xml:space="preserve">inventory-service — Business Requirements</w:t>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D9ED" w:sz="1"/>
              <w:left w:val="single" w:color="C9D9ED" w:sz="1"/>
              <w:bottom w:val="single" w:color="C9D9ED" w:sz="1"/>
              <w:right w:val="single" w:color="C9D9ED"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560"/>
            <w:tcBorders>
              <w:top w:val="single" w:color="C9D9ED" w:sz="1"/>
              <w:left w:val="single" w:color="C9D9ED" w:sz="1"/>
              <w:bottom w:val="single" w:color="C9D9ED" w:sz="1"/>
              <w:right w:val="single" w:color="C9D9ED" w:sz="1"/>
            </w:tcBorders>
            <w:shd w:fill="FFFFFF" w:val="clear"/>
            <w:tcMar>
              <w:top w:type="dxa" w:w="80"/>
              <w:left w:type="dxa" w:w="120"/>
              <w:bottom w:type="dxa" w:w="80"/>
              <w:right w:type="dxa" w:w="120"/>
            </w:tcMar>
          </w:tcPr>
          <w:p>
            <w:r>
              <w:rPr>
                <w:rFonts w:ascii="Arial" w:cs="Arial" w:eastAsia="Arial" w:hAnsi="Arial"/>
                <w:sz w:val="20"/>
                <w:szCs w:val="20"/>
              </w:rPr>
              <w:t xml:space="preserve">BRD</w:t>
            </w:r>
          </w:p>
        </w:tc>
      </w:tr>
      <w:tr>
        <w:tc>
          <w:tcPr>
            <w:tcW w:type="dxa" w:w="2800"/>
            <w:tcBorders>
              <w:top w:val="single" w:color="C9D9ED" w:sz="1"/>
              <w:left w:val="single" w:color="C9D9ED" w:sz="1"/>
              <w:bottom w:val="single" w:color="C9D9ED" w:sz="1"/>
              <w:right w:val="single" w:color="C9D9ED"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9D9ED" w:sz="1"/>
              <w:left w:val="single" w:color="C9D9ED" w:sz="1"/>
              <w:bottom w:val="single" w:color="C9D9ED" w:sz="1"/>
              <w:right w:val="single" w:color="C9D9ED" w:sz="1"/>
            </w:tcBorders>
            <w:shd w:fill="F5F9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9D9ED" w:sz="1"/>
              <w:left w:val="single" w:color="C9D9ED" w:sz="1"/>
              <w:bottom w:val="single" w:color="C9D9ED" w:sz="1"/>
              <w:right w:val="single" w:color="C9D9ED"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9D9ED" w:sz="1"/>
              <w:left w:val="single" w:color="C9D9ED" w:sz="1"/>
              <w:bottom w:val="single" w:color="C9D9ED" w:sz="1"/>
              <w:right w:val="single" w:color="C9D9ED" w:sz="1"/>
            </w:tcBorders>
            <w:shd w:fill="FFFFFF" w:val="clear"/>
            <w:tcMar>
              <w:top w:type="dxa" w:w="80"/>
              <w:left w:type="dxa" w:w="120"/>
              <w:bottom w:type="dxa" w:w="80"/>
              <w:right w:type="dxa" w:w="120"/>
            </w:tcMar>
          </w:tcPr>
          <w:p>
            <w:r>
              <w:rPr>
                <w:rFonts w:ascii="Arial" w:cs="Arial" w:eastAsia="Arial" w:hAnsi="Arial"/>
                <w:sz w:val="20"/>
                <w:szCs w:val="20"/>
              </w:rPr>
              <w:t xml:space="preserve">2025-04-06</w:t>
            </w:r>
          </w:p>
        </w:tc>
      </w:tr>
      <w:tr>
        <w:tc>
          <w:tcPr>
            <w:tcW w:type="dxa" w:w="2800"/>
            <w:tcBorders>
              <w:top w:val="single" w:color="C9D9ED" w:sz="1"/>
              <w:left w:val="single" w:color="C9D9ED" w:sz="1"/>
              <w:bottom w:val="single" w:color="C9D9ED" w:sz="1"/>
              <w:right w:val="single" w:color="C9D9ED" w:sz="1"/>
            </w:tcBorders>
            <w:shd w:fill="EBF3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9D9ED" w:sz="1"/>
              <w:left w:val="single" w:color="C9D9ED" w:sz="1"/>
              <w:bottom w:val="single" w:color="C9D9ED" w:sz="1"/>
              <w:right w:val="single" w:color="C9D9ED" w:sz="1"/>
            </w:tcBorders>
            <w:shd w:fill="F5F9FF"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800"/>
            <w:tcBorders>
              <w:top w:val="single" w:color="C9D9ED" w:sz="1"/>
              <w:left w:val="single" w:color="C9D9ED" w:sz="1"/>
              <w:bottom w:val="single" w:color="C9D9ED" w:sz="1"/>
              <w:right w:val="single" w:color="C9D9ED" w:sz="1"/>
            </w:tcBorders>
            <w:shd w:fill="EBF3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560"/>
            <w:tcBorders>
              <w:top w:val="single" w:color="C9D9ED" w:sz="1"/>
              <w:left w:val="single" w:color="C9D9ED" w:sz="1"/>
              <w:bottom w:val="single" w:color="C9D9ED" w:sz="1"/>
              <w:right w:val="single" w:color="C9D9ED" w:sz="1"/>
            </w:tcBorders>
            <w:shd w:fill="FFFFFF" w:val="clear"/>
            <w:tcMar>
              <w:top w:type="dxa" w:w="80"/>
              <w:left w:type="dxa" w:w="120"/>
              <w:bottom w:type="dxa" w:w="80"/>
              <w:right w:type="dxa" w:w="120"/>
            </w:tcMar>
          </w:tcPr>
          <w:p>
            <w:r>
              <w:rPr>
                <w:rFonts w:ascii="Arial" w:cs="Arial" w:eastAsia="Arial" w:hAnsi="Arial"/>
                <w:sz w:val="20"/>
                <w:szCs w:val="20"/>
              </w:rPr>
              <w:t xml:space="preserve">OMS Engineering Team</w:t>
            </w:r>
          </w:p>
        </w:tc>
      </w:tr>
    </w:tbl>
    <w:p>
      <w:r>
        <w:br w:type="page"/>
      </w:r>
    </w:p>
    <w:p>
      <w:pPr>
        <w:pStyle w:val="Heading1"/>
      </w:pPr>
      <w:r>
        <w:t xml:space="preserve">1. Purpose</w:t>
      </w:r>
    </w:p>
    <w:p>
      <w:pPr>
        <w:spacing w:after="120"/>
        <w:jc w:val="left"/>
      </w:pPr>
      <w:r>
        <w:rPr>
          <w:rFonts w:ascii="Arial" w:cs="Arial" w:eastAsia="Arial" w:hAnsi="Arial"/>
          <w:b w:val="false"/>
          <w:bCs w:val="false"/>
          <w:i w:val="false"/>
          <w:iCs w:val="false"/>
          <w:sz w:val="22"/>
          <w:szCs w:val="22"/>
        </w:rPr>
        <w:t xml:space="preserve">The Inventory Service manages stock levels for all products. It reserves stock when an order is placed, releases it on cancellation, and deducts it on shipment. It enforces stock constraints to prevent overselling.</w:t>
      </w:r>
    </w:p>
    <w:p>
      <w:pPr>
        <w:pStyle w:val="Heading1"/>
      </w:pPr>
      <w:r>
        <w:t xml:space="preserve">2. Business Goals</w:t>
      </w:r>
    </w:p>
    <w:p>
      <w:pPr>
        <w:pStyle w:val="ListParagraph"/>
        <w:numPr>
          <w:ilvl w:val="0"/>
          <w:numId w:val="2"/>
        </w:numPr>
        <w:spacing w:after="60"/>
      </w:pPr>
      <w:r>
        <w:rPr>
          <w:rFonts w:ascii="Arial" w:cs="Arial" w:eastAsia="Arial" w:hAnsi="Arial"/>
          <w:sz w:val="22"/>
          <w:szCs w:val="22"/>
        </w:rPr>
        <w:t xml:space="preserve">Prevent overselling by atomically reserving stock on order placement</w:t>
      </w:r>
    </w:p>
    <w:p>
      <w:pPr>
        <w:pStyle w:val="ListParagraph"/>
        <w:numPr>
          <w:ilvl w:val="0"/>
          <w:numId w:val="2"/>
        </w:numPr>
        <w:spacing w:after="60"/>
      </w:pPr>
      <w:r>
        <w:rPr>
          <w:rFonts w:ascii="Arial" w:cs="Arial" w:eastAsia="Arial" w:hAnsi="Arial"/>
          <w:sz w:val="22"/>
          <w:szCs w:val="22"/>
        </w:rPr>
        <w:t xml:space="preserve">Release reservations on order cancellation or payment failure</w:t>
      </w:r>
    </w:p>
    <w:p>
      <w:pPr>
        <w:pStyle w:val="ListParagraph"/>
        <w:numPr>
          <w:ilvl w:val="0"/>
          <w:numId w:val="2"/>
        </w:numPr>
        <w:spacing w:after="60"/>
      </w:pPr>
      <w:r>
        <w:rPr>
          <w:rFonts w:ascii="Arial" w:cs="Arial" w:eastAsia="Arial" w:hAnsi="Arial"/>
          <w:sz w:val="22"/>
          <w:szCs w:val="22"/>
        </w:rPr>
        <w:t xml:space="preserve">Deduct confirmed stock on order shipment</w:t>
      </w:r>
    </w:p>
    <w:p>
      <w:pPr>
        <w:pStyle w:val="ListParagraph"/>
        <w:numPr>
          <w:ilvl w:val="0"/>
          <w:numId w:val="2"/>
        </w:numPr>
        <w:spacing w:after="60"/>
      </w:pPr>
      <w:r>
        <w:rPr>
          <w:rFonts w:ascii="Arial" w:cs="Arial" w:eastAsia="Arial" w:hAnsi="Arial"/>
          <w:sz w:val="22"/>
          <w:szCs w:val="22"/>
        </w:rPr>
        <w:t xml:space="preserve">Expose stock levels to the Product Catalog and Validation Agent</w:t>
      </w:r>
    </w:p>
    <w:p>
      <w:pPr>
        <w:pStyle w:val="Heading1"/>
      </w:pPr>
      <w:r>
        <w:t xml:space="preserve">3. Functional Requirements</w:t>
      </w:r>
    </w:p>
    <w:p>
      <w:pPr>
        <w:pStyle w:val="Heading2"/>
      </w:pPr>
      <w:r>
        <w:t xml:space="preserve">FR-INV-01 — Stock Reservation</w:t>
      </w:r>
    </w:p>
    <w:p>
      <w:pPr>
        <w:pStyle w:val="ListParagraph"/>
        <w:numPr>
          <w:ilvl w:val="0"/>
          <w:numId w:val="2"/>
        </w:numPr>
        <w:spacing w:after="60"/>
      </w:pPr>
      <w:r>
        <w:rPr>
          <w:rFonts w:ascii="Arial" w:cs="Arial" w:eastAsia="Arial" w:hAnsi="Arial"/>
          <w:sz w:val="22"/>
          <w:szCs w:val="22"/>
        </w:rPr>
        <w:t xml:space="preserve">Consume OrderPlacedEvent — reserve requested quantity</w:t>
      </w:r>
    </w:p>
    <w:p>
      <w:pPr>
        <w:pStyle w:val="ListParagraph"/>
        <w:numPr>
          <w:ilvl w:val="0"/>
          <w:numId w:val="2"/>
        </w:numPr>
        <w:spacing w:after="60"/>
      </w:pPr>
      <w:r>
        <w:rPr>
          <w:rFonts w:ascii="Arial" w:cs="Arial" w:eastAsia="Arial" w:hAnsi="Arial"/>
          <w:sz w:val="22"/>
          <w:szCs w:val="22"/>
        </w:rPr>
        <w:t xml:space="preserve">Publish InventoryReservedEvent on success</w:t>
      </w:r>
    </w:p>
    <w:p>
      <w:pPr>
        <w:pStyle w:val="ListParagraph"/>
        <w:numPr>
          <w:ilvl w:val="0"/>
          <w:numId w:val="2"/>
        </w:numPr>
        <w:spacing w:after="60"/>
      </w:pPr>
      <w:r>
        <w:rPr>
          <w:rFonts w:ascii="Arial" w:cs="Arial" w:eastAsia="Arial" w:hAnsi="Arial"/>
          <w:sz w:val="22"/>
          <w:szCs w:val="22"/>
        </w:rPr>
        <w:t xml:space="preserve">Publish InventoryInsufficientEvent if stock unavailable</w:t>
      </w:r>
    </w:p>
    <w:p>
      <w:pPr>
        <w:pStyle w:val="ListParagraph"/>
        <w:numPr>
          <w:ilvl w:val="0"/>
          <w:numId w:val="2"/>
        </w:numPr>
        <w:spacing w:after="60"/>
      </w:pPr>
      <w:r>
        <w:rPr>
          <w:rFonts w:ascii="Arial" w:cs="Arial" w:eastAsia="Arial" w:hAnsi="Arial"/>
          <w:sz w:val="22"/>
          <w:szCs w:val="22"/>
        </w:rPr>
        <w:t xml:space="preserve">Reservation held until PaymentConfirmed or OrderCancelled</w:t>
      </w:r>
    </w:p>
    <w:p>
      <w:pPr>
        <w:pStyle w:val="Heading2"/>
      </w:pPr>
      <w:r>
        <w:t xml:space="preserve">FR-INV-02 — Stock Management</w:t>
      </w:r>
    </w:p>
    <w:p>
      <w:pPr>
        <w:pStyle w:val="ListParagraph"/>
        <w:numPr>
          <w:ilvl w:val="0"/>
          <w:numId w:val="2"/>
        </w:numPr>
        <w:spacing w:after="60"/>
      </w:pPr>
      <w:r>
        <w:rPr>
          <w:rFonts w:ascii="Arial" w:cs="Arial" w:eastAsia="Arial" w:hAnsi="Arial"/>
          <w:sz w:val="22"/>
          <w:szCs w:val="22"/>
        </w:rPr>
        <w:t xml:space="preserve">REST API for admins to add, adjust, and view stock levels</w:t>
      </w:r>
    </w:p>
    <w:p>
      <w:pPr>
        <w:pStyle w:val="ListParagraph"/>
        <w:numPr>
          <w:ilvl w:val="0"/>
          <w:numId w:val="2"/>
        </w:numPr>
        <w:spacing w:after="60"/>
      </w:pPr>
      <w:r>
        <w:rPr>
          <w:rFonts w:ascii="Arial" w:cs="Arial" w:eastAsia="Arial" w:hAnsi="Arial"/>
          <w:sz w:val="22"/>
          <w:szCs w:val="22"/>
        </w:rPr>
        <w:t xml:space="preserve">Stock level visible on product detail (public read)</w:t>
      </w:r>
    </w:p>
    <w:p>
      <w:pPr>
        <w:pStyle w:val="ListParagraph"/>
        <w:numPr>
          <w:ilvl w:val="0"/>
          <w:numId w:val="2"/>
        </w:numPr>
        <w:spacing w:after="60"/>
      </w:pPr>
      <w:r>
        <w:rPr>
          <w:rFonts w:ascii="Arial" w:cs="Arial" w:eastAsia="Arial" w:hAnsi="Arial"/>
          <w:sz w:val="22"/>
          <w:szCs w:val="22"/>
        </w:rPr>
        <w:t xml:space="preserve">Low stock threshold alert published to Kafka</w:t>
      </w:r>
    </w:p>
    <w:p>
      <w:pPr>
        <w:pStyle w:val="Heading1"/>
      </w:pPr>
      <w: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9ED" w:sz="1"/>
              <w:left w:val="single" w:color="C9D9ED" w:sz="1"/>
              <w:bottom w:val="single" w:color="C9D9ED" w:sz="1"/>
              <w:right w:val="single" w:color="C9D9E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9D9ED" w:sz="1"/>
              <w:left w:val="single" w:color="C9D9ED" w:sz="1"/>
              <w:bottom w:val="single" w:color="C9D9ED" w:sz="1"/>
              <w:right w:val="single" w:color="C9D9E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4680"/>
            <w:tcBorders>
              <w:top w:val="single" w:color="C9D9ED" w:sz="1"/>
              <w:left w:val="single" w:color="C9D9ED" w:sz="1"/>
              <w:bottom w:val="single" w:color="C9D9ED" w:sz="1"/>
              <w:right w:val="single" w:color="C9D9ED" w:sz="1"/>
            </w:tcBorders>
            <w:shd w:fill="FFFFFF"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4680"/>
            <w:tcBorders>
              <w:top w:val="single" w:color="C9D9ED" w:sz="1"/>
              <w:left w:val="single" w:color="C9D9ED" w:sz="1"/>
              <w:bottom w:val="single" w:color="C9D9ED" w:sz="1"/>
              <w:right w:val="single" w:color="C9D9ED" w:sz="1"/>
            </w:tcBorders>
            <w:shd w:fill="FFFFFF" w:val="clear"/>
            <w:tcMar>
              <w:top w:type="dxa" w:w="80"/>
              <w:left w:type="dxa" w:w="120"/>
              <w:bottom w:type="dxa" w:w="80"/>
              <w:right w:type="dxa" w:w="120"/>
            </w:tcMar>
          </w:tcPr>
          <w:p>
            <w:r>
              <w:rPr>
                <w:rFonts w:ascii="Arial" w:cs="Arial" w:eastAsia="Arial" w:hAnsi="Arial"/>
                <w:sz w:val="20"/>
                <w:szCs w:val="20"/>
              </w:rPr>
              <w:t xml:space="preserve">Pessimistic lock on stock reservation to prevent race conditions</w:t>
            </w:r>
          </w:p>
        </w:tc>
      </w:tr>
      <w:tr>
        <w:tc>
          <w:tcPr>
            <w:tcW w:type="dxa" w:w="4680"/>
            <w:tcBorders>
              <w:top w:val="single" w:color="C9D9ED" w:sz="1"/>
              <w:left w:val="single" w:color="C9D9ED" w:sz="1"/>
              <w:bottom w:val="single" w:color="C9D9ED" w:sz="1"/>
              <w:right w:val="single" w:color="C9D9ED" w:sz="1"/>
            </w:tcBorders>
            <w:shd w:fill="F5F9FF"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4680"/>
            <w:tcBorders>
              <w:top w:val="single" w:color="C9D9ED" w:sz="1"/>
              <w:left w:val="single" w:color="C9D9ED" w:sz="1"/>
              <w:bottom w:val="single" w:color="C9D9ED" w:sz="1"/>
              <w:right w:val="single" w:color="C9D9ED" w:sz="1"/>
            </w:tcBorders>
            <w:shd w:fill="F5F9FF" w:val="clear"/>
            <w:tcMar>
              <w:top w:type="dxa" w:w="80"/>
              <w:left w:type="dxa" w:w="120"/>
              <w:bottom w:type="dxa" w:w="80"/>
              <w:right w:type="dxa" w:w="120"/>
            </w:tcMar>
          </w:tcPr>
          <w:p>
            <w:r>
              <w:rPr>
                <w:rFonts w:ascii="Arial" w:cs="Arial" w:eastAsia="Arial" w:hAnsi="Arial"/>
                <w:sz w:val="20"/>
                <w:szCs w:val="20"/>
              </w:rPr>
              <w:t xml:space="preserve">Duplicate OrderPlacedEvent consumption is a no-op</w:t>
            </w:r>
          </w:p>
        </w:tc>
      </w:tr>
      <w:tr>
        <w:tc>
          <w:tcPr>
            <w:tcW w:type="dxa" w:w="4680"/>
            <w:tcBorders>
              <w:top w:val="single" w:color="C9D9ED" w:sz="1"/>
              <w:left w:val="single" w:color="C9D9ED" w:sz="1"/>
              <w:bottom w:val="single" w:color="C9D9ED" w:sz="1"/>
              <w:right w:val="single" w:color="C9D9ED" w:sz="1"/>
            </w:tcBorders>
            <w:shd w:fill="FFFFFF" w:val="clear"/>
            <w:tcMar>
              <w:top w:type="dxa" w:w="80"/>
              <w:left w:type="dxa" w:w="120"/>
              <w:bottom w:type="dxa" w:w="80"/>
              <w:right w:type="dxa" w:w="120"/>
            </w:tcMar>
          </w:tcPr>
          <w:p>
            <w:r>
              <w:rPr>
                <w:rFonts w:ascii="Arial" w:cs="Arial" w:eastAsia="Arial" w:hAnsi="Arial"/>
                <w:sz w:val="20"/>
                <w:szCs w:val="20"/>
              </w:rPr>
              <w:t xml:space="preserve">Auditability</w:t>
            </w:r>
          </w:p>
        </w:tc>
        <w:tc>
          <w:tcPr>
            <w:tcW w:type="dxa" w:w="4680"/>
            <w:tcBorders>
              <w:top w:val="single" w:color="C9D9ED" w:sz="1"/>
              <w:left w:val="single" w:color="C9D9ED" w:sz="1"/>
              <w:bottom w:val="single" w:color="C9D9ED" w:sz="1"/>
              <w:right w:val="single" w:color="C9D9ED" w:sz="1"/>
            </w:tcBorders>
            <w:shd w:fill="FFFFFF" w:val="clear"/>
            <w:tcMar>
              <w:top w:type="dxa" w:w="80"/>
              <w:left w:type="dxa" w:w="120"/>
              <w:bottom w:type="dxa" w:w="80"/>
              <w:right w:type="dxa" w:w="120"/>
            </w:tcMar>
          </w:tcPr>
          <w:p>
            <w:r>
              <w:rPr>
                <w:rFonts w:ascii="Arial" w:cs="Arial" w:eastAsia="Arial" w:hAnsi="Arial"/>
                <w:sz w:val="20"/>
                <w:szCs w:val="20"/>
              </w:rPr>
              <w:t xml:space="preserve">Every stock movement recorded in stock_movements table</w:t>
            </w:r>
          </w:p>
        </w:tc>
      </w:tr>
    </w:tbl>
    <w:p>
      <w:pPr>
        <w:pStyle w:val="Heading1"/>
      </w:pPr>
      <w:r>
        <w:t xml:space="preserve">5. Acceptance Criteria</w:t>
      </w:r>
    </w:p>
    <w:p>
      <w:pPr>
        <w:pStyle w:val="ListParagraph"/>
        <w:numPr>
          <w:ilvl w:val="0"/>
          <w:numId w:val="3"/>
        </w:numPr>
        <w:spacing w:after="60"/>
      </w:pPr>
      <w:r>
        <w:rPr>
          <w:rFonts w:ascii="Arial" w:cs="Arial" w:eastAsia="Arial" w:hAnsi="Arial"/>
          <w:sz w:val="22"/>
          <w:szCs w:val="22"/>
        </w:rPr>
        <w:t xml:space="preserve">OrderPlacedEvent with qty &gt; available stock results in InventoryInsufficientEvent</w:t>
      </w:r>
    </w:p>
    <w:p>
      <w:pPr>
        <w:pStyle w:val="ListParagraph"/>
        <w:numPr>
          <w:ilvl w:val="0"/>
          <w:numId w:val="3"/>
        </w:numPr>
        <w:spacing w:after="60"/>
      </w:pPr>
      <w:r>
        <w:rPr>
          <w:rFonts w:ascii="Arial" w:cs="Arial" w:eastAsia="Arial" w:hAnsi="Arial"/>
          <w:sz w:val="22"/>
          <w:szCs w:val="22"/>
        </w:rPr>
        <w:t xml:space="preserve">Concurrent orders for last unit — only one succeeds, other gets InsufficientEvent</w:t>
      </w:r>
    </w:p>
    <w:p>
      <w:pPr>
        <w:pStyle w:val="ListParagraph"/>
        <w:numPr>
          <w:ilvl w:val="0"/>
          <w:numId w:val="3"/>
        </w:numPr>
        <w:spacing w:after="60"/>
      </w:pPr>
      <w:r>
        <w:rPr>
          <w:rFonts w:ascii="Arial" w:cs="Arial" w:eastAsia="Arial" w:hAnsi="Arial"/>
          <w:sz w:val="22"/>
          <w:szCs w:val="22"/>
        </w:rPr>
        <w:t xml:space="preserve">OrderCancelledEvent restores reserved quantity to available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9E75"/>
      <w:sz w:val="24"/>
      <w:szCs w:val="24"/>
    </w:rPr>
  </w:style>
  <w:style w:type="paragraph" w:styleId="Normal">
    <w:name w:val="Normal"/>
    <w:pPr>
      <w:spacing w:after="120" w:line="276" w:lineRule="auto"/>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2026-04-06T20:53:40.705Z</dcterms:created>
  <dcterms:modified xsi:type="dcterms:W3CDTF">2026-04-06T20:53:40.705Z</dcterms:modified>
</cp:coreProperties>
</file>

<file path=docProps/custom.xml><?xml version="1.0" encoding="utf-8"?>
<Properties xmlns="http://schemas.openxmlformats.org/officeDocument/2006/custom-properties" xmlns:vt="http://schemas.openxmlformats.org/officeDocument/2006/docPropsVTypes"/>
</file>