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ORDER MANAGEMENT SYSTEM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Notification Service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F5E5A"/>
          <w:sz w:val="28"/>
          <w:szCs w:val="28"/>
        </w:rPr>
        <w:t xml:space="preserve">notification-service — Low-Level Design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LLD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2025-04-06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 Engineering Team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Package Structure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com.oms.notification.consumer  — OrderEventConsumer, PaymentEventConsumer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com.oms.notification.sender    — EmailSender (interface), SmtpEmailSender, ConsoleEmailSender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com.oms.notification.template  — EmailTemplateService (Thymeleaf)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com.oms.notification.config    — MailConfig, KafkaConsumerConfig</w:t>
      </w:r>
    </w:p>
    <w:p>
      <w:pPr>
        <w:pStyle w:val="Heading1"/>
      </w:pPr>
      <w:r>
        <w:t xml:space="preserve">2. Key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OrderEventConsumer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@KafkaListener on orders.placed, orders.shipped, orders.cancelled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PaymentEventConsumer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@KafkaListener on payment.confirmed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EmailSender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send(to, subject, body) — implemented by SMTP or Console variant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ConsoleEmailSender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(@Profile local)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email content to SLF4J — no SMTP needed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SmtpEmailSender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(@Profile prod)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real email via JavaMailSender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EmailTemplateService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Renders Thymeleaf templates to HTML strings</w:t>
            </w:r>
          </w:p>
        </w:tc>
      </w:tr>
    </w:tbl>
    <w:p>
      <w:pPr>
        <w:pStyle w:val="Heading1"/>
      </w:pPr>
      <w:r>
        <w:t xml:space="preserve">3. Database Schema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 database. If notification history is needed in future, add a notifications table with (id, recipient_email, event_type, sent_at, status).</w:t>
      </w:r>
    </w:p>
    <w:p>
      <w:pPr>
        <w:pStyle w:val="Heading1"/>
      </w:pPr>
      <w:r>
        <w:t xml:space="preserve">4. Configuration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spring.kafka.consumer.group-id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oms-notification-group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consumer group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spring.kafka.bootstrap-servers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kafka:9092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broker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spring.mail.host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smtp.example.com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host (prod profile only)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notification.from-email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noreply@oms.com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Sender email address</w:t>
            </w:r>
          </w:p>
        </w:tc>
      </w:tr>
    </w:tbl>
    <w:p>
      <w:pPr>
        <w:pStyle w:val="Heading1"/>
      </w:pPr>
      <w:r>
        <w:t xml:space="preserve">5.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NOT-001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dispatch failed — logged, event requeued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NOT-002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 event type — logged and skipped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D9E75"/>
      <w:sz w:val="24"/>
      <w:szCs w:val="24"/>
    </w:rPr>
  </w:style>
  <w:style w:type="paragraph" w:styleId="Normal">
    <w:name w:val="Normal"/>
    <w:pPr>
      <w:spacing w:after="120" w:line="276" w:lineRule="auto"/>
    </w:pPr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2026-04-06T20:53:40.736Z</dcterms:created>
  <dcterms:modified xsi:type="dcterms:W3CDTF">2026-04-06T20:53:40.736Z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