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ORDER MANAGEMENT SYSTEM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High-Level Design Document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F5E5A"/>
          <w:sz w:val="28"/>
          <w:szCs w:val="28"/>
        </w:rPr>
        <w:t xml:space="preserve">Root — System Architecture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HLD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2025-04-06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 Engineering Team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Architecture Overview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The OMS uses a microservices architecture with an event-driven backbone. All services are deployed as Docker containers, communicating internally via REST and Kafka. Spring Cloud Gateway is the single public entry point. Keycloak provides identity and access management.</w:t>
      </w:r>
    </w:p>
    <w:p>
      <w:pPr>
        <w:pStyle w:val="Heading1"/>
      </w:pPr>
      <w:r>
        <w:t xml:space="preserve">2. System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UI — Chat, Dashboard, Admin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18, TypeScript, Tailwind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Cloud Gateway + JWT validation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Cloud Gateway 2023.x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/ Agent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AI agents with @Tool MCP tools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AI 1.x, Claude API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Order, Payment, Inventory, Product services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3.3, Java 21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Messaging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event bus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Kafka 3.x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Relational, Document, Vector, Cache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16, MongoDB 7, pgvector, Redis 7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server, user store, audit log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Keycloak 24</w:t>
            </w:r>
          </w:p>
        </w:tc>
      </w:tr>
    </w:tbl>
    <w:p>
      <w:pPr>
        <w:pStyle w:val="Heading1"/>
      </w:pPr>
      <w:r>
        <w:t xml:space="preserve">3. Service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Store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8080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Routing, JWT validation, CORS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agent-service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8085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orchestration, MCP tools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(ChatMemory)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order-service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8081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CRUD, state machine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payment-service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8082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payment, ledger, refunds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inventory-service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8083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management, reservations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product-service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8084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catalog, RAG embeddings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+ pgvector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notification-service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8086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/ webhook notifications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(event consumer)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keycloak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8180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Identity, auth, login audit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react-ui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and admin frontend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</w:pPr>
      <w:r>
        <w:t xml:space="preserve">4. Key Design Decisions</w:t>
      </w:r>
    </w:p>
    <w:p>
      <w:pPr>
        <w:pStyle w:val="Heading2"/>
      </w:pPr>
      <w:r>
        <w:t xml:space="preserve">4.1 Single Git Repo — Multi-Module Gradle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All services live in one IntelliJ project with Gradle submodules. This simplifies dependency management, enables shared libraries, and is ideal for learning.</w:t>
      </w:r>
    </w:p>
    <w:p>
      <w:pPr>
        <w:pStyle w:val="Heading2"/>
      </w:pPr>
      <w:r>
        <w:t xml:space="preserve">4.2 Event-Driven Saga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Order placement triggers a Kafka saga: OrderPlaced → InventoryReserved → PaymentInitiated → PaymentConfirmed → OrderConfirmed. Each step is a separate Kafka topic. Failure at any step publishes a compensating event.</w:t>
      </w:r>
    </w:p>
    <w:p>
      <w:pPr>
        <w:pStyle w:val="Heading2"/>
      </w:pPr>
      <w:r>
        <w:t xml:space="preserve">4.3 MCP via Spring AI @Tool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MCP tool definitions are Java methods annotated with @Tool inside agent-service. Spring AI registers them with Claude automatically. No separate MCP server process is needed.</w:t>
      </w:r>
    </w:p>
    <w:p>
      <w:pPr>
        <w:pStyle w:val="Heading2"/>
      </w:pPr>
      <w:r>
        <w:t xml:space="preserve">4.4 RAG with pgvector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Product embeddings are stored in PostgreSQL with the pgvector extension. The Product Agent embeds the user query and runs cosine similarity search to retrieve relevant products before calling Claude.</w:t>
      </w:r>
    </w:p>
    <w:p>
      <w:pPr>
        <w:pStyle w:val="Heading2"/>
      </w:pPr>
      <w:r>
        <w:t xml:space="preserve">4.5 Public Product Browsing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The /api/products/** route in the Gateway is permitAll(). Authenticated users get personalised results. Guests see the full catalog but cannot order.</w:t>
      </w:r>
    </w:p>
    <w:p>
      <w:pPr>
        <w:pStyle w:val="Heading1"/>
      </w:pPr>
      <w:r>
        <w:t xml:space="preserve">5. Kafka Topic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Producer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Consumer(s)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oms.orders.placed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order-service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inventory-service, payment-service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order created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oms.inventory.reserved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inventory-service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payment-service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confirmed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oms.payment.initiated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payment-service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payment-service (async)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in progress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oms.payment.confirmed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payment-service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order-service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success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oms.payment.failed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payment-service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order-service, inventory-service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Compensate saga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oms.orders.shipped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order-service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notification-service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email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oms.orders.cancelled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order-service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inventory-service, notification-service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stock</w:t>
            </w:r>
          </w:p>
        </w:tc>
      </w:tr>
    </w:tbl>
    <w:p>
      <w:pPr>
        <w:pStyle w:val="Heading1"/>
      </w:pPr>
      <w:r>
        <w:t xml:space="preserve">6. Security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Keycloak realm: oms — issues JWTs for all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react-ui client: public, PKCE, directAccessGrants enabled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Gateway validates JWT on every request using Keycloak public key (auto-fetched)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TokenRelay filter forwards JWT to downstream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microservice validates the forwarded JWT independently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@PreAuthorize annotations enforce role-based access at method level</w:t>
      </w:r>
    </w:p>
    <w:p>
      <w:pPr>
        <w:pStyle w:val="Heading1"/>
      </w:pPr>
      <w:r>
        <w:t xml:space="preserve">7. Observability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Actuator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per-service /actuator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Health, metrics, httptrace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9090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 scraping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3001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Dashboards — latency, throughput, errors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Kafdrop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9000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topic and consumer group viewer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Keycloak Console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8180/admin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management, login event log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D9E75"/>
      <w:sz w:val="24"/>
      <w:szCs w:val="24"/>
    </w:rPr>
  </w:style>
  <w:style w:type="paragraph" w:styleId="Normal">
    <w:name w:val="Normal"/>
    <w:pPr>
      <w:spacing w:after="120" w:line="276" w:lineRule="auto"/>
    </w:pPr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2026-04-06T20:41:55.081Z</dcterms:created>
  <dcterms:modified xsi:type="dcterms:W3CDTF">2026-04-06T20:41:55.081Z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