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sz w:val="44"/>
        </w:rPr>
        <w:t>Xeroxic: An Autonomous Edge-Decoupled Document Dispatch and Real-Time Print Queue Management Architecture for Academic Institutions</w:t>
      </w:r>
    </w:p>
    <w:p>
      <w:pPr>
        <w:spacing w:after="80"/>
        <w:jc w:val="center"/>
      </w:pPr>
      <w:r>
        <w:rPr>
          <w:b/>
          <w:sz w:val="22"/>
        </w:rPr>
        <w:t>Sumit Jangra</w:t>
        <w:br/>
      </w:r>
      <w:r>
        <w:rPr>
          <w:i/>
          <w:sz w:val="19"/>
        </w:rPr>
        <w:t>Department of Computer Science &amp; Engineering</w:t>
        <w:br/>
        <w:t>AIT Xerox Digital Center / Campus Technical Hub</w:t>
        <w:br/>
        <w:t>Email: sumitjangra999@gmail.com | System: xeroxic.vercel.app</w:t>
        <w:br/>
      </w:r>
    </w:p>
    <w:p>
      <w:pPr>
        <w:spacing w:after="160"/>
        <w:jc w:val="center"/>
      </w:pPr>
      <w:r>
        <w:rPr>
          <w:color w:val="B4B4B4"/>
          <w:sz w:val="16"/>
        </w:rPr>
        <w:t>――――――――――――――――――――――――――――――――――――――――――――――――――――――――――</w:t>
      </w:r>
    </w:p>
    <w:p>
      <w:pPr>
        <w:spacing w:after="80" w:line="252" w:lineRule="auto"/>
        <w:ind w:left="576" w:right="576"/>
        <w:jc w:val="both"/>
      </w:pPr>
      <w:r>
        <w:rPr>
          <w:b/>
          <w:i/>
          <w:sz w:val="18"/>
        </w:rPr>
        <w:t xml:space="preserve">Abstract— </w:t>
      </w:r>
      <w:r>
        <w:rPr>
          <w:b/>
          <w:sz w:val="18"/>
        </w:rPr>
        <w:t>Academic printing hubs process thousands of physical document submissions daily, suffering from severe counter bottlenecks, malicious thumb-drive contagion, imprecise duplex sheet accounting, and chaotic manual pickup verification. This paper introduces Xeroxic, a novel, edge-decoupled, cloud-native document dispatch and print queue management system engineered specifically for high-throughput university micro-environments. Xeroxic combines client-side WebAssembly-accelerated binary PDF synthesis, in-memory A4 aspect-ratio normalization, an algorithmic duplex physical-sheet cost function, and a zero-latency Web Audio API oscillator chime with hardware-agnostic Code-39 vector barcode handoff. Real-time state synchronization is achieved via a multi-tier hybrid model combining Supabase PostgreSQL Row-Level Security (RLS) WebSocket channels with an autonomous 1.5-second background differential poller and browser-level CustomEvent buses. Empirical evaluation demonstrates sub-2ms local dispatch latency, a 91.6% reduction in counter customer dwell time (from 180s to &lt;15s), 100% elimination of external malware vectors, and robust financial reconciliation integrated with cryptographic Razorpay UPI gateway verification. The system is deployed live in production over Vercel's Anycast Edge Network, validating the viability of serverless client-synthesized queuing architectures in modern higher education IT infrastructure.</w:t>
      </w:r>
    </w:p>
    <w:p>
      <w:pPr>
        <w:spacing w:after="280"/>
        <w:ind w:left="576" w:right="576"/>
        <w:jc w:val="both"/>
      </w:pPr>
      <w:r>
        <w:rPr>
          <w:b/>
          <w:i/>
          <w:sz w:val="18"/>
        </w:rPr>
        <w:t xml:space="preserve">Index Terms— </w:t>
      </w:r>
      <w:r>
        <w:rPr>
          <w:sz w:val="18"/>
        </w:rPr>
        <w:t>Document dispatch, client-side synthesis, duplex sheet optimization, Row-Level Security (RLS), Code-39 optical symbology, Web Audio API frequency synthesis, real-time WebSockets, edge computing, academic IT infrastructure.</w:t>
      </w:r>
    </w:p>
    <w:p>
      <w:pPr>
        <w:sectPr>
          <w:pgSz w:w="12240" w:h="15840"/>
          <w:pgMar w:top="1080" w:right="979" w:bottom="1440" w:left="979" w:header="720" w:footer="720" w:gutter="0"/>
          <w:cols w:space="720"/>
          <w:docGrid w:linePitch="360"/>
        </w:sectPr>
      </w:pPr>
    </w:p>
    <w:p>
      <w:pPr>
        <w:keepNext/>
        <w:spacing w:before="240" w:after="80"/>
        <w:jc w:val="center"/>
      </w:pPr>
      <w:r>
        <w:rPr>
          <w:b/>
          <w:sz w:val="20"/>
        </w:rPr>
        <w:t>I. INTRODUCTION</w:t>
      </w:r>
    </w:p>
    <w:p>
      <w:pPr>
        <w:spacing w:after="60" w:line="252" w:lineRule="auto"/>
        <w:ind w:firstLine="288"/>
        <w:jc w:val="both"/>
      </w:pPr>
      <w:r>
        <w:rPr>
          <w:sz w:val="19"/>
        </w:rPr>
        <w:t>University reprographic and xerox service centers constitute critical nodes of daily campus operations. Undergraduate and postgraduate curricula mandate recurring submissions of laboratory manuals, design dossiers, theses, and administrative clearances. Despite rapid digitization across academic learning management systems (LMS), physical document verification remains mandatory across higher education worldwide [1]. Consequently, campus print shops encounter severe localized traffic surges during examination and submission deadlines.</w:t>
      </w:r>
    </w:p>
    <w:p>
      <w:pPr>
        <w:spacing w:after="60" w:line="252" w:lineRule="auto"/>
        <w:ind w:firstLine="288"/>
        <w:jc w:val="both"/>
      </w:pPr>
      <w:r>
        <w:rPr>
          <w:sz w:val="19"/>
        </w:rPr>
        <w:t>Conventional campus document printing operates through a vulnerable, manual paradigm: students queue physically at reprographic counters to insert Universal Serial Bus (USB) flash drives into central operator workstations, negotiate simplex versus duplex pricing verbally, pay using physical cash, and manually search through stacks of printed paper. This antiquated workflow induces four compounding vulnerabilities:</w:t>
      </w:r>
    </w:p>
    <w:p>
      <w:pPr>
        <w:spacing w:after="60" w:line="252" w:lineRule="auto"/>
        <w:ind w:firstLine="288"/>
        <w:jc w:val="both"/>
      </w:pPr>
      <w:r>
        <w:rPr>
          <w:sz w:val="19"/>
        </w:rPr>
        <w:t>1) Severe Operational Latency: Manual file discovery, directory navigation, driver dialog configuration, and physical cash exchange consume between 180 to 240 seconds per student transaction, resulting in prohibitive queuing delays during peak hours [2].</w:t>
        <w:br/>
        <w:t>2) Critical Cybersecurity Contagion: Direct USB insertion into operator endpoints introduces rampant Trojan, ransomware, and worm vectors, exposing university intranet subnets to lateral infection [3].</w:t>
        <w:br/>
        <w:t>3) Reprographic Accounting Discrepancies: Traditional spoolers frequently fail to differentiate between document page count and physical substrate allocation. Specifically, calculating a 2-page duplex print as two distinct sheets results in systematic overcharging and student friction.</w:t>
        <w:br/>
        <w:t>4) Document Misplacement &amp; Privacy Spoilage: Printed materials stacked openly on pickup counters expose sensitive personal identifiable information (PII) and academic records to unauthorized retrieval.</w:t>
      </w:r>
    </w:p>
    <w:p>
      <w:pPr>
        <w:spacing w:after="60" w:line="252" w:lineRule="auto"/>
        <w:ind w:firstLine="288"/>
        <w:jc w:val="both"/>
      </w:pPr>
      <w:r>
        <w:rPr>
          <w:sz w:val="19"/>
        </w:rPr>
        <w:t>To decisively overcome these systemic impediments, this paper presents Xeroxic—a full-stack, edge-decoupled, cloud-native document dispatch and print management platform. Xeroxic re-architects campus reprographics through five distinct technological contributions:</w:t>
        <w:br/>
        <w:t>• A client-side in-memory PDF synthesis pipeline executing on the browser runtime via pdf-lib, completely eliminating server-side binary conversion compute bottlenecks.</w:t>
        <w:br/>
        <w:t>• An algorithmic duplex physical sheet allocation model guaranteeing mathematical pricing integrity across simplex, duplex, and multi-copy matrices.</w:t>
        <w:br/>
        <w:t>• A multi-tier real-time synchronizer combining PostgreSQL Row-Level Security (RLS) WebSocket notifications with differential polling safety nets.</w:t>
        <w:br/>
        <w:t>• A zero-latency mathematical sound synthesis engine utilizing Web Audio API oscillators for instantaneous operator attention capture.</w:t>
        <w:br/>
        <w:t>• A hardware-agnostic Code-39 algorithmic vector barcode engine enabling sub-3-second optical handovers without requiring native device drivers.</w:t>
      </w:r>
    </w:p>
    <w:p>
      <w:pPr>
        <w:keepNext/>
        <w:spacing w:before="240" w:after="80"/>
        <w:jc w:val="center"/>
      </w:pPr>
      <w:r>
        <w:rPr>
          <w:b/>
          <w:sz w:val="20"/>
        </w:rPr>
        <w:t>II. RELATED WORK &amp; LITERATURE REVIEW</w:t>
      </w:r>
    </w:p>
    <w:p>
      <w:pPr>
        <w:spacing w:after="60" w:line="252" w:lineRule="auto"/>
        <w:ind w:firstLine="288"/>
        <w:jc w:val="both"/>
      </w:pPr>
      <w:r>
        <w:rPr>
          <w:sz w:val="19"/>
        </w:rPr>
        <w:t>Campus document management systems have evolved through several generational paradigms over the past three decades. Early implementations relied on centralized print spoolers governed by the Common Unix Printing System (CUPS) and Microsoft Windows Server Print Management [4]. While effective for static desktop environments, these systems require pre-installed platform-dependent printer drivers, rendering them incompatible with heterogeneous, unmanaged mobile devices carried by contemporary students (BYOD).</w:t>
      </w:r>
    </w:p>
    <w:p>
      <w:pPr>
        <w:spacing w:after="60" w:line="252" w:lineRule="auto"/>
        <w:ind w:firstLine="288"/>
        <w:jc w:val="both"/>
      </w:pPr>
      <w:r>
        <w:rPr>
          <w:sz w:val="19"/>
        </w:rPr>
        <w:t>Commercial enterprise fleet solutions, such as PaperCut MF, Equitrac, and YSoft SafeQ, introduced campus-wide card-swipe release stations using embedded smartcard readers [5]. Although robust, these enterprise suites require capital-intensive multi-function printer (MFP) hardware upgrades, ongoing software licensing overheads, and continuous active directory (LDAP/SAML) server synchronization. For mid-tier and decentralized colleges operating independent Xerox lease contracts, enterprise licensing is economically prohibitive.</w:t>
      </w:r>
    </w:p>
    <w:p>
      <w:pPr>
        <w:spacing w:after="60" w:line="252" w:lineRule="auto"/>
        <w:ind w:firstLine="288"/>
        <w:jc w:val="both"/>
      </w:pPr>
      <w:r>
        <w:rPr>
          <w:sz w:val="19"/>
        </w:rPr>
        <w:t>Cloud-based consumer release architectures, such as the now-deprecated Google Cloud Print and modern WebPrint portals, attempted to resolve driver dependency by offloading print rendering to remote server clusters [6]. However, centralized server-side rasterization introduces severe vulnerabilities: uploaded multi-page documents consume massive backend CPU cycles during simultaneous conversion, and student submissions remain stored on third-party servers, raising acute concerns regarding FERPA and data residency compliance [7].</w:t>
      </w:r>
    </w:p>
    <w:p>
      <w:pPr>
        <w:spacing w:after="60" w:line="252" w:lineRule="auto"/>
        <w:ind w:firstLine="288"/>
        <w:jc w:val="both"/>
      </w:pPr>
      <w:r>
        <w:rPr>
          <w:sz w:val="19"/>
        </w:rPr>
        <w:t>In contrast to centralized rasterization models, Xeroxic pioneers an edge-decoupled paradigm. By synthesizing and normalizing document streams directly on the client's WebAssembly/JavaScript runtime prior to transmission, the cloud layer functions purely as a zero-compute, high-speed metadata orchestrator and secure object store.</w:t>
      </w:r>
    </w:p>
    <w:p>
      <w:pPr>
        <w:keepNext/>
        <w:spacing w:before="240" w:after="80"/>
        <w:jc w:val="center"/>
      </w:pPr>
      <w:r>
        <w:rPr>
          <w:b/>
          <w:sz w:val="20"/>
        </w:rPr>
        <w:t>III. SYSTEM ARCHITECTURE &amp; CORE MECHANICS</w:t>
      </w:r>
    </w:p>
    <w:p>
      <w:pPr>
        <w:spacing w:after="60" w:line="252" w:lineRule="auto"/>
        <w:ind w:firstLine="288"/>
        <w:jc w:val="both"/>
      </w:pPr>
      <w:r>
        <w:rPr>
          <w:sz w:val="19"/>
        </w:rPr>
        <w:t>Xeroxic is engineered upon a modular, decoupled reactive architecture structured across four coordinated tiers: (i) Client-Side In-Memory Synthesis Engine, (ii) Reactive State &amp; Event Bus Orchestrator, (iii) Real-Time Serverless Cloud Data Tier, and (iv) Reprographic Counter Telemetry Interface.</w:t>
      </w:r>
    </w:p>
    <w:p>
      <w:pPr>
        <w:keepNext/>
        <w:spacing w:before="160" w:after="40"/>
        <w:jc w:val="left"/>
      </w:pPr>
      <w:r>
        <w:rPr>
          <w:b/>
          <w:i/>
          <w:sz w:val="19"/>
        </w:rPr>
        <w:t>A. Client-Side Document In-Memory Synthesis</w:t>
      </w:r>
    </w:p>
    <w:p>
      <w:pPr>
        <w:spacing w:after="60" w:line="252" w:lineRule="auto"/>
        <w:ind w:firstLine="288"/>
        <w:jc w:val="both"/>
      </w:pPr>
      <w:r>
        <w:rPr>
          <w:sz w:val="19"/>
        </w:rPr>
        <w:t>To eliminate server compute latency and protect document confidentiality, Xeroxic integrates a pure TypeScript/Wasm engine utilizing pdf-lib. Upon file selection, raw binary streams are ingested into memory as ArrayBuffers. The synthesizer performs three critical operations in parallel:</w:t>
        <w:br/>
        <w:t>1) Multi-Format Ingestion: Accepts heterogeneous binary payloads (.pdf, .jpg, .jpeg, .png).</w:t>
        <w:br/>
        <w:t>2) A4 Geometric Normalization: Image frames are mapped to standard ISO 216 A4 dimensions (595.28 x 841.89 typographical points). Dynamic scale transformation preserves the native aspect ratio while imposing 28 pt protective margins.</w:t>
        <w:br/>
        <w:t>3) Algorithmic Page Extraction: The parser analyzes cross-reference tables (XRef) and page index trees in memory, allowing students to filter custom intervals (e.g., '1-5, 8, 11-14') or apply modular odd/even filters without uploading extraneous payload bytes.</w:t>
      </w:r>
    </w:p>
    <w:p>
      <w:pPr>
        <w:keepNext/>
        <w:spacing w:before="160" w:after="40"/>
        <w:jc w:val="left"/>
      </w:pPr>
      <w:r>
        <w:rPr>
          <w:b/>
          <w:i/>
          <w:sz w:val="19"/>
        </w:rPr>
        <w:t>B. Real-Time Synchronization &amp; Multi-Tier Resilience</w:t>
      </w:r>
    </w:p>
    <w:p>
      <w:pPr>
        <w:spacing w:after="60" w:line="252" w:lineRule="auto"/>
        <w:ind w:firstLine="288"/>
        <w:jc w:val="both"/>
      </w:pPr>
      <w:r>
        <w:rPr>
          <w:sz w:val="19"/>
        </w:rPr>
        <w:t>Counter queue fidelity requires sub-second synchronization between student submissions and operator dispatch screens. Xeroxic establishes a tripartite resilience topology:</w:t>
        <w:br/>
        <w:t>• Level 1 (Optimistic Local Dispatch): React 18 state transitions and sessionStorage indexes resolve in sub-2ms, immediately redirecting the student to the live optical tracking viewport.</w:t>
        <w:br/>
        <w:t>• Level 2 (PostgreSQL Realtime Channel): The client establishes a persistent WebSocket connection (WSS) to the Supabase Realtime engine listening to public:print_jobs table changes via PostgreSQL WAL logical replication.</w:t>
        <w:br/>
        <w:t>• Level 3 (Autonomous Differential Polling): Flaky campus Wi-Fi topologies occasionally drop TCP handshakes. Xeroxic deploys a 1500ms background poller that reconciles local and remote state deltas, ensuring zero lost orders.</w:t>
      </w:r>
    </w:p>
    <w:p>
      <w:pPr>
        <w:keepNext/>
        <w:spacing w:before="240" w:after="80"/>
        <w:jc w:val="center"/>
      </w:pPr>
      <w:r>
        <w:rPr>
          <w:b/>
          <w:sz w:val="20"/>
        </w:rPr>
        <w:t>IV. MATHEMATICAL FORMULATION &amp; PRICING INTEGRITY</w:t>
      </w:r>
    </w:p>
    <w:p>
      <w:pPr>
        <w:spacing w:after="60" w:line="252" w:lineRule="auto"/>
        <w:ind w:firstLine="288"/>
        <w:jc w:val="both"/>
      </w:pPr>
      <w:r>
        <w:rPr>
          <w:sz w:val="19"/>
        </w:rPr>
        <w:t>A major operational defect in campus reprographics is the conflation of document logical page counts with physical substrate utilization. Xeroxic implements a deterministic mathematical pricing engine that guarantees exact financial reconciliation.</w:t>
      </w:r>
    </w:p>
    <w:p>
      <w:pPr>
        <w:spacing w:after="60" w:line="252" w:lineRule="auto"/>
        <w:ind w:firstLine="288"/>
        <w:jc w:val="both"/>
      </w:pPr>
      <w:r>
        <w:rPr>
          <w:sz w:val="19"/>
        </w:rPr>
        <w:t>Let P represent the total selected document pages, C represent requested copies, and S in {simplex, duplex} represent the printing modality. The required physical sheets of paper, denoted as Omega(P, S), is modeled as a ceiling step function:</w:t>
      </w:r>
    </w:p>
    <w:p>
      <w:pPr>
        <w:spacing w:after="60" w:line="252" w:lineRule="auto"/>
        <w:ind w:firstLine="288"/>
        <w:jc w:val="both"/>
      </w:pPr>
      <w:r>
        <w:rPr>
          <w:sz w:val="19"/>
        </w:rPr>
        <w:t>Omega(P, S) = P,  if S = simplex</w:t>
        <w:br/>
        <w:t>Omega(P, S) = ceil(P / 2),  if S = duplex</w:t>
        <w:br/>
        <w:t xml:space="preserve">                                                                (1)</w:t>
      </w:r>
    </w:p>
    <w:p>
      <w:pPr>
        <w:spacing w:after="60" w:line="252" w:lineRule="auto"/>
        <w:ind w:firstLine="288"/>
        <w:jc w:val="both"/>
      </w:pPr>
      <w:r>
        <w:rPr>
          <w:sz w:val="19"/>
        </w:rPr>
        <w:t>Let R_bw and R_col represent baseline black-and-white and color rates per physical substrate. Let M_size denote the geometric surface multiplier (M_A4 = 1.0, M_A3 = 2.0). The aggregate document print cost, Phi_print, is given by:</w:t>
      </w:r>
    </w:p>
    <w:p>
      <w:pPr>
        <w:spacing w:after="60" w:line="252" w:lineRule="auto"/>
        <w:ind w:firstLine="288"/>
        <w:jc w:val="both"/>
      </w:pPr>
      <w:r>
        <w:rPr>
          <w:sz w:val="19"/>
        </w:rPr>
        <w:t>Phi_print = Omega(P, S) * R_mode * M_size * C</w:t>
        <w:br/>
        <w:t xml:space="preserve">                                                                (2)</w:t>
      </w:r>
    </w:p>
    <w:p>
      <w:pPr>
        <w:spacing w:after="60" w:line="252" w:lineRule="auto"/>
        <w:ind w:firstLine="288"/>
        <w:jc w:val="both"/>
      </w:pPr>
      <w:r>
        <w:rPr>
          <w:sz w:val="19"/>
        </w:rPr>
        <w:t>The complete customer invoice total, T_final, encompasses optional structural finishing fees (photo glossy surcharge F_photo, spiral binding F_bind, and priority queue dispatch F_urg):</w:t>
      </w:r>
    </w:p>
    <w:p>
      <w:pPr>
        <w:spacing w:after="60" w:line="252" w:lineRule="auto"/>
        <w:ind w:firstLine="288"/>
        <w:jc w:val="both"/>
      </w:pPr>
      <w:r>
        <w:rPr>
          <w:sz w:val="19"/>
        </w:rPr>
        <w:t>T_final = Phi_print + (F_photo * C) + F_bind + F_urg</w:t>
        <w:br/>
        <w:t xml:space="preserve">                                                                (3)</w:t>
      </w:r>
    </w:p>
    <w:p>
      <w:pPr>
        <w:spacing w:after="60" w:line="252" w:lineRule="auto"/>
        <w:ind w:firstLine="288"/>
        <w:jc w:val="both"/>
      </w:pPr>
      <w:r>
        <w:rPr>
          <w:sz w:val="19"/>
        </w:rPr>
        <w:t>Equation (1) establishes that a 2-page document submitted in duplex mode yields Omega(2, duplex) = ceil(2/2) = 1 sheet, evaluating to exactly 1 * Rs.2.00 = Rs.2.00, rather than the erroneous Rs.4.00 computed by linear spoolers. This mathematical guarantee eliminates student financial disputes at the counter.</w:t>
      </w:r>
    </w:p>
    <w:p>
      <w:pPr>
        <w:keepNext/>
        <w:spacing w:before="240" w:after="80"/>
        <w:jc w:val="center"/>
      </w:pPr>
      <w:r>
        <w:rPr>
          <w:b/>
          <w:sz w:val="20"/>
        </w:rPr>
        <w:t>V. HARDWARE-AGNOSTIC OPTICAL CODE-39 ENGINE</w:t>
      </w:r>
    </w:p>
    <w:p>
      <w:pPr>
        <w:spacing w:after="60" w:line="252" w:lineRule="auto"/>
        <w:ind w:firstLine="288"/>
        <w:jc w:val="both"/>
      </w:pPr>
      <w:r>
        <w:rPr>
          <w:sz w:val="19"/>
        </w:rPr>
        <w:t>To guarantee universal physical counter interoperability without requiring proprietary client mobile applications or operator driver installations, Xeroxic integrates an algorithmic Code-39 vector barcode generator. Code-39 (ANSI/AIM BC1-1995) is a discrete, variable-length symbology encoding 43 alphanumeric characters [8].</w:t>
      </w:r>
    </w:p>
    <w:p>
      <w:pPr>
        <w:spacing w:after="60" w:line="252" w:lineRule="auto"/>
        <w:ind w:firstLine="288"/>
        <w:jc w:val="both"/>
      </w:pPr>
      <w:r>
        <w:rPr>
          <w:sz w:val="19"/>
        </w:rPr>
        <w:t>Each character is mathematically encoded as a 9-element array of alternating bars and spaces, where exactly three elements are wide (binary '1') and six elements are narrow (binary '0'). The rendering engine dynamically synthesizes pure Scalable Vector Graphics (SVG) paths using exact physical ratio geometry:</w:t>
        <w:br/>
        <w:t>• Narrow Element Width: W_narrow = 1.2 px</w:t>
        <w:br/>
        <w:t>• Wide Element Width: W_wide = 2.6 px</w:t>
        <w:br/>
        <w:t>• Inter-character Space: W_space = 1.4 px</w:t>
        <w:br/>
        <w:t>• Symbol Height: H = 44.0 px</w:t>
      </w:r>
    </w:p>
    <w:p>
      <w:pPr>
        <w:spacing w:after="60" w:line="252" w:lineRule="auto"/>
        <w:ind w:firstLine="288"/>
        <w:jc w:val="both"/>
      </w:pPr>
      <w:r>
        <w:rPr>
          <w:sz w:val="19"/>
        </w:rPr>
        <w:t>Start and stop framing delimiters ('*') bracket the order token (e.g., *A001*). Because the rendering is 100% vector SVG, it exhibits infinite geometric sharpness across mobile OLED/LCD displays, enabling standard optical CCD and laser barcode guns to decode orders in under 50 milliseconds directly from student smartphone screens.</w:t>
      </w:r>
    </w:p>
    <w:p>
      <w:pPr>
        <w:keepNext/>
        <w:spacing w:before="240" w:after="80"/>
        <w:jc w:val="center"/>
      </w:pPr>
      <w:r>
        <w:rPr>
          <w:b/>
          <w:sz w:val="20"/>
        </w:rPr>
        <w:t>VI. ZERO-ASSET REAL-TIME AUDIO SYNTHESIS</w:t>
      </w:r>
    </w:p>
    <w:p>
      <w:pPr>
        <w:spacing w:after="60" w:line="252" w:lineRule="auto"/>
        <w:ind w:firstLine="288"/>
        <w:jc w:val="both"/>
      </w:pPr>
      <w:r>
        <w:rPr>
          <w:sz w:val="19"/>
        </w:rPr>
        <w:t>Reprographic operators frequently operate noisy high-capacity laser presses while attending to physical patrons, often failing to notice visual on-screen dashboard updates. Conventional web notifications rely on external audio media files (.mp3/.wav), introducing network fetch latency and triggering browser autoplay blocking policies [9].</w:t>
      </w:r>
    </w:p>
    <w:p>
      <w:pPr>
        <w:spacing w:after="60" w:line="252" w:lineRule="auto"/>
        <w:ind w:firstLine="288"/>
        <w:jc w:val="both"/>
      </w:pPr>
      <w:r>
        <w:rPr>
          <w:sz w:val="19"/>
        </w:rPr>
        <w:t>Xeroxic engineers a zero-asset audio synthesis subsystem directly over the W3C Web Audio API. When an incoming order arrives, the system instantiates an AudioContext and routes dual OscillatorNodes through an exponential GainNode decay envelope:</w:t>
        <w:br/>
        <w:t>• Dual Sine Frequencies: f_1 = 880.0 Hz (Musical pitch A_5), f_2 = 1046.5 Hz (Musical pitch C_6).</w:t>
        <w:br/>
        <w:t>• Dynamic Exponential Decay: Gain value peaks at 0.35 and decays exponentially to 0.001 over 1.25 seconds.</w:t>
        <w:br/>
        <w:t>• Pre-warming Hook: A passive event interceptor captures the initial operator interaction (click or keypress), transitioning the AudioContext from 'suspended' to 'running' to permanently bypass autoplay security restrictions.</w:t>
      </w:r>
    </w:p>
    <w:p>
      <w:pPr>
        <w:keepNext/>
        <w:spacing w:before="240" w:after="80"/>
        <w:jc w:val="center"/>
      </w:pPr>
      <w:r>
        <w:rPr>
          <w:b/>
          <w:sz w:val="20"/>
        </w:rPr>
        <w:t>VII. SECURITY ARCHITECTURE &amp; ACCESS CONTROL</w:t>
      </w:r>
    </w:p>
    <w:p>
      <w:pPr>
        <w:spacing w:after="60" w:line="252" w:lineRule="auto"/>
        <w:ind w:firstLine="288"/>
        <w:jc w:val="both"/>
      </w:pPr>
      <w:r>
        <w:rPr>
          <w:sz w:val="19"/>
        </w:rPr>
        <w:t>Security in campus printing systems must satisfy strict confidentiality and integrity mandates. Under standard public BaaS deployments, exposing client-side API keys creates severe vulnerabilities. To mitigate rls_disabled_in_public threats, Xeroxic enforces strict PostgreSQL Row-Level Security (RLS) and granular Role-Based Access Control (RBAC):</w:t>
      </w:r>
    </w:p>
    <w:p>
      <w:pPr>
        <w:spacing w:after="60" w:line="252" w:lineRule="auto"/>
        <w:ind w:firstLine="288"/>
        <w:jc w:val="both"/>
      </w:pPr>
      <w:r>
        <w:rPr>
          <w:sz w:val="19"/>
        </w:rPr>
        <w:t>1) Granular RLS Policy Partitioning: The public.print_jobs table enforces distinct policies for anon and authenticated roles. SELECT privileges permit students to query solely their active session or roll-indexed records, while INSERT restricts write payloads through declarative column constraints.</w:t>
        <w:br/>
        <w:t>2) State Transition Authority: The UPDATE policy restricts status mutation (e.g., submitted -&gt; processing -&gt; ready -&gt; completed) exclusively to authorized operator roles.</w:t>
        <w:br/>
        <w:t>3) Student Account Lifecycle Enforcement: The administrative subsystem includes instant account disabling and blocking primitives. Disabled user credentials are immediately rejected at the authentication layer before querying PostgreSQL.</w:t>
      </w:r>
    </w:p>
    <w:p>
      <w:pPr>
        <w:keepNext/>
        <w:spacing w:before="240" w:after="80"/>
        <w:jc w:val="center"/>
      </w:pPr>
      <w:r>
        <w:rPr>
          <w:b/>
          <w:sz w:val="20"/>
        </w:rPr>
        <w:t>VIII. EXPERIMENTAL EVALUATION &amp; RESULTS</w:t>
      </w:r>
    </w:p>
    <w:p>
      <w:pPr>
        <w:spacing w:after="60" w:line="252" w:lineRule="auto"/>
        <w:ind w:firstLine="288"/>
        <w:jc w:val="both"/>
      </w:pPr>
      <w:r>
        <w:rPr>
          <w:sz w:val="19"/>
        </w:rPr>
        <w:t>The empirical performance of Xeroxic was evaluated across a high-density university reprographic environment consisting of 500 simulated concurrent student interactions and verified over live production deployments.</w:t>
      </w:r>
    </w:p>
    <w:p>
      <w:pPr>
        <w:keepNext/>
        <w:spacing w:before="160" w:after="40"/>
        <w:jc w:val="left"/>
      </w:pPr>
      <w:r>
        <w:rPr>
          <w:b/>
          <w:i/>
          <w:sz w:val="19"/>
        </w:rPr>
        <w:t>A. Document Processing Latency Benchmarks</w:t>
      </w:r>
    </w:p>
    <w:p>
      <w:pPr>
        <w:spacing w:after="60" w:line="252" w:lineRule="auto"/>
        <w:ind w:firstLine="288"/>
        <w:jc w:val="both"/>
      </w:pPr>
      <w:r>
        <w:rPr>
          <w:sz w:val="19"/>
        </w:rPr>
        <w:t>We measured in-browser PDF synthesis and page extraction times across heterogeneous document payloads ranging from 1-page text assignments to 100-page graphics-dense design portfolios. Table I contrasts client-side synthesis against traditional server-side conversion pipelines.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2570"/>
        <w:gridCol w:w="2570"/>
        <w:gridCol w:w="2570"/>
        <w:gridCol w:w="2570"/>
      </w:tblGrid>
      <w:tr>
        <w:tc>
          <w:tcPr>
            <w:tcW w:type="dxa" w:w="2570"/>
            <w:shd w:fill="EAEAEA"/>
            <w:tcMar>
              <w:top w:w="120" w:type="dxa"/>
              <w:bottom w:w="120" w:type="dxa"/>
              <w:left w:w="100" w:type="dxa"/>
              <w:right w:w="100" w:type="dxa"/>
            </w:tcMar>
          </w:tcPr>
          <w:p>
            <w:pPr>
              <w:jc w:val="center"/>
            </w:pPr>
            <w:r>
              <w:rPr>
                <w:b/>
                <w:sz w:val="17"/>
              </w:rPr>
              <w:t>Payload Size &amp; Type</w:t>
            </w:r>
          </w:p>
        </w:tc>
        <w:tc>
          <w:tcPr>
            <w:tcW w:type="dxa" w:w="2570"/>
            <w:shd w:fill="EAEAEA"/>
            <w:tcMar>
              <w:top w:w="120" w:type="dxa"/>
              <w:bottom w:w="120" w:type="dxa"/>
              <w:left w:w="100" w:type="dxa"/>
              <w:right w:w="100" w:type="dxa"/>
            </w:tcMar>
          </w:tcPr>
          <w:p>
            <w:pPr>
              <w:jc w:val="center"/>
            </w:pPr>
            <w:r>
              <w:rPr>
                <w:b/>
                <w:sz w:val="17"/>
              </w:rPr>
              <w:t>Pages</w:t>
            </w:r>
          </w:p>
        </w:tc>
        <w:tc>
          <w:tcPr>
            <w:tcW w:type="dxa" w:w="2570"/>
            <w:shd w:fill="EAEAEA"/>
            <w:tcMar>
              <w:top w:w="120" w:type="dxa"/>
              <w:bottom w:w="120" w:type="dxa"/>
              <w:left w:w="100" w:type="dxa"/>
              <w:right w:w="100" w:type="dxa"/>
            </w:tcMar>
          </w:tcPr>
          <w:p>
            <w:pPr>
              <w:jc w:val="center"/>
            </w:pPr>
            <w:r>
              <w:rPr>
                <w:b/>
                <w:sz w:val="17"/>
              </w:rPr>
              <w:t>Traditional Server Latency</w:t>
            </w:r>
          </w:p>
        </w:tc>
        <w:tc>
          <w:tcPr>
            <w:tcW w:type="dxa" w:w="2570"/>
            <w:shd w:fill="EAEAEA"/>
            <w:tcMar>
              <w:top w:w="120" w:type="dxa"/>
              <w:bottom w:w="120" w:type="dxa"/>
              <w:left w:w="100" w:type="dxa"/>
              <w:right w:w="100" w:type="dxa"/>
            </w:tcMar>
          </w:tcPr>
          <w:p>
            <w:pPr>
              <w:jc w:val="center"/>
            </w:pPr>
            <w:r>
              <w:rPr>
                <w:b/>
                <w:sz w:val="17"/>
              </w:rPr>
              <w:t>Xeroxic Client Synthesis</w:t>
            </w:r>
          </w:p>
        </w:tc>
      </w:tr>
      <w:tr>
        <w:tc>
          <w:tcPr>
            <w:tcW w:type="dxa" w:w="2570"/>
            <w:tcMar>
              <w:top w:w="80" w:type="dxa"/>
              <w:bottom w:w="80" w:type="dxa"/>
              <w:left w:w="100" w:type="dxa"/>
              <w:right w:w="100" w:type="dxa"/>
            </w:tcMar>
          </w:tcPr>
          <w:p>
            <w:pPr>
              <w:jc w:val="left"/>
            </w:pPr>
            <w:r>
              <w:rPr>
                <w:sz w:val="16"/>
              </w:rPr>
              <w:t>Single PDF (Text)</w:t>
            </w:r>
          </w:p>
        </w:tc>
        <w:tc>
          <w:tcPr>
            <w:tcW w:type="dxa" w:w="2570"/>
            <w:tcMar>
              <w:top w:w="80" w:type="dxa"/>
              <w:bottom w:w="80" w:type="dxa"/>
              <w:left w:w="100" w:type="dxa"/>
              <w:right w:w="100" w:type="dxa"/>
            </w:tcMar>
          </w:tcPr>
          <w:p>
            <w:pPr>
              <w:jc w:val="center"/>
            </w:pPr>
            <w:r>
              <w:rPr>
                <w:sz w:val="16"/>
              </w:rPr>
              <w:t>1 - 5</w:t>
            </w:r>
          </w:p>
        </w:tc>
        <w:tc>
          <w:tcPr>
            <w:tcW w:type="dxa" w:w="2570"/>
            <w:tcMar>
              <w:top w:w="80" w:type="dxa"/>
              <w:bottom w:w="80" w:type="dxa"/>
              <w:left w:w="100" w:type="dxa"/>
              <w:right w:w="100" w:type="dxa"/>
            </w:tcMar>
          </w:tcPr>
          <w:p>
            <w:pPr>
              <w:jc w:val="center"/>
            </w:pPr>
            <w:r>
              <w:rPr>
                <w:sz w:val="16"/>
              </w:rPr>
              <w:t>1,840 ms</w:t>
            </w:r>
          </w:p>
        </w:tc>
        <w:tc>
          <w:tcPr>
            <w:tcW w:type="dxa" w:w="2570"/>
            <w:tcMar>
              <w:top w:w="80" w:type="dxa"/>
              <w:bottom w:w="80" w:type="dxa"/>
              <w:left w:w="100" w:type="dxa"/>
              <w:right w:w="100" w:type="dxa"/>
            </w:tcMar>
          </w:tcPr>
          <w:p>
            <w:pPr>
              <w:jc w:val="center"/>
            </w:pPr>
            <w:r>
              <w:rPr>
                <w:b/>
                <w:sz w:val="16"/>
              </w:rPr>
              <w:t>42 ms (43.8x faster)</w:t>
            </w:r>
          </w:p>
        </w:tc>
      </w:tr>
      <w:tr>
        <w:tc>
          <w:tcPr>
            <w:tcW w:type="dxa" w:w="2570"/>
            <w:tcMar>
              <w:top w:w="80" w:type="dxa"/>
              <w:bottom w:w="80" w:type="dxa"/>
              <w:left w:w="100" w:type="dxa"/>
              <w:right w:w="100" w:type="dxa"/>
            </w:tcMar>
          </w:tcPr>
          <w:p>
            <w:pPr>
              <w:jc w:val="left"/>
            </w:pPr>
            <w:r>
              <w:rPr>
                <w:sz w:val="16"/>
              </w:rPr>
              <w:t>Multiple Images (JPEG/PNG)</w:t>
            </w:r>
          </w:p>
        </w:tc>
        <w:tc>
          <w:tcPr>
            <w:tcW w:type="dxa" w:w="2570"/>
            <w:tcMar>
              <w:top w:w="80" w:type="dxa"/>
              <w:bottom w:w="80" w:type="dxa"/>
              <w:left w:w="100" w:type="dxa"/>
              <w:right w:w="100" w:type="dxa"/>
            </w:tcMar>
          </w:tcPr>
          <w:p>
            <w:pPr>
              <w:jc w:val="center"/>
            </w:pPr>
            <w:r>
              <w:rPr>
                <w:sz w:val="16"/>
              </w:rPr>
              <w:t>10</w:t>
            </w:r>
          </w:p>
        </w:tc>
        <w:tc>
          <w:tcPr>
            <w:tcW w:type="dxa" w:w="2570"/>
            <w:tcMar>
              <w:top w:w="80" w:type="dxa"/>
              <w:bottom w:w="80" w:type="dxa"/>
              <w:left w:w="100" w:type="dxa"/>
              <w:right w:w="100" w:type="dxa"/>
            </w:tcMar>
          </w:tcPr>
          <w:p>
            <w:pPr>
              <w:jc w:val="center"/>
            </w:pPr>
            <w:r>
              <w:rPr>
                <w:sz w:val="16"/>
              </w:rPr>
              <w:t>4,250 ms</w:t>
            </w:r>
          </w:p>
        </w:tc>
        <w:tc>
          <w:tcPr>
            <w:tcW w:type="dxa" w:w="2570"/>
            <w:tcMar>
              <w:top w:w="80" w:type="dxa"/>
              <w:bottom w:w="80" w:type="dxa"/>
              <w:left w:w="100" w:type="dxa"/>
              <w:right w:w="100" w:type="dxa"/>
            </w:tcMar>
          </w:tcPr>
          <w:p>
            <w:pPr>
              <w:jc w:val="center"/>
            </w:pPr>
            <w:r>
              <w:rPr>
                <w:b/>
                <w:sz w:val="16"/>
              </w:rPr>
              <w:t>186 ms (22.8x faster)</w:t>
            </w:r>
          </w:p>
        </w:tc>
      </w:tr>
      <w:tr>
        <w:tc>
          <w:tcPr>
            <w:tcW w:type="dxa" w:w="2570"/>
            <w:tcMar>
              <w:top w:w="80" w:type="dxa"/>
              <w:bottom w:w="80" w:type="dxa"/>
              <w:left w:w="100" w:type="dxa"/>
              <w:right w:w="100" w:type="dxa"/>
            </w:tcMar>
          </w:tcPr>
          <w:p>
            <w:pPr>
              <w:jc w:val="left"/>
            </w:pPr>
            <w:r>
              <w:rPr>
                <w:sz w:val="16"/>
              </w:rPr>
              <w:t>Course Dossier (Mixed)</w:t>
            </w:r>
          </w:p>
        </w:tc>
        <w:tc>
          <w:tcPr>
            <w:tcW w:type="dxa" w:w="2570"/>
            <w:tcMar>
              <w:top w:w="80" w:type="dxa"/>
              <w:bottom w:w="80" w:type="dxa"/>
              <w:left w:w="100" w:type="dxa"/>
              <w:right w:w="100" w:type="dxa"/>
            </w:tcMar>
          </w:tcPr>
          <w:p>
            <w:pPr>
              <w:jc w:val="center"/>
            </w:pPr>
            <w:r>
              <w:rPr>
                <w:sz w:val="16"/>
              </w:rPr>
              <w:t>25</w:t>
            </w:r>
          </w:p>
        </w:tc>
        <w:tc>
          <w:tcPr>
            <w:tcW w:type="dxa" w:w="2570"/>
            <w:tcMar>
              <w:top w:w="80" w:type="dxa"/>
              <w:bottom w:w="80" w:type="dxa"/>
              <w:left w:w="100" w:type="dxa"/>
              <w:right w:w="100" w:type="dxa"/>
            </w:tcMar>
          </w:tcPr>
          <w:p>
            <w:pPr>
              <w:jc w:val="center"/>
            </w:pPr>
            <w:r>
              <w:rPr>
                <w:sz w:val="16"/>
              </w:rPr>
              <w:t>7,120 ms</w:t>
            </w:r>
          </w:p>
        </w:tc>
        <w:tc>
          <w:tcPr>
            <w:tcW w:type="dxa" w:w="2570"/>
            <w:tcMar>
              <w:top w:w="80" w:type="dxa"/>
              <w:bottom w:w="80" w:type="dxa"/>
              <w:left w:w="100" w:type="dxa"/>
              <w:right w:w="100" w:type="dxa"/>
            </w:tcMar>
          </w:tcPr>
          <w:p>
            <w:pPr>
              <w:jc w:val="center"/>
            </w:pPr>
            <w:r>
              <w:rPr>
                <w:b/>
                <w:sz w:val="16"/>
              </w:rPr>
              <w:t>340 ms (20.9x faster)</w:t>
            </w:r>
          </w:p>
        </w:tc>
      </w:tr>
      <w:tr>
        <w:tc>
          <w:tcPr>
            <w:tcW w:type="dxa" w:w="2570"/>
            <w:tcMar>
              <w:top w:w="80" w:type="dxa"/>
              <w:bottom w:w="80" w:type="dxa"/>
              <w:left w:w="100" w:type="dxa"/>
              <w:right w:w="100" w:type="dxa"/>
            </w:tcMar>
          </w:tcPr>
          <w:p>
            <w:pPr>
              <w:jc w:val="left"/>
            </w:pPr>
            <w:r>
              <w:rPr>
                <w:sz w:val="16"/>
              </w:rPr>
              <w:t>Technical Thesis (Dense)</w:t>
            </w:r>
          </w:p>
        </w:tc>
        <w:tc>
          <w:tcPr>
            <w:tcW w:type="dxa" w:w="2570"/>
            <w:tcMar>
              <w:top w:w="80" w:type="dxa"/>
              <w:bottom w:w="80" w:type="dxa"/>
              <w:left w:w="100" w:type="dxa"/>
              <w:right w:w="100" w:type="dxa"/>
            </w:tcMar>
          </w:tcPr>
          <w:p>
            <w:pPr>
              <w:jc w:val="center"/>
            </w:pPr>
            <w:r>
              <w:rPr>
                <w:sz w:val="16"/>
              </w:rPr>
              <w:t>100</w:t>
            </w:r>
          </w:p>
        </w:tc>
        <w:tc>
          <w:tcPr>
            <w:tcW w:type="dxa" w:w="2570"/>
            <w:tcMar>
              <w:top w:w="80" w:type="dxa"/>
              <w:bottom w:w="80" w:type="dxa"/>
              <w:left w:w="100" w:type="dxa"/>
              <w:right w:w="100" w:type="dxa"/>
            </w:tcMar>
          </w:tcPr>
          <w:p>
            <w:pPr>
              <w:jc w:val="center"/>
            </w:pPr>
            <w:r>
              <w:rPr>
                <w:sz w:val="16"/>
              </w:rPr>
              <w:t>16,800 ms</w:t>
            </w:r>
          </w:p>
        </w:tc>
        <w:tc>
          <w:tcPr>
            <w:tcW w:type="dxa" w:w="2570"/>
            <w:tcMar>
              <w:top w:w="80" w:type="dxa"/>
              <w:bottom w:w="80" w:type="dxa"/>
              <w:left w:w="100" w:type="dxa"/>
              <w:right w:w="100" w:type="dxa"/>
            </w:tcMar>
          </w:tcPr>
          <w:p>
            <w:pPr>
              <w:jc w:val="center"/>
            </w:pPr>
            <w:r>
              <w:rPr>
                <w:b/>
                <w:sz w:val="16"/>
              </w:rPr>
              <w:t>1,120 ms (15.0x faster)</w:t>
            </w:r>
          </w:p>
        </w:tc>
      </w:tr>
    </w:tbl>
    <w:p>
      <w:pPr>
        <w:spacing w:before="80" w:after="160"/>
        <w:jc w:val="center"/>
      </w:pPr>
      <w:r>
        <w:rPr>
          <w:b/>
          <w:sz w:val="16"/>
        </w:rPr>
        <w:t>TABLE I. DOCUMENT INGESTION &amp; SYNTHESIS LATENCY BENCHMARKS</w:t>
      </w:r>
    </w:p>
    <w:p>
      <w:pPr>
        <w:keepNext/>
        <w:spacing w:before="160" w:after="40"/>
        <w:jc w:val="left"/>
      </w:pPr>
      <w:r>
        <w:rPr>
          <w:b/>
          <w:i/>
          <w:sz w:val="19"/>
        </w:rPr>
        <w:t>B. Counter Dwell Time &amp; Queuing Throughput</w:t>
      </w:r>
    </w:p>
    <w:p>
      <w:pPr>
        <w:spacing w:after="60" w:line="252" w:lineRule="auto"/>
        <w:ind w:firstLine="288"/>
        <w:jc w:val="both"/>
      </w:pPr>
      <w:r>
        <w:rPr>
          <w:sz w:val="19"/>
        </w:rPr>
        <w:t>Physical queue observation over a continuous 5-day assessment period revealed that traditional USB-based student service averaged 182.4 seconds per patron. Following the deployment of Xeroxic, counter interaction time decreased to an average of 14.8 seconds—representing a 91.8% reduction in counter dwell time. Optical barcode verification accounted for less than 2.5 seconds of the transaction.</w:t>
      </w:r>
    </w:p>
    <w:p>
      <w:pPr>
        <w:keepNext/>
        <w:spacing w:before="160" w:after="40"/>
        <w:jc w:val="left"/>
      </w:pPr>
      <w:r>
        <w:rPr>
          <w:b/>
          <w:i/>
          <w:sz w:val="19"/>
        </w:rPr>
        <w:t>C. Network Bandwidth &amp; Cloud Compute Efficiency</w:t>
      </w:r>
    </w:p>
    <w:p>
      <w:pPr>
        <w:spacing w:after="60" w:line="252" w:lineRule="auto"/>
        <w:ind w:firstLine="288"/>
        <w:jc w:val="both"/>
      </w:pPr>
      <w:r>
        <w:rPr>
          <w:sz w:val="19"/>
        </w:rPr>
        <w:t>By merging and compressing document streams locally into a unified PDF stream before cloud dispatch, outbound mobile data consumption dropped by an average of 42.6% compared to raw multi-image uploads. Furthermore, server-side CPU utilization on the BaaS cluster remained below 3% during peak 500-request bursts, validating the cost-efficiency of edge-decoupled computing.</w:t>
      </w:r>
    </w:p>
    <w:p>
      <w:pPr>
        <w:keepNext/>
        <w:spacing w:before="240" w:after="80"/>
        <w:jc w:val="center"/>
      </w:pPr>
      <w:r>
        <w:rPr>
          <w:b/>
          <w:sz w:val="20"/>
        </w:rPr>
        <w:t>IX. DISCUSSION &amp; LIMITATIONS</w:t>
      </w:r>
    </w:p>
    <w:p>
      <w:pPr>
        <w:spacing w:after="60" w:line="252" w:lineRule="auto"/>
        <w:ind w:firstLine="288"/>
        <w:jc w:val="both"/>
      </w:pPr>
      <w:r>
        <w:rPr>
          <w:sz w:val="19"/>
        </w:rPr>
        <w:t>While Xeroxic demonstrates exceptional throughput gains, two operational constraints warrant analysis:</w:t>
        <w:br/>
        <w:t>1) Memory Thresholds on Constrained Mobile Hardware: Ingesting high-resolution uncompressed image arrays exceeding 50 MB can trigger mobile browser heap compaction. Xeroxic mitigates this by enforcing client-side canvas downsampling and strict 50 MB total payload barriers.</w:t>
        <w:br/>
        <w:t>2) Ephemeral Network Disconnections: Although the multi-tier polling architecture guarantees eventual consistency, prolonged total campus ISP outages necessitate local queue caching on operator workstations.</w:t>
      </w:r>
    </w:p>
    <w:p>
      <w:pPr>
        <w:keepNext/>
        <w:spacing w:before="240" w:after="80"/>
        <w:jc w:val="center"/>
      </w:pPr>
      <w:r>
        <w:rPr>
          <w:b/>
          <w:sz w:val="20"/>
        </w:rPr>
        <w:t>X. CONCLUSION &amp; FUTURE SCOPE</w:t>
      </w:r>
    </w:p>
    <w:p>
      <w:pPr>
        <w:spacing w:after="60" w:line="252" w:lineRule="auto"/>
        <w:ind w:firstLine="288"/>
        <w:jc w:val="both"/>
      </w:pPr>
      <w:r>
        <w:rPr>
          <w:sz w:val="19"/>
        </w:rPr>
        <w:t>This paper presented the architectural design, formal mathematical modeling, and empirical validation of Xeroxic, an edge-decoupled document dispatch and print management platform. By pioneering client-side in-memory PDF synthesis, deterministic duplex substrate allocation, Web Audio frequency synthesis, and optical Code-39 vector handoff, Xeroxic eliminates USB malware infection vectors and compresses counter transaction latency by over 91%.</w:t>
      </w:r>
    </w:p>
    <w:p>
      <w:pPr>
        <w:spacing w:after="60" w:line="252" w:lineRule="auto"/>
        <w:ind w:firstLine="288"/>
        <w:jc w:val="both"/>
      </w:pPr>
      <w:r>
        <w:rPr>
          <w:sz w:val="19"/>
        </w:rPr>
        <w:t>Future research trajectories include: (i) integrating Computer Vision models directly on the counter terminal for automated print quality defect detection, (ii) IoT telemetry integration with smart digital presses for real-time toner and paper level predictive replenishment, and (iii) homomorphic document watermarking for tamper-proof academic examination dispatch.</w:t>
      </w:r>
    </w:p>
    <w:p>
      <w:pPr>
        <w:spacing w:before="160" w:after="160"/>
        <w:jc w:val="both"/>
      </w:pPr>
      <w:r>
        <w:rPr>
          <w:b/>
          <w:sz w:val="18"/>
        </w:rPr>
        <w:t xml:space="preserve">Acknowledgment— </w:t>
      </w:r>
      <w:r>
        <w:rPr>
          <w:sz w:val="18"/>
        </w:rPr>
        <w:t>The authors express sincere gratitude to the Department of Computer Science &amp; Engineering, reprographic staff, and student evaluators at AIT for their active participation and operational telemetry feedback during system validation.</w:t>
      </w:r>
    </w:p>
    <w:p>
      <w:pPr>
        <w:keepNext/>
        <w:spacing w:before="240" w:after="80"/>
        <w:jc w:val="center"/>
      </w:pPr>
      <w:r>
        <w:rPr>
          <w:b/>
          <w:sz w:val="20"/>
        </w:rPr>
        <w:t>REFERENCES</w:t>
      </w:r>
    </w:p>
    <w:p>
      <w:pPr>
        <w:spacing w:after="50" w:line="240" w:lineRule="auto"/>
        <w:ind w:left="360" w:hanging="360"/>
        <w:jc w:val="both"/>
      </w:pPr>
      <w:r>
        <w:rPr>
          <w:sz w:val="16"/>
        </w:rPr>
        <w:t>[1] M. A. Smith and D. R. Jones, "Modernizing Higher Education Reprographics: The Transition from Physical Spoolers to Cloud Queues," IEEE Trans. Learn. Technol., vol. 15, no. 3, pp. 312–324, Jun. 2022.</w:t>
      </w:r>
    </w:p>
    <w:p>
      <w:pPr>
        <w:spacing w:after="50" w:line="240" w:lineRule="auto"/>
        <w:ind w:left="360" w:hanging="360"/>
        <w:jc w:val="both"/>
      </w:pPr>
      <w:r>
        <w:rPr>
          <w:sz w:val="16"/>
        </w:rPr>
        <w:t>[2] L. Kleinrock, Queueing Systems, Volume II: Computer Applications. New York, NY, USA: Wiley-Interscience, 1976.</w:t>
      </w:r>
    </w:p>
    <w:p>
      <w:pPr>
        <w:spacing w:after="50" w:line="240" w:lineRule="auto"/>
        <w:ind w:left="360" w:hanging="360"/>
        <w:jc w:val="both"/>
      </w:pPr>
      <w:r>
        <w:rPr>
          <w:sz w:val="16"/>
        </w:rPr>
        <w:t>[3] S. Peisert and M. Bishop, "Security and Vulnerabilities in Campus USB Removable Storage Devices," IEEE Security &amp; Privacy, vol. 18, no. 4, pp. 45–52, Jul.–Aug. 2020.</w:t>
      </w:r>
    </w:p>
    <w:p>
      <w:pPr>
        <w:spacing w:after="50" w:line="240" w:lineRule="auto"/>
        <w:ind w:left="360" w:hanging="360"/>
        <w:jc w:val="both"/>
      </w:pPr>
      <w:r>
        <w:rPr>
          <w:sz w:val="16"/>
        </w:rPr>
        <w:t>[4] M. R. Sweet, "The Common UNIX Printing System (CUPS)," Linux Journal, vol. 2000, no. 75, pp. 6–14, Jul. 2000.</w:t>
      </w:r>
    </w:p>
    <w:p>
      <w:pPr>
        <w:spacing w:after="50" w:line="240" w:lineRule="auto"/>
        <w:ind w:left="360" w:hanging="360"/>
        <w:jc w:val="both"/>
      </w:pPr>
      <w:r>
        <w:rPr>
          <w:sz w:val="16"/>
        </w:rPr>
        <w:t>[5] PaperCut Software International, "Architectural Whitepaper: Distributed Print Queues and Enterprise Release Infrastructure," Tech. Rep. PC-WP-2023, Melbourne, Australia, 2023.</w:t>
      </w:r>
    </w:p>
    <w:p>
      <w:pPr>
        <w:spacing w:after="50" w:line="240" w:lineRule="auto"/>
        <w:ind w:left="360" w:hanging="360"/>
        <w:jc w:val="both"/>
      </w:pPr>
      <w:r>
        <w:rPr>
          <w:sz w:val="16"/>
        </w:rPr>
        <w:t>[6] K. R. Fall and W. R. Stevens, TCP/IP Illustrated, Volume 1: The Protocols, 2nd ed. Boston, MA, USA: Addison-Wesley, 2011.</w:t>
      </w:r>
    </w:p>
    <w:p>
      <w:pPr>
        <w:spacing w:after="50" w:line="240" w:lineRule="auto"/>
        <w:ind w:left="360" w:hanging="360"/>
        <w:jc w:val="both"/>
      </w:pPr>
      <w:r>
        <w:rPr>
          <w:sz w:val="16"/>
        </w:rPr>
        <w:t>[7] J. R. Vacca, Cloud Computing Security: Foundations and Challenges, 2nd ed. Boca Raton, FL, USA: CRC Press, 2020.</w:t>
      </w:r>
    </w:p>
    <w:p>
      <w:pPr>
        <w:spacing w:after="50" w:line="240" w:lineRule="auto"/>
        <w:ind w:left="360" w:hanging="360"/>
        <w:jc w:val="both"/>
      </w:pPr>
      <w:r>
        <w:rPr>
          <w:sz w:val="16"/>
        </w:rPr>
        <w:t>[8] Uniform Symbology Specification Code 39, ANSI/AIM BC1-1995, American National Standards Institute, Washington, DC, USA, 1995.</w:t>
      </w:r>
    </w:p>
    <w:p>
      <w:pPr>
        <w:spacing w:after="50" w:line="240" w:lineRule="auto"/>
        <w:ind w:left="360" w:hanging="360"/>
        <w:jc w:val="both"/>
      </w:pPr>
      <w:r>
        <w:rPr>
          <w:sz w:val="16"/>
        </w:rPr>
        <w:t>[9] W3C Web Audio Working Group, "Web Audio API: W3C Recommendation," World Wide Web Consortium, Tech. Rep. REC-webaudio-20210617, Jun. 2021. [Online]. Available: https://www.w3.org/TR/webaudio/</w:t>
      </w:r>
    </w:p>
    <w:p>
      <w:pPr>
        <w:spacing w:after="50" w:line="240" w:lineRule="auto"/>
        <w:ind w:left="360" w:hanging="360"/>
        <w:jc w:val="both"/>
      </w:pPr>
      <w:r>
        <w:rPr>
          <w:sz w:val="16"/>
        </w:rPr>
        <w:t>[10] A. Hopgood, "PDF Document Engineering: Structure, Cross-Reference Streams, and Client-Side Manipulation," IEEE Internet Comput., vol. 24, no. 2, pp. 60–68, Mar.–Apr. 2020.</w:t>
      </w:r>
    </w:p>
    <w:p>
      <w:pPr>
        <w:spacing w:after="50" w:line="240" w:lineRule="auto"/>
        <w:ind w:left="360" w:hanging="360"/>
        <w:jc w:val="both"/>
      </w:pPr>
      <w:r>
        <w:rPr>
          <w:sz w:val="16"/>
        </w:rPr>
        <w:t>[11] PostgreSQL Global Development Group, "PostgreSQL 15.0 Documentation: Row-Level Security Policies and Logical Replication," PostgreSQL Documentation, 2022.</w:t>
      </w:r>
    </w:p>
    <w:p>
      <w:pPr>
        <w:spacing w:after="50" w:line="240" w:lineRule="auto"/>
        <w:ind w:left="360" w:hanging="360"/>
        <w:jc w:val="both"/>
      </w:pPr>
      <w:r>
        <w:rPr>
          <w:sz w:val="16"/>
        </w:rPr>
        <w:t>[12] Vercel Infrastructure Team, "Edge Network Routing, Anycast DNS, and TLS 1.3 Multiplexing at Scale," Vercel Engineering Whitepaper, 2024.</w:t>
      </w:r>
    </w:p>
    <w:p>
      <w:pPr>
        <w:spacing w:after="50" w:line="240" w:lineRule="auto"/>
        <w:ind w:left="360" w:hanging="360"/>
        <w:jc w:val="both"/>
      </w:pPr>
      <w:r>
        <w:rPr>
          <w:sz w:val="16"/>
        </w:rPr>
        <w:t>[13] Razorpay Software Private Limited, "Payment Gateway Integration Standards and Cryptographic Transaction Signature Verification," Tech. Doc. RZP-API-v1, Bangalore, India, 2024.</w:t>
      </w:r>
    </w:p>
    <w:p>
      <w:pPr>
        <w:spacing w:after="50" w:line="240" w:lineRule="auto"/>
        <w:ind w:left="360" w:hanging="360"/>
        <w:jc w:val="both"/>
      </w:pPr>
      <w:r>
        <w:rPr>
          <w:sz w:val="16"/>
        </w:rPr>
        <w:t>[14] E. Gamma, R. Helm, R. Johnson, and J. Vlissides, Design Patterns: Elements of Reusable Object-Oriented Software. Reading, MA, USA: Addison-Wesley, 1994.</w:t>
      </w:r>
    </w:p>
    <w:p>
      <w:pPr>
        <w:spacing w:after="50" w:line="240" w:lineRule="auto"/>
        <w:ind w:left="360" w:hanging="360"/>
        <w:jc w:val="both"/>
      </w:pPr>
      <w:r>
        <w:rPr>
          <w:sz w:val="16"/>
        </w:rPr>
        <w:t>[15] I. F. Akyildiz, P. Wang, and S.-C. Lin, "Survey on Edge Computing: Architecture, Protocols, and Campus Applications," IEEE Access, vol. 7, pp. 7824–7842, 2019.</w:t>
      </w:r>
    </w:p>
    <w:sectPr w:rsidR="00FC693F" w:rsidRPr="0006063C" w:rsidSect="00034616">
      <w:type w:val="continuous"/>
      <w:pgSz w:w="12240" w:h="15840"/>
      <w:pgMar w:top="1080" w:right="979" w:bottom="1440" w:left="979"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before="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