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Google Sans" w:cs="Google Sans" w:eastAsia="Google Sans" w:hAnsi="Google Sans"/>
          <w:sz w:val="32"/>
          <w:szCs w:val="32"/>
        </w:rPr>
      </w:pPr>
      <w:r w:rsidDel="00000000" w:rsidR="00000000" w:rsidRPr="00000000">
        <w:rPr>
          <w:rFonts w:ascii="Google Sans" w:cs="Google Sans" w:eastAsia="Google Sans" w:hAnsi="Google Sans"/>
          <w:b w:val="1"/>
          <w:bCs w:val="1"/>
          <w:sz w:val="38"/>
          <w:szCs w:val="38"/>
          <w:rtl w:val="0"/>
        </w:rPr>
        <w:t xml:space="preserve">Lab 3: Component Modelling &amp; Architectural Pattern Selection</w:t>
      </w:r>
      <w:r w:rsidDel="00000000" w:rsidR="00000000" w:rsidRPr="00000000">
        <w:rPr>
          <w:rFonts w:ascii="Google Sans" w:cs="Google Sans" w:eastAsia="Google Sans" w:hAnsi="Google Sans"/>
          <w:sz w:val="32"/>
          <w:szCs w:val="32"/>
          <w:rtl w:val="0"/>
        </w:rPr>
        <w:t xml:space="preserve"> </w:t>
      </w:r>
    </w:p>
    <w:p w:rsidR="00000000" w:rsidDel="00000000" w:rsidP="00000000" w:rsidRDefault="00000000" w:rsidRPr="00000000" w14:paraId="00000002">
      <w:pPr>
        <w:jc w:val="left"/>
        <w:rPr>
          <w:rFonts w:ascii="Google Sans" w:cs="Google Sans" w:eastAsia="Google Sans" w:hAnsi="Google Sans"/>
          <w:sz w:val="32"/>
          <w:szCs w:val="32"/>
        </w:rPr>
      </w:pPr>
      <w:r w:rsidDel="00000000" w:rsidR="00000000" w:rsidRPr="00000000">
        <w:rPr>
          <w:rtl w:val="0"/>
        </w:rPr>
      </w:r>
    </w:p>
    <w:p w:rsidR="00000000" w:rsidDel="00000000" w:rsidP="00000000" w:rsidRDefault="00000000" w:rsidRPr="00000000" w14:paraId="00000003">
      <w:pPr>
        <w:rPr>
          <w:rFonts w:ascii="Google Sans" w:cs="Google Sans" w:eastAsia="Google Sans" w:hAnsi="Google Sans"/>
          <w:sz w:val="30"/>
          <w:szCs w:val="30"/>
        </w:rPr>
      </w:pPr>
      <w:r w:rsidDel="00000000" w:rsidR="00000000" w:rsidRPr="00000000">
        <w:rPr>
          <w:rFonts w:ascii="Google Sans" w:cs="Google Sans" w:eastAsia="Google Sans" w:hAnsi="Google Sans"/>
          <w:b w:val="1"/>
          <w:bCs w:val="1"/>
          <w:sz w:val="30"/>
          <w:szCs w:val="30"/>
          <w:rtl w:val="0"/>
        </w:rPr>
        <w:t xml:space="preserve">Name :</w:t>
      </w:r>
      <w:r w:rsidDel="00000000" w:rsidR="00000000" w:rsidRPr="00000000">
        <w:rPr>
          <w:rFonts w:ascii="Google Sans" w:cs="Google Sans" w:eastAsia="Google Sans" w:hAnsi="Google Sans"/>
          <w:sz w:val="30"/>
          <w:szCs w:val="30"/>
          <w:rtl w:val="0"/>
        </w:rPr>
        <w:t xml:space="preserve"> Sumit Ravi Khandi</w:t>
      </w:r>
    </w:p>
    <w:p w:rsidR="00000000" w:rsidDel="00000000" w:rsidP="00000000" w:rsidRDefault="00000000" w:rsidRPr="00000000" w14:paraId="00000004">
      <w:pPr>
        <w:rPr>
          <w:rFonts w:ascii="Google Sans" w:cs="Google Sans" w:eastAsia="Google Sans" w:hAnsi="Google Sans"/>
          <w:sz w:val="30"/>
          <w:szCs w:val="30"/>
        </w:rPr>
      </w:pPr>
      <w:r w:rsidDel="00000000" w:rsidR="00000000" w:rsidRPr="00000000">
        <w:rPr>
          <w:rFonts w:ascii="Google Sans" w:cs="Google Sans" w:eastAsia="Google Sans" w:hAnsi="Google Sans"/>
          <w:b w:val="1"/>
          <w:bCs w:val="1"/>
          <w:sz w:val="30"/>
          <w:szCs w:val="30"/>
          <w:rtl w:val="0"/>
        </w:rPr>
        <w:t xml:space="preserve">SRN : </w:t>
      </w:r>
      <w:r w:rsidDel="00000000" w:rsidR="00000000" w:rsidRPr="00000000">
        <w:rPr>
          <w:rFonts w:ascii="Google Sans" w:cs="Google Sans" w:eastAsia="Google Sans" w:hAnsi="Google Sans"/>
          <w:sz w:val="30"/>
          <w:szCs w:val="30"/>
          <w:rtl w:val="0"/>
        </w:rPr>
        <w:t xml:space="preserve">PES1UG24CS633</w:t>
      </w:r>
    </w:p>
    <w:p w:rsidR="00000000" w:rsidDel="00000000" w:rsidP="00000000" w:rsidRDefault="00000000" w:rsidRPr="00000000" w14:paraId="00000005">
      <w:pPr>
        <w:rPr>
          <w:rFonts w:ascii="Google Sans" w:cs="Google Sans" w:eastAsia="Google Sans" w:hAnsi="Google Sans"/>
          <w:sz w:val="30"/>
          <w:szCs w:val="30"/>
        </w:rPr>
      </w:pPr>
      <w:r w:rsidDel="00000000" w:rsidR="00000000" w:rsidRPr="00000000">
        <w:rPr>
          <w:rFonts w:ascii="Google Sans" w:cs="Google Sans" w:eastAsia="Google Sans" w:hAnsi="Google Sans"/>
          <w:b w:val="1"/>
          <w:bCs w:val="1"/>
          <w:sz w:val="30"/>
          <w:szCs w:val="30"/>
          <w:rtl w:val="0"/>
        </w:rPr>
        <w:t xml:space="preserve">Section :</w:t>
      </w:r>
      <w:r w:rsidDel="00000000" w:rsidR="00000000" w:rsidRPr="00000000">
        <w:rPr>
          <w:rFonts w:ascii="Google Sans" w:cs="Google Sans" w:eastAsia="Google Sans" w:hAnsi="Google Sans"/>
          <w:sz w:val="30"/>
          <w:szCs w:val="30"/>
          <w:rtl w:val="0"/>
        </w:rPr>
        <w:t xml:space="preserve"> 5K</w:t>
      </w:r>
    </w:p>
    <w:p w:rsidR="00000000" w:rsidDel="00000000" w:rsidP="00000000" w:rsidRDefault="00000000" w:rsidRPr="00000000" w14:paraId="00000006">
      <w:pPr>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0007">
      <w:pP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32"/>
          <w:szCs w:val="32"/>
          <w:rtl w:val="0"/>
        </w:rPr>
        <w:t xml:space="preserve">Architecture Selection : </w:t>
      </w:r>
      <w:r w:rsidDel="00000000" w:rsidR="00000000" w:rsidRPr="00000000">
        <w:rPr>
          <w:rFonts w:ascii="Google Sans" w:cs="Google Sans" w:eastAsia="Google Sans" w:hAnsi="Google Sans"/>
          <w:sz w:val="32"/>
          <w:szCs w:val="32"/>
          <w:rtl w:val="0"/>
        </w:rPr>
        <w:br w:type="textWrapping"/>
      </w:r>
      <w:r w:rsidDel="00000000" w:rsidR="00000000" w:rsidRPr="00000000">
        <w:rPr>
          <w:rFonts w:ascii="Google Sans" w:cs="Google Sans" w:eastAsia="Google Sans" w:hAnsi="Google Sans"/>
          <w:sz w:val="24"/>
          <w:szCs w:val="24"/>
          <w:rtl w:val="0"/>
        </w:rPr>
        <w:t xml:space="preserve">I chose Layered Architecture for the Warehouse Inventory and Pallet Location Tracker System.</w:t>
      </w:r>
    </w:p>
    <w:p w:rsidR="00000000" w:rsidDel="00000000" w:rsidP="00000000" w:rsidRDefault="00000000" w:rsidRPr="00000000" w14:paraId="00000008">
      <w:pPr>
        <w:rPr>
          <w:rFonts w:ascii="Google Sans" w:cs="Google Sans" w:eastAsia="Google Sans" w:hAnsi="Google Sans"/>
          <w:sz w:val="18"/>
          <w:szCs w:val="18"/>
        </w:rPr>
      </w:pPr>
      <w:r w:rsidDel="00000000" w:rsidR="00000000" w:rsidRPr="00000000">
        <w:rPr>
          <w:rtl w:val="0"/>
        </w:rPr>
      </w:r>
    </w:p>
    <w:p w:rsidR="00000000" w:rsidDel="00000000" w:rsidP="00000000" w:rsidRDefault="00000000" w:rsidRPr="00000000" w14:paraId="00000009">
      <w:pPr>
        <w:rPr>
          <w:rFonts w:ascii="Google Sans" w:cs="Google Sans" w:eastAsia="Google Sans" w:hAnsi="Google Sans"/>
          <w:b w:val="1"/>
          <w:bCs w:val="1"/>
          <w:sz w:val="32"/>
          <w:szCs w:val="32"/>
        </w:rPr>
      </w:pPr>
      <w:r w:rsidDel="00000000" w:rsidR="00000000" w:rsidRPr="00000000">
        <w:rPr>
          <w:rFonts w:ascii="Google Sans" w:cs="Google Sans" w:eastAsia="Google Sans" w:hAnsi="Google Sans"/>
          <w:b w:val="1"/>
          <w:bCs w:val="1"/>
          <w:sz w:val="32"/>
          <w:szCs w:val="32"/>
          <w:rtl w:val="0"/>
        </w:rPr>
        <w:t xml:space="preserve">Architectural Choice : </w:t>
      </w:r>
    </w:p>
    <w:p w:rsidR="00000000" w:rsidDel="00000000" w:rsidP="00000000" w:rsidRDefault="00000000" w:rsidRPr="00000000" w14:paraId="0000000A">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 selected the Layered Architecture style, dividing the system into Presentation, Business, and Data layers.</w:t>
      </w:r>
    </w:p>
    <w:p w:rsidR="00000000" w:rsidDel="00000000" w:rsidP="00000000" w:rsidRDefault="00000000" w:rsidRPr="00000000" w14:paraId="0000000B">
      <w:pPr>
        <w:rPr>
          <w:rFonts w:ascii="Google Sans" w:cs="Google Sans" w:eastAsia="Google Sans" w:hAnsi="Google Sans"/>
          <w:sz w:val="18"/>
          <w:szCs w:val="18"/>
        </w:rPr>
      </w:pPr>
      <w:r w:rsidDel="00000000" w:rsidR="00000000" w:rsidRPr="00000000">
        <w:rPr>
          <w:rtl w:val="0"/>
        </w:rPr>
      </w:r>
    </w:p>
    <w:p w:rsidR="00000000" w:rsidDel="00000000" w:rsidP="00000000" w:rsidRDefault="00000000" w:rsidRPr="00000000" w14:paraId="0000000C">
      <w:pPr>
        <w:rPr>
          <w:rFonts w:ascii="Google Sans" w:cs="Google Sans" w:eastAsia="Google Sans" w:hAnsi="Google Sans"/>
          <w:b w:val="1"/>
          <w:bCs w:val="1"/>
          <w:sz w:val="32"/>
          <w:szCs w:val="32"/>
        </w:rPr>
      </w:pPr>
      <w:r w:rsidDel="00000000" w:rsidR="00000000" w:rsidRPr="00000000">
        <w:rPr>
          <w:rFonts w:ascii="Google Sans" w:cs="Google Sans" w:eastAsia="Google Sans" w:hAnsi="Google Sans"/>
          <w:b w:val="1"/>
          <w:bCs w:val="1"/>
          <w:sz w:val="32"/>
          <w:szCs w:val="32"/>
          <w:rtl w:val="0"/>
        </w:rPr>
        <w:t xml:space="preserve">Two Reasons : </w:t>
      </w:r>
    </w:p>
    <w:p w:rsidR="00000000" w:rsidDel="00000000" w:rsidP="00000000" w:rsidRDefault="00000000" w:rsidRPr="00000000" w14:paraId="0000000D">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Separation of Hardware and Logic : </w:t>
      </w:r>
      <w:r w:rsidDel="00000000" w:rsidR="00000000" w:rsidRPr="00000000">
        <w:rPr>
          <w:rFonts w:ascii="Google Sans" w:cs="Google Sans" w:eastAsia="Google Sans" w:hAnsi="Google Sans"/>
          <w:sz w:val="24"/>
          <w:szCs w:val="24"/>
          <w:rtl w:val="0"/>
        </w:rPr>
        <w:t xml:space="preserve">This architecture separates the user interfaces and scanner hardware(Presentation Layer) from the complex inventory rules. This allows the system to validate proposed pallet placement coordinates against rack maximum load capacities</w:t>
      </w:r>
      <w:r w:rsidDel="00000000" w:rsidR="00000000" w:rsidRPr="00000000">
        <w:rPr>
          <w:rFonts w:ascii="Google Sans" w:cs="Google Sans" w:eastAsia="Google Sans" w:hAnsi="Google Sans"/>
          <w:b w:val="1"/>
          <w:bCs w:val="1"/>
          <w:sz w:val="24"/>
          <w:szCs w:val="24"/>
          <w:rtl w:val="0"/>
        </w:rPr>
        <w:t xml:space="preserve">(FR-01)</w:t>
      </w:r>
      <w:r w:rsidDel="00000000" w:rsidR="00000000" w:rsidRPr="00000000">
        <w:rPr>
          <w:rFonts w:ascii="Google Sans" w:cs="Google Sans" w:eastAsia="Google Sans" w:hAnsi="Google Sans"/>
          <w:sz w:val="24"/>
          <w:szCs w:val="24"/>
          <w:rtl w:val="0"/>
        </w:rPr>
        <w:t xml:space="preserve"> within the Business Layer without tying the logic to the UI.</w:t>
      </w:r>
    </w:p>
    <w:p w:rsidR="00000000" w:rsidDel="00000000" w:rsidP="00000000" w:rsidRDefault="00000000" w:rsidRPr="00000000" w14:paraId="0000000E">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Modularity for Movement Tracking : </w:t>
      </w:r>
      <w:r w:rsidDel="00000000" w:rsidR="00000000" w:rsidRPr="00000000">
        <w:rPr>
          <w:rFonts w:ascii="Google Sans" w:cs="Google Sans" w:eastAsia="Google Sans" w:hAnsi="Google Sans"/>
          <w:sz w:val="24"/>
          <w:szCs w:val="24"/>
          <w:rtl w:val="0"/>
        </w:rPr>
        <w:t xml:space="preserve">Core tracking actions, such as recording a pallet storage event as a stock movement</w:t>
      </w:r>
      <w:r w:rsidDel="00000000" w:rsidR="00000000" w:rsidRPr="00000000">
        <w:rPr>
          <w:rFonts w:ascii="Google Sans" w:cs="Google Sans" w:eastAsia="Google Sans" w:hAnsi="Google Sans"/>
          <w:b w:val="1"/>
          <w:bCs w:val="1"/>
          <w:sz w:val="24"/>
          <w:szCs w:val="24"/>
          <w:rtl w:val="0"/>
        </w:rPr>
        <w:t xml:space="preserve">(UC-03)</w:t>
      </w:r>
      <w:r w:rsidDel="00000000" w:rsidR="00000000" w:rsidRPr="00000000">
        <w:rPr>
          <w:rFonts w:ascii="Google Sans" w:cs="Google Sans" w:eastAsia="Google Sans" w:hAnsi="Google Sans"/>
          <w:sz w:val="24"/>
          <w:szCs w:val="24"/>
          <w:rtl w:val="0"/>
        </w:rPr>
        <w:t xml:space="preserve">, are encapsulated in their own Business Layer components. If the rules for logging movements change,  neither the UI nor the database structure needs to be modified.</w:t>
      </w:r>
    </w:p>
    <w:p w:rsidR="00000000" w:rsidDel="00000000" w:rsidP="00000000" w:rsidRDefault="00000000" w:rsidRPr="00000000" w14:paraId="0000000F">
      <w:pPr>
        <w:ind w:left="0" w:firstLine="0"/>
        <w:rPr>
          <w:rFonts w:ascii="Google Sans" w:cs="Google Sans" w:eastAsia="Google Sans" w:hAnsi="Google Sans"/>
          <w:sz w:val="18"/>
          <w:szCs w:val="18"/>
        </w:rPr>
      </w:pPr>
      <w:r w:rsidDel="00000000" w:rsidR="00000000" w:rsidRPr="00000000">
        <w:rPr>
          <w:rtl w:val="0"/>
        </w:rPr>
      </w:r>
    </w:p>
    <w:p w:rsidR="00000000" w:rsidDel="00000000" w:rsidP="00000000" w:rsidRDefault="00000000" w:rsidRPr="00000000" w14:paraId="00000010">
      <w:pPr>
        <w:ind w:left="0" w:firstLine="0"/>
        <w:rPr>
          <w:rFonts w:ascii="Google Sans" w:cs="Google Sans" w:eastAsia="Google Sans" w:hAnsi="Google Sans"/>
          <w:b w:val="1"/>
          <w:bCs w:val="1"/>
          <w:sz w:val="32"/>
          <w:szCs w:val="32"/>
        </w:rPr>
      </w:pPr>
      <w:r w:rsidDel="00000000" w:rsidR="00000000" w:rsidRPr="00000000">
        <w:rPr>
          <w:rFonts w:ascii="Google Sans" w:cs="Google Sans" w:eastAsia="Google Sans" w:hAnsi="Google Sans"/>
          <w:b w:val="1"/>
          <w:bCs w:val="1"/>
          <w:sz w:val="32"/>
          <w:szCs w:val="32"/>
          <w:rtl w:val="0"/>
        </w:rPr>
        <w:t xml:space="preserve">Security Advantage : </w:t>
      </w:r>
    </w:p>
    <w:p w:rsidR="00000000" w:rsidDel="00000000" w:rsidP="00000000" w:rsidRDefault="00000000" w:rsidRPr="00000000" w14:paraId="00000011">
      <w:pPr>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This architecture inherently enforces access control</w:t>
      </w:r>
      <w:r w:rsidDel="00000000" w:rsidR="00000000" w:rsidRPr="00000000">
        <w:rPr>
          <w:rFonts w:ascii="Google Sans" w:cs="Google Sans" w:eastAsia="Google Sans" w:hAnsi="Google Sans"/>
          <w:b w:val="1"/>
          <w:bCs w:val="1"/>
          <w:sz w:val="24"/>
          <w:szCs w:val="24"/>
          <w:rtl w:val="0"/>
        </w:rPr>
        <w:t xml:space="preserve">(NFR-02)</w:t>
      </w:r>
      <w:r w:rsidDel="00000000" w:rsidR="00000000" w:rsidRPr="00000000">
        <w:rPr>
          <w:rFonts w:ascii="Google Sans" w:cs="Google Sans" w:eastAsia="Google Sans" w:hAnsi="Google Sans"/>
          <w:sz w:val="24"/>
          <w:szCs w:val="24"/>
          <w:rtl w:val="0"/>
        </w:rPr>
        <w:t xml:space="preserve"> by isolating the Warehouse Database inside the Data Layer. Authorized warehouse operators and logistics supervisors must authenticate through the Presentation Layer, which then communicates with the Business Layer, completely preventing unauthorized direct access or manipulation of the database.</w:t>
      </w:r>
    </w:p>
    <w:p w:rsidR="00000000" w:rsidDel="00000000" w:rsidP="00000000" w:rsidRDefault="00000000" w:rsidRPr="00000000" w14:paraId="00000012">
      <w:pPr>
        <w:ind w:left="0" w:firstLine="0"/>
        <w:rPr>
          <w:rFonts w:ascii="Google Sans" w:cs="Google Sans" w:eastAsia="Google Sans" w:hAnsi="Google Sans"/>
          <w:sz w:val="18"/>
          <w:szCs w:val="18"/>
        </w:rPr>
      </w:pPr>
      <w:r w:rsidDel="00000000" w:rsidR="00000000" w:rsidRPr="00000000">
        <w:rPr>
          <w:rtl w:val="0"/>
        </w:rPr>
      </w:r>
    </w:p>
    <w:p w:rsidR="00000000" w:rsidDel="00000000" w:rsidP="00000000" w:rsidRDefault="00000000" w:rsidRPr="00000000" w14:paraId="00000013">
      <w:pPr>
        <w:ind w:left="0" w:firstLine="0"/>
        <w:rPr>
          <w:rFonts w:ascii="Google Sans" w:cs="Google Sans" w:eastAsia="Google Sans" w:hAnsi="Google Sans"/>
          <w:b w:val="1"/>
          <w:bCs w:val="1"/>
          <w:sz w:val="32"/>
          <w:szCs w:val="32"/>
        </w:rPr>
      </w:pPr>
      <w:r w:rsidDel="00000000" w:rsidR="00000000" w:rsidRPr="00000000">
        <w:rPr>
          <w:rFonts w:ascii="Google Sans" w:cs="Google Sans" w:eastAsia="Google Sans" w:hAnsi="Google Sans"/>
          <w:b w:val="1"/>
          <w:bCs w:val="1"/>
          <w:sz w:val="32"/>
          <w:szCs w:val="32"/>
          <w:rtl w:val="0"/>
        </w:rPr>
        <w:t xml:space="preserve">Performance Benefit : </w:t>
      </w:r>
    </w:p>
    <w:p w:rsidR="00000000" w:rsidDel="00000000" w:rsidP="00000000" w:rsidRDefault="00000000" w:rsidRPr="00000000" w14:paraId="00000014">
      <w:pPr>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Isolating the data access operations into a dedicated Data Layer allows the database to be independently optimized with caching and indexing. This structural separation ensures the system can rapidly execute read operations, successfully locating the shelf coordinate of any SKU pallet across 1,00,000</w:t>
      </w:r>
    </w:p>
    <w:p w:rsidR="00000000" w:rsidDel="00000000" w:rsidP="00000000" w:rsidRDefault="00000000" w:rsidRPr="00000000" w14:paraId="00000015">
      <w:pPr>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Bins in less than 100ms</w:t>
      </w:r>
      <w:r w:rsidDel="00000000" w:rsidR="00000000" w:rsidRPr="00000000">
        <w:rPr>
          <w:rFonts w:ascii="Google Sans" w:cs="Google Sans" w:eastAsia="Google Sans" w:hAnsi="Google Sans"/>
          <w:b w:val="1"/>
          <w:bCs w:val="1"/>
          <w:sz w:val="24"/>
          <w:szCs w:val="24"/>
          <w:rtl w:val="0"/>
        </w:rPr>
        <w:t xml:space="preserve">(NFR-01)</w:t>
      </w:r>
      <w:r w:rsidDel="00000000" w:rsidR="00000000" w:rsidRPr="00000000">
        <w:rPr>
          <w:rFonts w:ascii="Google Sans" w:cs="Google Sans" w:eastAsia="Google Sans" w:hAnsi="Google Sans"/>
          <w:sz w:val="24"/>
          <w:szCs w:val="24"/>
          <w:rtl w:val="0"/>
        </w:rPr>
        <w:t xml:space="preserve"> without being bottlenecked by UI or business processing overhead.</w:t>
      </w:r>
    </w:p>
    <w:sectPr>
      <w:pgSz w:h="16838" w:w="11906" w:orient="portrait"/>
      <w:pgMar w:bottom="306.14173228346465" w:top="873.0708661417325"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