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38FA" w14:textId="50212AD1" w:rsidR="005E17E6" w:rsidRDefault="00551537" w:rsidP="00551537">
      <w:pPr>
        <w:jc w:val="center"/>
        <w:rPr>
          <w:b/>
          <w:sz w:val="32"/>
          <w:szCs w:val="32"/>
        </w:rPr>
      </w:pPr>
      <w:r w:rsidRPr="00551537">
        <w:rPr>
          <w:b/>
          <w:sz w:val="32"/>
          <w:szCs w:val="32"/>
        </w:rPr>
        <w:t>Test Fixture &amp; Test</w:t>
      </w:r>
    </w:p>
    <w:p w14:paraId="43F191E5" w14:textId="6CA87B75" w:rsidR="00551537" w:rsidRDefault="00856935" w:rsidP="00551537">
      <w:pPr>
        <w:rPr>
          <w:b/>
          <w:sz w:val="28"/>
          <w:szCs w:val="28"/>
        </w:rPr>
      </w:pPr>
      <w:r>
        <w:rPr>
          <w:b/>
          <w:sz w:val="28"/>
          <w:szCs w:val="28"/>
        </w:rPr>
        <w:t>Part 1: Core Testing Concepts</w:t>
      </w:r>
    </w:p>
    <w:p w14:paraId="72C3CC50" w14:textId="74C2F669" w:rsidR="00856935" w:rsidRDefault="00856935" w:rsidP="00551537">
      <w:pPr>
        <w:rPr>
          <w:bCs/>
          <w:sz w:val="24"/>
          <w:szCs w:val="24"/>
        </w:rPr>
      </w:pPr>
      <w:r>
        <w:rPr>
          <w:b/>
          <w:sz w:val="24"/>
          <w:szCs w:val="24"/>
        </w:rPr>
        <w:t xml:space="preserve">Unit testing vs. Functional Testing: </w:t>
      </w:r>
      <w:r>
        <w:rPr>
          <w:bCs/>
          <w:sz w:val="24"/>
          <w:szCs w:val="24"/>
        </w:rPr>
        <w:t>Unit testing involves isolating and validating the smallest unit of code, often relying on mocking dependencies to ensure the unit functions correctly on its own. In contrast, functional testing evaluates the entire integrated software application against the business requirements to ensure all parts work together correctly.</w:t>
      </w:r>
    </w:p>
    <w:p w14:paraId="5BE7BF53" w14:textId="511360FB" w:rsidR="00856935" w:rsidRDefault="00856935" w:rsidP="00551537">
      <w:pPr>
        <w:rPr>
          <w:bCs/>
          <w:sz w:val="24"/>
          <w:szCs w:val="24"/>
        </w:rPr>
      </w:pPr>
      <w:r>
        <w:rPr>
          <w:b/>
          <w:sz w:val="24"/>
          <w:szCs w:val="24"/>
        </w:rPr>
        <w:t xml:space="preserve">Types of Testing: </w:t>
      </w:r>
      <w:r>
        <w:rPr>
          <w:bCs/>
          <w:sz w:val="24"/>
          <w:szCs w:val="24"/>
        </w:rPr>
        <w:t>The primary software testing categories include Unit testing, Functional testing, Automated testing, and Performance testing.</w:t>
      </w:r>
    </w:p>
    <w:p w14:paraId="1190626E" w14:textId="28D2BCCA" w:rsidR="00856935" w:rsidRDefault="00856935" w:rsidP="00551537">
      <w:pPr>
        <w:rPr>
          <w:bCs/>
          <w:sz w:val="24"/>
          <w:szCs w:val="24"/>
        </w:rPr>
      </w:pPr>
      <w:r>
        <w:rPr>
          <w:b/>
          <w:sz w:val="24"/>
          <w:szCs w:val="24"/>
        </w:rPr>
        <w:t xml:space="preserve">Benefits of Automated Testing: </w:t>
      </w:r>
      <w:r>
        <w:rPr>
          <w:bCs/>
          <w:sz w:val="24"/>
          <w:szCs w:val="24"/>
        </w:rPr>
        <w:t>Automated testing provides immune value by allowing tests to run consistently and rapidly, ensuring that new code changes do not break existing functionality.</w:t>
      </w:r>
    </w:p>
    <w:p w14:paraId="45497A93" w14:textId="3556D243" w:rsidR="00856935" w:rsidRDefault="00856935" w:rsidP="00551537">
      <w:pPr>
        <w:rPr>
          <w:bCs/>
          <w:sz w:val="24"/>
          <w:szCs w:val="24"/>
        </w:rPr>
      </w:pPr>
      <w:r>
        <w:rPr>
          <w:b/>
          <w:sz w:val="24"/>
          <w:szCs w:val="24"/>
        </w:rPr>
        <w:t xml:space="preserve">Loosely Coupled &amp; Testable Design: </w:t>
      </w:r>
      <w:r>
        <w:rPr>
          <w:bCs/>
          <w:sz w:val="24"/>
          <w:szCs w:val="24"/>
        </w:rPr>
        <w:t>A loosely coupled design ensures that you write code that is NOT dependent on a specific class for data. By using interfaces (such as IMathLibrary), components can be tested independently, allowing developers to inject mock data rather relying on live databases or external systems.</w:t>
      </w:r>
    </w:p>
    <w:p w14:paraId="0137C377" w14:textId="1A7389BF" w:rsidR="00856935" w:rsidRDefault="00856935" w:rsidP="00551537">
      <w:pPr>
        <w:rPr>
          <w:b/>
          <w:sz w:val="28"/>
          <w:szCs w:val="28"/>
        </w:rPr>
      </w:pPr>
      <w:r>
        <w:rPr>
          <w:b/>
          <w:sz w:val="28"/>
          <w:szCs w:val="28"/>
        </w:rPr>
        <w:t>Part 2: NUnit Framework Architecture</w:t>
      </w:r>
    </w:p>
    <w:p w14:paraId="63F042AE" w14:textId="29DEAC64" w:rsidR="00856935" w:rsidRDefault="0099472B" w:rsidP="00551537">
      <w:pPr>
        <w:rPr>
          <w:bCs/>
          <w:sz w:val="24"/>
          <w:szCs w:val="24"/>
        </w:rPr>
      </w:pPr>
      <w:r>
        <w:rPr>
          <w:bCs/>
          <w:sz w:val="24"/>
          <w:szCs w:val="24"/>
        </w:rPr>
        <w:t>To validate a calculator addition operation, the NUnit framework relies on several core attributes:</w:t>
      </w:r>
    </w:p>
    <w:p w14:paraId="2D637D34" w14:textId="555FE062" w:rsidR="0099472B" w:rsidRDefault="0099472B" w:rsidP="00551537">
      <w:pPr>
        <w:rPr>
          <w:bCs/>
          <w:sz w:val="24"/>
          <w:szCs w:val="24"/>
        </w:rPr>
      </w:pPr>
      <w:r>
        <w:rPr>
          <w:b/>
          <w:sz w:val="24"/>
          <w:szCs w:val="24"/>
        </w:rPr>
        <w:t xml:space="preserve">Class and Method Declaration: </w:t>
      </w:r>
      <w:r>
        <w:rPr>
          <w:bCs/>
          <w:sz w:val="24"/>
          <w:szCs w:val="24"/>
        </w:rPr>
        <w:t>The [TestFixture] and [Test] attributes denote a class that contains tests and a specific test method, respectively.</w:t>
      </w:r>
    </w:p>
    <w:p w14:paraId="7CCA9252" w14:textId="7F3716D4" w:rsidR="0099472B" w:rsidRDefault="0099472B" w:rsidP="00551537">
      <w:pPr>
        <w:rPr>
          <w:bCs/>
          <w:sz w:val="24"/>
          <w:szCs w:val="24"/>
        </w:rPr>
      </w:pPr>
      <w:r>
        <w:rPr>
          <w:b/>
          <w:sz w:val="24"/>
          <w:szCs w:val="24"/>
        </w:rPr>
        <w:t xml:space="preserve">Lifecycle Management: </w:t>
      </w:r>
      <w:r>
        <w:rPr>
          <w:bCs/>
          <w:sz w:val="24"/>
          <w:szCs w:val="24"/>
        </w:rPr>
        <w:t>The [SetUp] and [TearDown] attributes handle the declare, initialize and cleanup activities. [SetUp] runs before each test to guarantee a fresh state, while {TearDown] clears the state after execution. The [Ignore] attribute safely skips a test without causing a build failure.</w:t>
      </w:r>
    </w:p>
    <w:p w14:paraId="18821CBE" w14:textId="305E65F0" w:rsidR="0099472B" w:rsidRDefault="0099472B" w:rsidP="00551537">
      <w:pPr>
        <w:rPr>
          <w:bCs/>
          <w:sz w:val="24"/>
          <w:szCs w:val="24"/>
        </w:rPr>
      </w:pPr>
      <w:r>
        <w:rPr>
          <w:b/>
          <w:sz w:val="24"/>
          <w:szCs w:val="24"/>
        </w:rPr>
        <w:t xml:space="preserve">Parameterized Testing: </w:t>
      </w:r>
      <w:r>
        <w:rPr>
          <w:bCs/>
          <w:sz w:val="24"/>
          <w:szCs w:val="24"/>
        </w:rPr>
        <w:t>Ther is a significant benefit to writing parameterised test cases. The [TestCase] attribute is used to send the inputs and the expected result directly into a single test method. This eliminates the need to write the repetitive test methods for multiple data sets.</w:t>
      </w:r>
    </w:p>
    <w:p w14:paraId="3D3F5D97" w14:textId="23669192" w:rsidR="0099472B" w:rsidRDefault="0099472B" w:rsidP="00551537">
      <w:pPr>
        <w:rPr>
          <w:bCs/>
          <w:sz w:val="24"/>
          <w:szCs w:val="24"/>
        </w:rPr>
      </w:pPr>
      <w:r>
        <w:rPr>
          <w:b/>
          <w:sz w:val="24"/>
          <w:szCs w:val="24"/>
        </w:rPr>
        <w:t xml:space="preserve">Validation: </w:t>
      </w:r>
      <w:r>
        <w:rPr>
          <w:bCs/>
          <w:sz w:val="24"/>
          <w:szCs w:val="24"/>
        </w:rPr>
        <w:t>To finalize a test case, Assert.That is used to check the actual and expected result match.</w:t>
      </w:r>
    </w:p>
    <w:p w14:paraId="4C6E146D" w14:textId="08D29A76" w:rsidR="0099472B" w:rsidRDefault="0099472B" w:rsidP="00551537">
      <w:pPr>
        <w:rPr>
          <w:b/>
          <w:sz w:val="28"/>
          <w:szCs w:val="28"/>
        </w:rPr>
      </w:pPr>
      <w:r>
        <w:rPr>
          <w:b/>
          <w:sz w:val="28"/>
          <w:szCs w:val="28"/>
        </w:rPr>
        <w:t>Part 3: Test Implementation Code</w:t>
      </w:r>
    </w:p>
    <w:p w14:paraId="449D3E15" w14:textId="3F7AC867" w:rsidR="0099472B" w:rsidRDefault="0099472B" w:rsidP="00551537">
      <w:pPr>
        <w:rPr>
          <w:bCs/>
          <w:sz w:val="24"/>
          <w:szCs w:val="24"/>
        </w:rPr>
      </w:pPr>
      <w:r>
        <w:rPr>
          <w:bCs/>
          <w:sz w:val="24"/>
          <w:szCs w:val="24"/>
        </w:rPr>
        <w:t>Below is the C# implementation utilizing the required NUnit attributes to test the SimpleCalculator logic:</w:t>
      </w:r>
    </w:p>
    <w:p w14:paraId="52E353F9"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660066"/>
          <w:sz w:val="17"/>
          <w:szCs w:val="17"/>
        </w:rPr>
        <w:t>NUnit</w:t>
      </w:r>
      <w:r>
        <w:rPr>
          <w:rFonts w:ascii="Consolas" w:hAnsi="Consolas" w:cs="Courier New"/>
          <w:color w:val="666600"/>
          <w:sz w:val="17"/>
          <w:szCs w:val="17"/>
        </w:rPr>
        <w:t>.</w:t>
      </w:r>
      <w:r>
        <w:rPr>
          <w:rFonts w:ascii="Consolas" w:hAnsi="Consolas" w:cs="Courier New"/>
          <w:color w:val="660066"/>
          <w:sz w:val="17"/>
          <w:szCs w:val="17"/>
        </w:rPr>
        <w:t>Framework</w:t>
      </w:r>
      <w:r>
        <w:rPr>
          <w:rFonts w:ascii="Consolas" w:hAnsi="Consolas" w:cs="Courier New"/>
          <w:color w:val="666600"/>
          <w:sz w:val="17"/>
          <w:szCs w:val="17"/>
        </w:rPr>
        <w:t>;</w:t>
      </w:r>
    </w:p>
    <w:p w14:paraId="76195F9B"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660066"/>
          <w:sz w:val="17"/>
          <w:szCs w:val="17"/>
        </w:rPr>
        <w:t>CalcLibrary</w:t>
      </w:r>
      <w:r>
        <w:rPr>
          <w:rFonts w:ascii="Consolas" w:hAnsi="Consolas" w:cs="Courier New"/>
          <w:color w:val="666600"/>
          <w:sz w:val="17"/>
          <w:szCs w:val="17"/>
        </w:rPr>
        <w:t>;</w:t>
      </w:r>
      <w:r>
        <w:rPr>
          <w:rFonts w:ascii="Consolas" w:hAnsi="Consolas" w:cs="Courier New"/>
          <w:color w:val="000000"/>
          <w:sz w:val="17"/>
          <w:szCs w:val="17"/>
        </w:rPr>
        <w:t xml:space="preserve"> </w:t>
      </w:r>
    </w:p>
    <w:p w14:paraId="4675A994"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2AF77EBD"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namespace</w:t>
      </w:r>
      <w:r>
        <w:rPr>
          <w:rFonts w:ascii="Consolas" w:hAnsi="Consolas" w:cs="Courier New"/>
          <w:color w:val="000000"/>
          <w:sz w:val="17"/>
          <w:szCs w:val="17"/>
        </w:rPr>
        <w:t xml:space="preserve"> </w:t>
      </w:r>
      <w:r>
        <w:rPr>
          <w:rFonts w:ascii="Consolas" w:hAnsi="Consolas" w:cs="Courier New"/>
          <w:color w:val="660066"/>
          <w:sz w:val="17"/>
          <w:szCs w:val="17"/>
        </w:rPr>
        <w:t>CalcLibrary</w:t>
      </w:r>
      <w:r>
        <w:rPr>
          <w:rFonts w:ascii="Consolas" w:hAnsi="Consolas" w:cs="Courier New"/>
          <w:color w:val="666600"/>
          <w:sz w:val="17"/>
          <w:szCs w:val="17"/>
        </w:rPr>
        <w:t>.</w:t>
      </w:r>
      <w:r>
        <w:rPr>
          <w:rFonts w:ascii="Consolas" w:hAnsi="Consolas" w:cs="Courier New"/>
          <w:color w:val="660066"/>
          <w:sz w:val="17"/>
          <w:szCs w:val="17"/>
        </w:rPr>
        <w:t>Tests</w:t>
      </w:r>
    </w:p>
    <w:p w14:paraId="73C5E8AE"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lastRenderedPageBreak/>
        <w:t xml:space="preserve"> 5. </w:t>
      </w:r>
      <w:r>
        <w:rPr>
          <w:rFonts w:ascii="Consolas" w:hAnsi="Consolas" w:cs="Courier New"/>
          <w:color w:val="666600"/>
          <w:sz w:val="17"/>
          <w:szCs w:val="17"/>
        </w:rPr>
        <w:t>{</w:t>
      </w:r>
    </w:p>
    <w:p w14:paraId="0A7C5B1E"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TestFixture</w:t>
      </w:r>
      <w:r>
        <w:rPr>
          <w:rFonts w:ascii="Consolas" w:hAnsi="Consolas" w:cs="Courier New"/>
          <w:color w:val="666600"/>
          <w:sz w:val="17"/>
          <w:szCs w:val="17"/>
        </w:rPr>
        <w:t>]</w:t>
      </w:r>
      <w:r>
        <w:rPr>
          <w:rFonts w:ascii="Consolas" w:hAnsi="Consolas" w:cs="Courier New"/>
          <w:color w:val="000000"/>
          <w:sz w:val="17"/>
          <w:szCs w:val="17"/>
        </w:rPr>
        <w:t xml:space="preserve"> </w:t>
      </w:r>
    </w:p>
    <w:p w14:paraId="5FC043C5"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CalculatorTests</w:t>
      </w:r>
    </w:p>
    <w:p w14:paraId="6DF4CD68"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p>
    <w:p w14:paraId="6378FDC0"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SimpleCalculator</w:t>
      </w:r>
      <w:r>
        <w:rPr>
          <w:rFonts w:ascii="Consolas" w:hAnsi="Consolas" w:cs="Courier New"/>
          <w:color w:val="000000"/>
          <w:sz w:val="17"/>
          <w:szCs w:val="17"/>
        </w:rPr>
        <w:t xml:space="preserve"> _calculator</w:t>
      </w:r>
      <w:r>
        <w:rPr>
          <w:rFonts w:ascii="Consolas" w:hAnsi="Consolas" w:cs="Courier New"/>
          <w:color w:val="666600"/>
          <w:sz w:val="17"/>
          <w:szCs w:val="17"/>
        </w:rPr>
        <w:t>;</w:t>
      </w:r>
    </w:p>
    <w:p w14:paraId="33AB890A"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56B519C0"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SetUp</w:t>
      </w:r>
      <w:r>
        <w:rPr>
          <w:rFonts w:ascii="Consolas" w:hAnsi="Consolas" w:cs="Courier New"/>
          <w:color w:val="666600"/>
          <w:sz w:val="17"/>
          <w:szCs w:val="17"/>
        </w:rPr>
        <w:t>]</w:t>
      </w:r>
      <w:r>
        <w:rPr>
          <w:rFonts w:ascii="Consolas" w:hAnsi="Consolas" w:cs="Courier New"/>
          <w:color w:val="000000"/>
          <w:sz w:val="17"/>
          <w:szCs w:val="17"/>
        </w:rPr>
        <w:t xml:space="preserve"> </w:t>
      </w:r>
    </w:p>
    <w:p w14:paraId="7CA9C1C6"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Setup</w:t>
      </w:r>
      <w:r>
        <w:rPr>
          <w:rFonts w:ascii="Consolas" w:hAnsi="Consolas" w:cs="Courier New"/>
          <w:color w:val="666600"/>
          <w:sz w:val="17"/>
          <w:szCs w:val="17"/>
        </w:rPr>
        <w:t>()</w:t>
      </w:r>
    </w:p>
    <w:p w14:paraId="177BBFC5"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p>
    <w:p w14:paraId="01789F58"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_calculator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SimpleCalculator</w:t>
      </w:r>
      <w:r>
        <w:rPr>
          <w:rFonts w:ascii="Consolas" w:hAnsi="Consolas" w:cs="Courier New"/>
          <w:color w:val="666600"/>
          <w:sz w:val="17"/>
          <w:szCs w:val="17"/>
        </w:rPr>
        <w:t>();</w:t>
      </w:r>
    </w:p>
    <w:p w14:paraId="0B859DFB"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p>
    <w:p w14:paraId="200A63B4"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499FB43D"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TearDown</w:t>
      </w:r>
      <w:r>
        <w:rPr>
          <w:rFonts w:ascii="Consolas" w:hAnsi="Consolas" w:cs="Courier New"/>
          <w:color w:val="666600"/>
          <w:sz w:val="17"/>
          <w:szCs w:val="17"/>
        </w:rPr>
        <w:t>]</w:t>
      </w:r>
      <w:r>
        <w:rPr>
          <w:rFonts w:ascii="Consolas" w:hAnsi="Consolas" w:cs="Courier New"/>
          <w:color w:val="000000"/>
          <w:sz w:val="17"/>
          <w:szCs w:val="17"/>
        </w:rPr>
        <w:t xml:space="preserve"> </w:t>
      </w:r>
    </w:p>
    <w:p w14:paraId="0ED26111"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TearDown</w:t>
      </w:r>
      <w:r>
        <w:rPr>
          <w:rFonts w:ascii="Consolas" w:hAnsi="Consolas" w:cs="Courier New"/>
          <w:color w:val="666600"/>
          <w:sz w:val="17"/>
          <w:szCs w:val="17"/>
        </w:rPr>
        <w:t>()</w:t>
      </w:r>
    </w:p>
    <w:p w14:paraId="37E27D54"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p>
    <w:p w14:paraId="06EEC32E"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_calculator</w:t>
      </w:r>
      <w:r>
        <w:rPr>
          <w:rFonts w:ascii="Consolas" w:hAnsi="Consolas" w:cs="Courier New"/>
          <w:color w:val="666600"/>
          <w:sz w:val="17"/>
          <w:szCs w:val="17"/>
        </w:rPr>
        <w:t>.</w:t>
      </w:r>
      <w:r>
        <w:rPr>
          <w:rFonts w:ascii="Consolas" w:hAnsi="Consolas" w:cs="Courier New"/>
          <w:color w:val="660066"/>
          <w:sz w:val="17"/>
          <w:szCs w:val="17"/>
        </w:rPr>
        <w:t>AllClear</w:t>
      </w:r>
      <w:r>
        <w:rPr>
          <w:rFonts w:ascii="Consolas" w:hAnsi="Consolas" w:cs="Courier New"/>
          <w:color w:val="666600"/>
          <w:sz w:val="17"/>
          <w:szCs w:val="17"/>
        </w:rPr>
        <w:t>();</w:t>
      </w:r>
    </w:p>
    <w:p w14:paraId="10C27004"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p>
    <w:p w14:paraId="0E4FF4B1"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2C6AD65C"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TestCase</w:t>
      </w:r>
      <w:r>
        <w:rPr>
          <w:rFonts w:ascii="Consolas" w:hAnsi="Consolas" w:cs="Courier New"/>
          <w:color w:val="666600"/>
          <w:sz w:val="17"/>
          <w:szCs w:val="17"/>
        </w:rPr>
        <w:t>(</w:t>
      </w:r>
      <w:r>
        <w:rPr>
          <w:rFonts w:ascii="Consolas" w:hAnsi="Consolas" w:cs="Courier New"/>
          <w:color w:val="006666"/>
          <w:sz w:val="17"/>
          <w:szCs w:val="17"/>
        </w:rPr>
        <w:t>10.5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16.0</w:t>
      </w:r>
      <w:r>
        <w:rPr>
          <w:rFonts w:ascii="Consolas" w:hAnsi="Consolas" w:cs="Courier New"/>
          <w:color w:val="666600"/>
          <w:sz w:val="17"/>
          <w:szCs w:val="17"/>
        </w:rPr>
        <w:t>)]</w:t>
      </w:r>
    </w:p>
    <w:p w14:paraId="19AE59C5"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TestCase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0B6A5F2"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TestCase</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0A09046B"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Addition_ShouldReturnCorrectSum</w:t>
      </w:r>
      <w:r>
        <w:rPr>
          <w:rFonts w:ascii="Consolas" w:hAnsi="Consolas" w:cs="Courier New"/>
          <w:color w:val="666600"/>
          <w:sz w:val="17"/>
          <w:szCs w:val="17"/>
        </w:rPr>
        <w:t>(</w:t>
      </w:r>
      <w:r>
        <w:rPr>
          <w:rFonts w:ascii="Consolas" w:hAnsi="Consolas" w:cs="Courier New"/>
          <w:color w:val="000088"/>
          <w:sz w:val="17"/>
          <w:szCs w:val="17"/>
        </w:rPr>
        <w:t>double</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expectedResult</w:t>
      </w:r>
      <w:r>
        <w:rPr>
          <w:rFonts w:ascii="Consolas" w:hAnsi="Consolas" w:cs="Courier New"/>
          <w:color w:val="666600"/>
          <w:sz w:val="17"/>
          <w:szCs w:val="17"/>
        </w:rPr>
        <w:t>)</w:t>
      </w:r>
    </w:p>
    <w:p w14:paraId="16FB25A3"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666600"/>
          <w:sz w:val="17"/>
          <w:szCs w:val="17"/>
        </w:rPr>
        <w:t>{</w:t>
      </w:r>
    </w:p>
    <w:p w14:paraId="3BDF8A80"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actualResult </w:t>
      </w:r>
      <w:r>
        <w:rPr>
          <w:rFonts w:ascii="Consolas" w:hAnsi="Consolas" w:cs="Courier New"/>
          <w:color w:val="666600"/>
          <w:sz w:val="17"/>
          <w:szCs w:val="17"/>
        </w:rPr>
        <w:t>=</w:t>
      </w:r>
      <w:r>
        <w:rPr>
          <w:rFonts w:ascii="Consolas" w:hAnsi="Consolas" w:cs="Courier New"/>
          <w:color w:val="000000"/>
          <w:sz w:val="17"/>
          <w:szCs w:val="17"/>
        </w:rPr>
        <w:t xml:space="preserve"> _calculator</w:t>
      </w:r>
      <w:r>
        <w:rPr>
          <w:rFonts w:ascii="Consolas" w:hAnsi="Consolas" w:cs="Courier New"/>
          <w:color w:val="666600"/>
          <w:sz w:val="17"/>
          <w:szCs w:val="17"/>
        </w:rPr>
        <w:t>.</w:t>
      </w:r>
      <w:r>
        <w:rPr>
          <w:rFonts w:ascii="Consolas" w:hAnsi="Consolas" w:cs="Courier New"/>
          <w:color w:val="660066"/>
          <w:sz w:val="17"/>
          <w:szCs w:val="17"/>
        </w:rPr>
        <w:t>Addition</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09D11164"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0066"/>
          <w:sz w:val="17"/>
          <w:szCs w:val="17"/>
        </w:rPr>
        <w:t>Assert</w:t>
      </w:r>
      <w:r>
        <w:rPr>
          <w:rFonts w:ascii="Consolas" w:hAnsi="Consolas" w:cs="Courier New"/>
          <w:color w:val="666600"/>
          <w:sz w:val="17"/>
          <w:szCs w:val="17"/>
        </w:rPr>
        <w:t>.</w:t>
      </w:r>
      <w:r>
        <w:rPr>
          <w:rFonts w:ascii="Consolas" w:hAnsi="Consolas" w:cs="Courier New"/>
          <w:color w:val="660066"/>
          <w:sz w:val="17"/>
          <w:szCs w:val="17"/>
        </w:rPr>
        <w:t>That</w:t>
      </w:r>
      <w:r>
        <w:rPr>
          <w:rFonts w:ascii="Consolas" w:hAnsi="Consolas" w:cs="Courier New"/>
          <w:color w:val="666600"/>
          <w:sz w:val="17"/>
          <w:szCs w:val="17"/>
        </w:rPr>
        <w:t>(</w:t>
      </w:r>
      <w:r>
        <w:rPr>
          <w:rFonts w:ascii="Consolas" w:hAnsi="Consolas" w:cs="Courier New"/>
          <w:color w:val="000000"/>
          <w:sz w:val="17"/>
          <w:szCs w:val="17"/>
        </w:rPr>
        <w:t>actualResult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Is</w:t>
      </w:r>
      <w:r>
        <w:rPr>
          <w:rFonts w:ascii="Consolas" w:hAnsi="Consolas" w:cs="Courier New"/>
          <w:color w:val="666600"/>
          <w:sz w:val="17"/>
          <w:szCs w:val="17"/>
        </w:rPr>
        <w:t>.</w:t>
      </w:r>
      <w:r>
        <w:rPr>
          <w:rFonts w:ascii="Consolas" w:hAnsi="Consolas" w:cs="Courier New"/>
          <w:color w:val="660066"/>
          <w:sz w:val="17"/>
          <w:szCs w:val="17"/>
        </w:rPr>
        <w:t>EqualTo</w:t>
      </w:r>
      <w:r>
        <w:rPr>
          <w:rFonts w:ascii="Consolas" w:hAnsi="Consolas" w:cs="Courier New"/>
          <w:color w:val="666600"/>
          <w:sz w:val="17"/>
          <w:szCs w:val="17"/>
        </w:rPr>
        <w:t>(</w:t>
      </w:r>
      <w:r>
        <w:rPr>
          <w:rFonts w:ascii="Consolas" w:hAnsi="Consolas" w:cs="Courier New"/>
          <w:color w:val="000000"/>
          <w:sz w:val="17"/>
          <w:szCs w:val="17"/>
        </w:rPr>
        <w:t>expectedResult</w:t>
      </w:r>
      <w:r>
        <w:rPr>
          <w:rFonts w:ascii="Consolas" w:hAnsi="Consolas" w:cs="Courier New"/>
          <w:color w:val="666600"/>
          <w:sz w:val="17"/>
          <w:szCs w:val="17"/>
        </w:rPr>
        <w:t>));</w:t>
      </w:r>
    </w:p>
    <w:p w14:paraId="3494E858"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666600"/>
          <w:sz w:val="17"/>
          <w:szCs w:val="17"/>
        </w:rPr>
        <w:t>}</w:t>
      </w:r>
    </w:p>
    <w:p w14:paraId="4FA24897"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w:t>
      </w:r>
    </w:p>
    <w:p w14:paraId="1FC7B3C8"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Test</w:t>
      </w:r>
      <w:r>
        <w:rPr>
          <w:rFonts w:ascii="Consolas" w:hAnsi="Consolas" w:cs="Courier New"/>
          <w:color w:val="666600"/>
          <w:sz w:val="17"/>
          <w:szCs w:val="17"/>
        </w:rPr>
        <w:t>]</w:t>
      </w:r>
    </w:p>
    <w:p w14:paraId="4B48BAD9"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Ignore</w:t>
      </w:r>
      <w:r>
        <w:rPr>
          <w:rFonts w:ascii="Consolas" w:hAnsi="Consolas" w:cs="Courier New"/>
          <w:color w:val="666600"/>
          <w:sz w:val="17"/>
          <w:szCs w:val="17"/>
        </w:rPr>
        <w:t>(</w:t>
      </w:r>
      <w:r>
        <w:rPr>
          <w:rFonts w:ascii="Consolas" w:hAnsi="Consolas" w:cs="Courier New"/>
          <w:color w:val="008800"/>
          <w:sz w:val="17"/>
          <w:szCs w:val="17"/>
        </w:rPr>
        <w:t>"Ignoring this test to demonstrate the [Ignore] attribute."</w:t>
      </w:r>
      <w:r>
        <w:rPr>
          <w:rFonts w:ascii="Consolas" w:hAnsi="Consolas" w:cs="Courier New"/>
          <w:color w:val="666600"/>
          <w:sz w:val="17"/>
          <w:szCs w:val="17"/>
        </w:rPr>
        <w:t>)]</w:t>
      </w:r>
    </w:p>
    <w:p w14:paraId="403503B4"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Subtraction_ShouldBeIgnored</w:t>
      </w:r>
      <w:r>
        <w:rPr>
          <w:rFonts w:ascii="Consolas" w:hAnsi="Consolas" w:cs="Courier New"/>
          <w:color w:val="666600"/>
          <w:sz w:val="17"/>
          <w:szCs w:val="17"/>
        </w:rPr>
        <w:t>()</w:t>
      </w:r>
    </w:p>
    <w:p w14:paraId="4CDBE74F"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666600"/>
          <w:sz w:val="17"/>
          <w:szCs w:val="17"/>
        </w:rPr>
        <w:t>{</w:t>
      </w:r>
    </w:p>
    <w:p w14:paraId="2B459027"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660066"/>
          <w:sz w:val="17"/>
          <w:szCs w:val="17"/>
        </w:rPr>
        <w:t>Assert</w:t>
      </w:r>
      <w:r>
        <w:rPr>
          <w:rFonts w:ascii="Consolas" w:hAnsi="Consolas" w:cs="Courier New"/>
          <w:color w:val="666600"/>
          <w:sz w:val="17"/>
          <w:szCs w:val="17"/>
        </w:rPr>
        <w:t>.</w:t>
      </w:r>
      <w:r>
        <w:rPr>
          <w:rFonts w:ascii="Consolas" w:hAnsi="Consolas" w:cs="Courier New"/>
          <w:color w:val="660066"/>
          <w:sz w:val="17"/>
          <w:szCs w:val="17"/>
        </w:rPr>
        <w:t>Fail</w:t>
      </w:r>
      <w:r>
        <w:rPr>
          <w:rFonts w:ascii="Consolas" w:hAnsi="Consolas" w:cs="Courier New"/>
          <w:color w:val="666600"/>
          <w:sz w:val="17"/>
          <w:szCs w:val="17"/>
        </w:rPr>
        <w:t>(</w:t>
      </w:r>
      <w:r>
        <w:rPr>
          <w:rFonts w:ascii="Consolas" w:hAnsi="Consolas" w:cs="Courier New"/>
          <w:color w:val="008800"/>
          <w:sz w:val="17"/>
          <w:szCs w:val="17"/>
        </w:rPr>
        <w:t>"This should never run because of the Ignore attribute."</w:t>
      </w:r>
      <w:r>
        <w:rPr>
          <w:rFonts w:ascii="Consolas" w:hAnsi="Consolas" w:cs="Courier New"/>
          <w:color w:val="666600"/>
          <w:sz w:val="17"/>
          <w:szCs w:val="17"/>
        </w:rPr>
        <w:t>);</w:t>
      </w:r>
    </w:p>
    <w:p w14:paraId="26B7E277"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666600"/>
          <w:sz w:val="17"/>
          <w:szCs w:val="17"/>
        </w:rPr>
        <w:t>}</w:t>
      </w:r>
    </w:p>
    <w:p w14:paraId="7777AED7"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666600"/>
          <w:sz w:val="17"/>
          <w:szCs w:val="17"/>
        </w:rPr>
        <w:t>}</w:t>
      </w:r>
    </w:p>
    <w:p w14:paraId="457B767A"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666600"/>
          <w:sz w:val="17"/>
          <w:szCs w:val="17"/>
        </w:rPr>
        <w:t>}</w:t>
      </w:r>
    </w:p>
    <w:p w14:paraId="2C7CF047" w14:textId="77777777" w:rsidR="0099472B" w:rsidRDefault="0099472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698068"/>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w:t>
      </w:r>
    </w:p>
    <w:p w14:paraId="5B9B8A26" w14:textId="2ABA9498" w:rsidR="0099472B" w:rsidRDefault="0099472B" w:rsidP="0099472B">
      <w:pPr>
        <w:rPr>
          <w:bCs/>
          <w:sz w:val="24"/>
          <w:szCs w:val="24"/>
        </w:rPr>
      </w:pPr>
    </w:p>
    <w:p w14:paraId="265F413F" w14:textId="2A0E85C5" w:rsidR="0099472B" w:rsidRDefault="0099472B" w:rsidP="0099472B">
      <w:pPr>
        <w:rPr>
          <w:b/>
          <w:sz w:val="28"/>
          <w:szCs w:val="28"/>
        </w:rPr>
      </w:pPr>
      <w:r>
        <w:rPr>
          <w:b/>
          <w:sz w:val="28"/>
          <w:szCs w:val="28"/>
        </w:rPr>
        <w:t xml:space="preserve">Part 4: Execution Results: </w:t>
      </w:r>
    </w:p>
    <w:p w14:paraId="36E5947F" w14:textId="73C23C14" w:rsidR="0099472B" w:rsidRDefault="0099472B" w:rsidP="0099472B">
      <w:pPr>
        <w:rPr>
          <w:bCs/>
          <w:sz w:val="24"/>
          <w:szCs w:val="24"/>
        </w:rPr>
      </w:pPr>
      <w:r>
        <w:rPr>
          <w:bCs/>
          <w:sz w:val="24"/>
          <w:szCs w:val="24"/>
        </w:rPr>
        <w:t>The tests were executed successfully using the modern .NET CLI. As shown in the execution output below, the parameterized addition test ran three times successfully, and the subtraction test was intentionally skipped to demonstrate the [Ignore] attribute.</w:t>
      </w:r>
    </w:p>
    <w:p w14:paraId="5AC6ECAC" w14:textId="4ACF4DAA" w:rsidR="0099472B" w:rsidRPr="0099472B" w:rsidRDefault="0099472B" w:rsidP="0099472B">
      <w:pPr>
        <w:rPr>
          <w:bCs/>
          <w:sz w:val="24"/>
          <w:szCs w:val="24"/>
        </w:rPr>
      </w:pPr>
      <w:r w:rsidRPr="0099472B">
        <w:rPr>
          <w:bCs/>
          <w:sz w:val="24"/>
          <w:szCs w:val="24"/>
        </w:rPr>
        <w:drawing>
          <wp:inline distT="0" distB="0" distL="0" distR="0" wp14:anchorId="0DE349C1" wp14:editId="4EDA4C35">
            <wp:extent cx="5731510" cy="1284605"/>
            <wp:effectExtent l="0" t="0" r="2540" b="0"/>
            <wp:docPr id="131342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24754" name=""/>
                    <pic:cNvPicPr/>
                  </pic:nvPicPr>
                  <pic:blipFill>
                    <a:blip r:embed="rId4"/>
                    <a:stretch>
                      <a:fillRect/>
                    </a:stretch>
                  </pic:blipFill>
                  <pic:spPr>
                    <a:xfrm>
                      <a:off x="0" y="0"/>
                      <a:ext cx="5731510" cy="1284605"/>
                    </a:xfrm>
                    <a:prstGeom prst="rect">
                      <a:avLst/>
                    </a:prstGeom>
                  </pic:spPr>
                </pic:pic>
              </a:graphicData>
            </a:graphic>
          </wp:inline>
        </w:drawing>
      </w:r>
    </w:p>
    <w:sectPr w:rsidR="0099472B" w:rsidRPr="00994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A93"/>
    <w:rsid w:val="0002389E"/>
    <w:rsid w:val="000E0A93"/>
    <w:rsid w:val="00385149"/>
    <w:rsid w:val="004A224B"/>
    <w:rsid w:val="00551537"/>
    <w:rsid w:val="005E17E6"/>
    <w:rsid w:val="007245D2"/>
    <w:rsid w:val="00856935"/>
    <w:rsid w:val="0099472B"/>
    <w:rsid w:val="00D82E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FCF02"/>
  <w15:chartTrackingRefBased/>
  <w15:docId w15:val="{FC97B5F5-EC9B-4A22-B476-6E961DA26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A93"/>
    <w:rPr>
      <w:rFonts w:eastAsiaTheme="majorEastAsia" w:cstheme="majorBidi"/>
      <w:color w:val="272727" w:themeColor="text1" w:themeTint="D8"/>
    </w:rPr>
  </w:style>
  <w:style w:type="paragraph" w:styleId="Title">
    <w:name w:val="Title"/>
    <w:basedOn w:val="Normal"/>
    <w:next w:val="Normal"/>
    <w:link w:val="TitleChar"/>
    <w:uiPriority w:val="10"/>
    <w:qFormat/>
    <w:rsid w:val="000E0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A93"/>
    <w:pPr>
      <w:spacing w:before="160"/>
      <w:jc w:val="center"/>
    </w:pPr>
    <w:rPr>
      <w:i/>
      <w:iCs/>
      <w:color w:val="404040" w:themeColor="text1" w:themeTint="BF"/>
    </w:rPr>
  </w:style>
  <w:style w:type="character" w:customStyle="1" w:styleId="QuoteChar">
    <w:name w:val="Quote Char"/>
    <w:basedOn w:val="DefaultParagraphFont"/>
    <w:link w:val="Quote"/>
    <w:uiPriority w:val="29"/>
    <w:rsid w:val="000E0A93"/>
    <w:rPr>
      <w:i/>
      <w:iCs/>
      <w:color w:val="404040" w:themeColor="text1" w:themeTint="BF"/>
    </w:rPr>
  </w:style>
  <w:style w:type="paragraph" w:styleId="ListParagraph">
    <w:name w:val="List Paragraph"/>
    <w:basedOn w:val="Normal"/>
    <w:uiPriority w:val="34"/>
    <w:qFormat/>
    <w:rsid w:val="000E0A93"/>
    <w:pPr>
      <w:ind w:left="720"/>
      <w:contextualSpacing/>
    </w:pPr>
  </w:style>
  <w:style w:type="character" w:styleId="IntenseEmphasis">
    <w:name w:val="Intense Emphasis"/>
    <w:basedOn w:val="DefaultParagraphFont"/>
    <w:uiPriority w:val="21"/>
    <w:qFormat/>
    <w:rsid w:val="000E0A93"/>
    <w:rPr>
      <w:i/>
      <w:iCs/>
      <w:color w:val="2F5496" w:themeColor="accent1" w:themeShade="BF"/>
    </w:rPr>
  </w:style>
  <w:style w:type="paragraph" w:styleId="IntenseQuote">
    <w:name w:val="Intense Quote"/>
    <w:basedOn w:val="Normal"/>
    <w:next w:val="Normal"/>
    <w:link w:val="IntenseQuoteChar"/>
    <w:uiPriority w:val="30"/>
    <w:qFormat/>
    <w:rsid w:val="000E0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A93"/>
    <w:rPr>
      <w:i/>
      <w:iCs/>
      <w:color w:val="2F5496" w:themeColor="accent1" w:themeShade="BF"/>
    </w:rPr>
  </w:style>
  <w:style w:type="character" w:styleId="IntenseReference">
    <w:name w:val="Intense Reference"/>
    <w:basedOn w:val="DefaultParagraphFont"/>
    <w:uiPriority w:val="32"/>
    <w:qFormat/>
    <w:rsid w:val="000E0A93"/>
    <w:rPr>
      <w:b/>
      <w:bCs/>
      <w:smallCaps/>
      <w:color w:val="2F5496" w:themeColor="accent1" w:themeShade="BF"/>
      <w:spacing w:val="5"/>
    </w:rPr>
  </w:style>
  <w:style w:type="paragraph" w:styleId="NormalWeb">
    <w:name w:val="Normal (Web)"/>
    <w:basedOn w:val="Normal"/>
    <w:uiPriority w:val="99"/>
    <w:semiHidden/>
    <w:unhideWhenUsed/>
    <w:rsid w:val="0099472B"/>
    <w:pPr>
      <w:spacing w:before="100" w:beforeAutospacing="1" w:after="100" w:afterAutospacing="1" w:line="240" w:lineRule="auto"/>
    </w:pPr>
    <w:rPr>
      <w:rFonts w:ascii="Times New Roman" w:eastAsiaTheme="minorEastAsia"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021660">
      <w:bodyDiv w:val="1"/>
      <w:marLeft w:val="0"/>
      <w:marRight w:val="0"/>
      <w:marTop w:val="0"/>
      <w:marBottom w:val="0"/>
      <w:divBdr>
        <w:top w:val="none" w:sz="0" w:space="0" w:color="auto"/>
        <w:left w:val="none" w:sz="0" w:space="0" w:color="auto"/>
        <w:bottom w:val="none" w:sz="0" w:space="0" w:color="auto"/>
        <w:right w:val="none" w:sz="0" w:space="0" w:color="auto"/>
      </w:divBdr>
      <w:divsChild>
        <w:div w:id="892698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60CA0B-7409-42F2-9075-10657C625DD6}">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107</TotalTime>
  <Pages>2</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2</cp:revision>
  <dcterms:created xsi:type="dcterms:W3CDTF">2026-06-23T15:16:00Z</dcterms:created>
  <dcterms:modified xsi:type="dcterms:W3CDTF">2026-06-23T17:03:00Z</dcterms:modified>
</cp:coreProperties>
</file>