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1A1A2E"/>
          <w:sz w:val="52"/>
          <w:szCs w:val="52"/>
        </w:rPr>
        <w:t xml:space="preserve">TECH LAYOFFS ANALYSIS</w:t>
      </w:r>
    </w:p>
    <w:p>
      <w:pPr>
        <w:spacing w:after="100" w:before="200"/>
        <w:jc w:val="center"/>
      </w:pPr>
      <w:r>
        <w:rPr>
          <w:color w:val="555555"/>
          <w:sz w:val="26"/>
          <w:szCs w:val="26"/>
        </w:rPr>
        <w:t xml:space="preserve">Findings Report — SQL Data Cleaning, EDA &amp; Power BI Dashboard</w:t>
      </w:r>
    </w:p>
    <w:p>
      <w:pPr>
        <w:spacing w:before="100"/>
        <w:jc w:val="center"/>
      </w:pPr>
      <w:r>
        <w:rPr>
          <w:color w:val="888888"/>
          <w:sz w:val="20"/>
          <w:szCs w:val="20"/>
        </w:rPr>
        <w:t xml:space="preserve">Data span: March 2020 – September 2026  |  3,850 cleaned records</w:t>
      </w:r>
    </w:p>
    <w:p>
      <w:pPr>
        <w:spacing w:before="800"/>
        <w:jc w:val="center"/>
      </w:pPr>
      <w:r>
        <w:rPr>
          <w:color w:val="888888"/>
          <w:sz w:val="18"/>
          <w:szCs w:val="18"/>
        </w:rPr>
        <w:t xml:space="preserve">Prepared by Sumit Kohli — DataWithSumit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A1A2E"/>
          <w:sz w:val="30"/>
          <w:szCs w:val="30"/>
        </w:rPr>
        <w:t xml:space="preserve">1. Executive Summary</w:t>
      </w:r>
    </w:p>
    <w:p>
      <w:pPr>
        <w:spacing w:after="120"/>
      </w:pPr>
      <w:r>
        <w:rPr>
          <w:sz w:val="21"/>
          <w:szCs w:val="21"/>
        </w:rPr>
        <w:t xml:space="preserve">This report summarizes the findings from an end-to-end analysis of global tech industry layoffs (2020–2026). The raw dataset was cleaned and standardized in SQL Server (T-SQL), explored using window functions and aggregate queries, and visualized in an interactive Power BI dashboard. Key headline numbers: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932,766 total layoffs recorded across 2,602 distinct companies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Average of 29.6% of workforce laid off per event, across all recorded rounds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370 companies recorded a 100% layoff (i.e. shut down or ceased operations)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2023 was the single worst year on record, with 265,660 layoffs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Amazon had the highest cumulative layoffs of any company (59,560) across 17 separate rounds</w:t>
      </w:r>
    </w:p>
    <w:p>
      <w:pPr>
        <w:pStyle w:val="Heading1"/>
        <w:spacing w:after="150" w:before="300"/>
      </w:pPr>
      <w:r>
        <w:rPr>
          <w:b/>
          <w:bCs/>
          <w:color w:val="1A1A2E"/>
          <w:sz w:val="30"/>
          <w:szCs w:val="30"/>
        </w:rPr>
        <w:t xml:space="preserve">2. Methodology</w:t>
      </w:r>
    </w:p>
    <w:p>
      <w:pPr>
        <w:pStyle w:val="Heading2"/>
        <w:spacing w:after="100" w:before="220"/>
      </w:pPr>
      <w:r>
        <w:rPr>
          <w:b/>
          <w:bCs/>
          <w:color w:val="B14D2C"/>
          <w:sz w:val="24"/>
          <w:szCs w:val="24"/>
        </w:rPr>
        <w:t xml:space="preserve">2.1 Data Cleaning (SQL)</w:t>
      </w:r>
    </w:p>
    <w:p>
      <w:pPr>
        <w:spacing w:after="120"/>
      </w:pPr>
      <w:r>
        <w:rPr>
          <w:sz w:val="21"/>
          <w:szCs w:val="21"/>
        </w:rPr>
        <w:t xml:space="preserve">Performed in T-SQL / SQL Server. Key steps applied to the raw layoffs_messy table: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Copied raw data into a staging table (layoffs_staging) to preserve the original source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Removed exact duplicate rows using ROW_NUMBER() over all key columns within a CTE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Trimmed leading/trailing whitespace across all text columns (company, location, industry, stage, country)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Standardized inconsistent industry naming (e.g. 'Crypto', 'crypto', 'CryptoCurrency' → unified to 'Crypto') — 179 records corrected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Converted inconsistent date formats to a single standardized DATE column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Converted blank strings in industry/country to proper NULLs, distinct from missing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Removed rows where both total_laid_off and percentage_laid_off were NULL (no usable signal)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Corrected column data types (funds_raised and percentage_laid_off changed from float to DECIMAL(10,2))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Validated no impossible values remained (negative layoffs, percentages outside 0–1 range)</w:t>
      </w:r>
    </w:p>
    <w:p>
      <w:pPr>
        <w:spacing w:after="120"/>
      </w:pPr>
      <w:r>
        <w:rPr>
          <w:sz w:val="21"/>
          <w:szCs w:val="21"/>
        </w:rPr>
        <w:t xml:space="preserve">Result: raw dataset reduced from source row count down to 3,850 clean, analysis-ready records.</w:t>
      </w:r>
    </w:p>
    <w:p>
      <w:pPr>
        <w:pStyle w:val="Heading2"/>
        <w:spacing w:after="100" w:before="220"/>
      </w:pPr>
      <w:r>
        <w:rPr>
          <w:b/>
          <w:bCs/>
          <w:color w:val="B14D2C"/>
          <w:sz w:val="24"/>
          <w:szCs w:val="24"/>
        </w:rPr>
        <w:t xml:space="preserve">2.2 Exploratory Data Analysis (SQL)</w:t>
      </w:r>
    </w:p>
    <w:p>
      <w:pPr>
        <w:spacing w:after="120"/>
      </w:pPr>
      <w:r>
        <w:rPr>
          <w:sz w:val="21"/>
          <w:szCs w:val="21"/>
        </w:rPr>
        <w:t xml:space="preserve">EDA was conducted using SQL window functions and aggregate queries, covering: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Company-, industry-, country-, and stage-level aggregation of total layoffs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Identification of companies with 100% workforce layoffs (effective shutdowns)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Year-over-year and month-over-month layoff trend analysis, including a rolling cumulative total (SUM() OVER)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Top 3 companies per year by total layoffs (DENSE_RANK() OVER PARTITION BY year)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Companies with repeated layoff rounds, as a signal of ongoing organizational instability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funds-raised vs. total-layoffs comparison to test whether well-funded companies were shielded from cuts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A1A2E"/>
          <w:sz w:val="30"/>
          <w:szCs w:val="30"/>
        </w:rPr>
        <w:t xml:space="preserve">3. Key Findings</w:t>
      </w:r>
    </w:p>
    <w:p>
      <w:pPr>
        <w:pStyle w:val="Heading2"/>
        <w:spacing w:after="100" w:before="220"/>
      </w:pPr>
      <w:r>
        <w:rPr>
          <w:b/>
          <w:bCs/>
          <w:color w:val="B14D2C"/>
          <w:sz w:val="24"/>
          <w:szCs w:val="24"/>
        </w:rPr>
        <w:t xml:space="preserve">3.1 Layoffs Over Time</w:t>
      </w:r>
    </w:p>
    <w:p>
      <w:pPr>
        <w:spacing w:after="120"/>
      </w:pPr>
      <w:r>
        <w:rPr>
          <w:sz w:val="21"/>
          <w:szCs w:val="21"/>
        </w:rPr>
        <w:t xml:space="preserve">Layoffs were relatively contained in the initial 2020–2021 period, spiked sharply from 2022 onward, and peaked in 2023 before a partial pullback and a renewed climb through 2025–2026.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shd w:fill="1A1A2E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Year</w:t>
            </w:r>
          </w:p>
        </w:tc>
        <w:tc>
          <w:tcPr>
            <w:tcW w:type="dxa" w:w="3000"/>
            <w:shd w:fill="1A1A2E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Total Laid Off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9"/>
                <w:szCs w:val="19"/>
              </w:rPr>
              <w:t xml:space="preserve">2020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9"/>
                <w:szCs w:val="19"/>
              </w:rPr>
              <w:t xml:space="preserve">80,998</w:t>
            </w:r>
          </w:p>
        </w:tc>
      </w:tr>
      <w:tr>
        <w:tc>
          <w:tcPr>
            <w:tcW w:type="dxa" w:w="3000"/>
            <w:shd w:fill="F2F4FA" w:color="auto" w:val="clear"/>
          </w:tcPr>
          <w:p>
            <w:r>
              <w:rPr>
                <w:sz w:val="19"/>
                <w:szCs w:val="19"/>
              </w:rPr>
              <w:t xml:space="preserve">2021</w:t>
            </w:r>
          </w:p>
        </w:tc>
        <w:tc>
          <w:tcPr>
            <w:tcW w:type="dxa" w:w="3000"/>
            <w:shd w:fill="F2F4FA" w:color="auto" w:val="clear"/>
          </w:tcPr>
          <w:p>
            <w:r>
              <w:rPr>
                <w:sz w:val="19"/>
                <w:szCs w:val="19"/>
              </w:rPr>
              <w:t xml:space="preserve">15,823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9"/>
                <w:szCs w:val="19"/>
              </w:rPr>
              <w:t xml:space="preserve">2022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9"/>
                <w:szCs w:val="19"/>
              </w:rPr>
              <w:t xml:space="preserve">165,269</w:t>
            </w:r>
          </w:p>
        </w:tc>
      </w:tr>
      <w:tr>
        <w:tc>
          <w:tcPr>
            <w:tcW w:type="dxa" w:w="3000"/>
            <w:shd w:fill="F2F4FA" w:color="auto" w:val="clear"/>
          </w:tcPr>
          <w:p>
            <w:r>
              <w:rPr>
                <w:sz w:val="19"/>
                <w:szCs w:val="19"/>
              </w:rPr>
              <w:t xml:space="preserve">2023</w:t>
            </w:r>
          </w:p>
        </w:tc>
        <w:tc>
          <w:tcPr>
            <w:tcW w:type="dxa" w:w="3000"/>
            <w:shd w:fill="F2F4FA" w:color="auto" w:val="clear"/>
          </w:tcPr>
          <w:p>
            <w:r>
              <w:rPr>
                <w:sz w:val="19"/>
                <w:szCs w:val="19"/>
              </w:rPr>
              <w:t xml:space="preserve">265,660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9"/>
                <w:szCs w:val="19"/>
              </w:rPr>
              <w:t xml:space="preserve">2024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9"/>
                <w:szCs w:val="19"/>
              </w:rPr>
              <w:t xml:space="preserve">152,922</w:t>
            </w:r>
          </w:p>
        </w:tc>
      </w:tr>
      <w:tr>
        <w:tc>
          <w:tcPr>
            <w:tcW w:type="dxa" w:w="3000"/>
            <w:shd w:fill="F2F4FA" w:color="auto" w:val="clear"/>
          </w:tcPr>
          <w:p>
            <w:r>
              <w:rPr>
                <w:sz w:val="19"/>
                <w:szCs w:val="19"/>
              </w:rPr>
              <w:t xml:space="preserve">2025</w:t>
            </w:r>
          </w:p>
        </w:tc>
        <w:tc>
          <w:tcPr>
            <w:tcW w:type="dxa" w:w="3000"/>
            <w:shd w:fill="F2F4FA" w:color="auto" w:val="clear"/>
          </w:tcPr>
          <w:p>
            <w:r>
              <w:rPr>
                <w:sz w:val="19"/>
                <w:szCs w:val="19"/>
              </w:rPr>
              <w:t xml:space="preserve">122,606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9"/>
                <w:szCs w:val="19"/>
              </w:rPr>
              <w:t xml:space="preserve">2026 (partial)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9"/>
                <w:szCs w:val="19"/>
              </w:rPr>
              <w:t xml:space="preserve">129,488</w:t>
            </w:r>
          </w:p>
        </w:tc>
      </w:tr>
    </w:tbl>
    <w:p>
      <w:pPr>
        <w:spacing w:after="200" w:before="150"/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20"/>
      </w:pPr>
      <w:r>
        <w:rPr>
          <w:b/>
          <w:bCs/>
          <w:color w:val="B14D2C"/>
          <w:sz w:val="24"/>
          <w:szCs w:val="24"/>
        </w:rPr>
        <w:t xml:space="preserve">3.2 Most-Affected Companies</w:t>
      </w:r>
    </w:p>
    <w:p>
      <w:pPr>
        <w:spacing w:after="120"/>
      </w:pPr>
      <w:r>
        <w:rPr>
          <w:sz w:val="21"/>
          <w:szCs w:val="21"/>
        </w:rPr>
        <w:t xml:space="preserve">Aggregating across all recorded rounds, a small number of large tech companies account for a disproportionate share of total layoffs: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c>
          <w:tcPr>
            <w:tcW w:type="dxa" w:w="5000"/>
            <w:shd w:fill="1A1A2E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Company</w:t>
            </w:r>
          </w:p>
        </w:tc>
        <w:tc>
          <w:tcPr>
            <w:tcW w:type="dxa" w:w="4000"/>
            <w:shd w:fill="1A1A2E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Total Laid Off (cumulative)</w:t>
            </w:r>
          </w:p>
        </w:tc>
      </w:tr>
      <w:tr>
        <w:tc>
          <w:tcPr>
            <w:tcW w:type="dxa" w:w="5000"/>
            <w:shd w:fill="FFFFFF" w:color="auto" w:val="clear"/>
          </w:tcPr>
          <w:p>
            <w:r>
              <w:rPr>
                <w:sz w:val="19"/>
                <w:szCs w:val="19"/>
              </w:rPr>
              <w:t xml:space="preserve">Amazon</w:t>
            </w:r>
          </w:p>
        </w:tc>
        <w:tc>
          <w:tcPr>
            <w:tcW w:type="dxa" w:w="4000"/>
            <w:shd w:fill="FFFFFF" w:color="auto" w:val="clear"/>
          </w:tcPr>
          <w:p>
            <w:r>
              <w:rPr>
                <w:sz w:val="19"/>
                <w:szCs w:val="19"/>
              </w:rPr>
              <w:t xml:space="preserve">59,560</w:t>
            </w:r>
          </w:p>
        </w:tc>
      </w:tr>
      <w:tr>
        <w:tc>
          <w:tcPr>
            <w:tcW w:type="dxa" w:w="5000"/>
            <w:shd w:fill="F2F4FA" w:color="auto" w:val="clear"/>
          </w:tcPr>
          <w:p>
            <w:r>
              <w:rPr>
                <w:sz w:val="19"/>
                <w:szCs w:val="19"/>
              </w:rPr>
              <w:t xml:space="preserve">Intel</w:t>
            </w:r>
          </w:p>
        </w:tc>
        <w:tc>
          <w:tcPr>
            <w:tcW w:type="dxa" w:w="4000"/>
            <w:shd w:fill="F2F4FA" w:color="auto" w:val="clear"/>
          </w:tcPr>
          <w:p>
            <w:r>
              <w:rPr>
                <w:sz w:val="19"/>
                <w:szCs w:val="19"/>
              </w:rPr>
              <w:t xml:space="preserve">43,115</w:t>
            </w:r>
          </w:p>
        </w:tc>
      </w:tr>
      <w:tr>
        <w:tc>
          <w:tcPr>
            <w:tcW w:type="dxa" w:w="5000"/>
            <w:shd w:fill="FFFFFF" w:color="auto" w:val="clear"/>
          </w:tcPr>
          <w:p>
            <w:r>
              <w:rPr>
                <w:sz w:val="19"/>
                <w:szCs w:val="19"/>
              </w:rPr>
              <w:t xml:space="preserve">Meta</w:t>
            </w:r>
          </w:p>
        </w:tc>
        <w:tc>
          <w:tcPr>
            <w:tcW w:type="dxa" w:w="4000"/>
            <w:shd w:fill="FFFFFF" w:color="auto" w:val="clear"/>
          </w:tcPr>
          <w:p>
            <w:r>
              <w:rPr>
                <w:sz w:val="19"/>
                <w:szCs w:val="19"/>
              </w:rPr>
              <w:t xml:space="preserve">35,700</w:t>
            </w:r>
          </w:p>
        </w:tc>
      </w:tr>
      <w:tr>
        <w:tc>
          <w:tcPr>
            <w:tcW w:type="dxa" w:w="5000"/>
            <w:shd w:fill="F2F4FA" w:color="auto" w:val="clear"/>
          </w:tcPr>
          <w:p>
            <w:r>
              <w:rPr>
                <w:sz w:val="19"/>
                <w:szCs w:val="19"/>
              </w:rPr>
              <w:t xml:space="preserve">Microsoft</w:t>
            </w:r>
          </w:p>
        </w:tc>
        <w:tc>
          <w:tcPr>
            <w:tcW w:type="dxa" w:w="4000"/>
            <w:shd w:fill="F2F4FA" w:color="auto" w:val="clear"/>
          </w:tcPr>
          <w:p>
            <w:r>
              <w:rPr>
                <w:sz w:val="19"/>
                <w:szCs w:val="19"/>
              </w:rPr>
              <w:t xml:space="preserve">34,855</w:t>
            </w:r>
          </w:p>
        </w:tc>
      </w:tr>
      <w:tr>
        <w:tc>
          <w:tcPr>
            <w:tcW w:type="dxa" w:w="5000"/>
            <w:shd w:fill="FFFFFF" w:color="auto" w:val="clear"/>
          </w:tcPr>
          <w:p>
            <w:r>
              <w:rPr>
                <w:sz w:val="19"/>
                <w:szCs w:val="19"/>
              </w:rPr>
              <w:t xml:space="preserve">Dell</w:t>
            </w:r>
          </w:p>
        </w:tc>
        <w:tc>
          <w:tcPr>
            <w:tcW w:type="dxa" w:w="4000"/>
            <w:shd w:fill="FFFFFF" w:color="auto" w:val="clear"/>
          </w:tcPr>
          <w:p>
            <w:r>
              <w:rPr>
                <w:sz w:val="19"/>
                <w:szCs w:val="19"/>
              </w:rPr>
              <w:t xml:space="preserve">23,650</w:t>
            </w:r>
          </w:p>
        </w:tc>
      </w:tr>
      <w:tr>
        <w:tc>
          <w:tcPr>
            <w:tcW w:type="dxa" w:w="5000"/>
            <w:shd w:fill="F2F4FA" w:color="auto" w:val="clear"/>
          </w:tcPr>
          <w:p>
            <w:r>
              <w:rPr>
                <w:sz w:val="19"/>
                <w:szCs w:val="19"/>
              </w:rPr>
              <w:t xml:space="preserve">Oracle</w:t>
            </w:r>
          </w:p>
        </w:tc>
        <w:tc>
          <w:tcPr>
            <w:tcW w:type="dxa" w:w="4000"/>
            <w:shd w:fill="F2F4FA" w:color="auto" w:val="clear"/>
          </w:tcPr>
          <w:p>
            <w:r>
              <w:rPr>
                <w:sz w:val="19"/>
                <w:szCs w:val="19"/>
              </w:rPr>
              <w:t xml:space="preserve">22,294</w:t>
            </w:r>
          </w:p>
        </w:tc>
      </w:tr>
      <w:tr>
        <w:tc>
          <w:tcPr>
            <w:tcW w:type="dxa" w:w="5000"/>
            <w:shd w:fill="FFFFFF" w:color="auto" w:val="clear"/>
          </w:tcPr>
          <w:p>
            <w:r>
              <w:rPr>
                <w:sz w:val="19"/>
                <w:szCs w:val="19"/>
              </w:rPr>
              <w:t xml:space="preserve">Cisco</w:t>
            </w:r>
          </w:p>
        </w:tc>
        <w:tc>
          <w:tcPr>
            <w:tcW w:type="dxa" w:w="4000"/>
            <w:shd w:fill="FFFFFF" w:color="auto" w:val="clear"/>
          </w:tcPr>
          <w:p>
            <w:r>
              <w:rPr>
                <w:sz w:val="19"/>
                <w:szCs w:val="19"/>
              </w:rPr>
              <w:t xml:space="preserve">18,521</w:t>
            </w:r>
          </w:p>
        </w:tc>
      </w:tr>
      <w:tr>
        <w:tc>
          <w:tcPr>
            <w:tcW w:type="dxa" w:w="5000"/>
            <w:shd w:fill="F2F4FA" w:color="auto" w:val="clear"/>
          </w:tcPr>
          <w:p>
            <w:r>
              <w:rPr>
                <w:sz w:val="19"/>
                <w:szCs w:val="19"/>
              </w:rPr>
              <w:t xml:space="preserve">Salesforce</w:t>
            </w:r>
          </w:p>
        </w:tc>
        <w:tc>
          <w:tcPr>
            <w:tcW w:type="dxa" w:w="4000"/>
            <w:shd w:fill="F2F4FA" w:color="auto" w:val="clear"/>
          </w:tcPr>
          <w:p>
            <w:r>
              <w:rPr>
                <w:sz w:val="19"/>
                <w:szCs w:val="19"/>
              </w:rPr>
              <w:t xml:space="preserve">16,744</w:t>
            </w:r>
          </w:p>
        </w:tc>
      </w:tr>
      <w:tr>
        <w:tc>
          <w:tcPr>
            <w:tcW w:type="dxa" w:w="5000"/>
            <w:shd w:fill="FFFFFF" w:color="auto" w:val="clear"/>
          </w:tcPr>
          <w:p>
            <w:r>
              <w:rPr>
                <w:sz w:val="19"/>
                <w:szCs w:val="19"/>
              </w:rPr>
              <w:t xml:space="preserve">Tesla</w:t>
            </w:r>
          </w:p>
        </w:tc>
        <w:tc>
          <w:tcPr>
            <w:tcW w:type="dxa" w:w="4000"/>
            <w:shd w:fill="FFFFFF" w:color="auto" w:val="clear"/>
          </w:tcPr>
          <w:p>
            <w:r>
              <w:rPr>
                <w:sz w:val="19"/>
                <w:szCs w:val="19"/>
              </w:rPr>
              <w:t xml:space="preserve">14,500</w:t>
            </w:r>
          </w:p>
        </w:tc>
      </w:tr>
      <w:tr>
        <w:tc>
          <w:tcPr>
            <w:tcW w:type="dxa" w:w="5000"/>
            <w:shd w:fill="F2F4FA" w:color="auto" w:val="clear"/>
          </w:tcPr>
          <w:p>
            <w:r>
              <w:rPr>
                <w:sz w:val="19"/>
                <w:szCs w:val="19"/>
              </w:rPr>
              <w:t xml:space="preserve">Google</w:t>
            </w:r>
          </w:p>
        </w:tc>
        <w:tc>
          <w:tcPr>
            <w:tcW w:type="dxa" w:w="4000"/>
            <w:shd w:fill="F2F4FA" w:color="auto" w:val="clear"/>
          </w:tcPr>
          <w:p>
            <w:r>
              <w:rPr>
                <w:sz w:val="19"/>
                <w:szCs w:val="19"/>
              </w:rPr>
              <w:t xml:space="preserve">13,749</w:t>
            </w:r>
          </w:p>
        </w:tc>
      </w:tr>
    </w:tbl>
    <w:p>
      <w:pPr>
        <w:spacing w:after="200" w:before="150"/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sz w:val="21"/>
          <w:szCs w:val="21"/>
        </w:rPr>
        <w:t xml:space="preserve">Amazon, Salesforce, Microsoft, Google, and Intel also top the list for the highest number of separate layoff rounds (17, 14, 11, 11, and 9 respectively) — indicating repeated, ongoing restructuring rather than a single large event.</w:t>
      </w:r>
    </w:p>
    <w:p>
      <w:pPr>
        <w:pStyle w:val="Heading2"/>
        <w:spacing w:after="100" w:before="220"/>
      </w:pPr>
      <w:r>
        <w:rPr>
          <w:b/>
          <w:bCs/>
          <w:color w:val="B14D2C"/>
          <w:sz w:val="24"/>
          <w:szCs w:val="24"/>
        </w:rPr>
        <w:t xml:space="preserve">3.3 Biggest Single Layoff Events</w:t>
      </w:r>
    </w:p>
    <w:p>
      <w:pPr>
        <w:spacing w:after="120"/>
      </w:pPr>
      <w:r>
        <w:rPr>
          <w:sz w:val="21"/>
          <w:szCs w:val="21"/>
        </w:rPr>
        <w:t xml:space="preserve">The single largest layoff events recorded in the dataset: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500"/>
      </w:tblGrid>
      <w:tr>
        <w:tc>
          <w:tcPr>
            <w:tcW w:type="dxa" w:w="3500"/>
            <w:shd w:fill="1A1A2E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Company</w:t>
            </w:r>
          </w:p>
        </w:tc>
        <w:tc>
          <w:tcPr>
            <w:tcW w:type="dxa" w:w="3000"/>
            <w:shd w:fill="1A1A2E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Employees Laid Off</w:t>
            </w:r>
          </w:p>
        </w:tc>
        <w:tc>
          <w:tcPr>
            <w:tcW w:type="dxa" w:w="2500"/>
            <w:shd w:fill="1A1A2E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500"/>
            <w:shd w:fill="FFFFFF" w:color="auto" w:val="clear"/>
          </w:tcPr>
          <w:p>
            <w:r>
              <w:rPr>
                <w:sz w:val="19"/>
                <w:szCs w:val="19"/>
              </w:rPr>
              <w:t xml:space="preserve">Intel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9"/>
                <w:szCs w:val="19"/>
              </w:rPr>
              <w:t xml:space="preserve">22,000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9"/>
                <w:szCs w:val="19"/>
              </w:rPr>
              <w:t xml:space="preserve">23 Apr 2025</w:t>
            </w:r>
          </w:p>
        </w:tc>
      </w:tr>
      <w:tr>
        <w:tc>
          <w:tcPr>
            <w:tcW w:type="dxa" w:w="3500"/>
            <w:shd w:fill="F2F4FA" w:color="auto" w:val="clear"/>
          </w:tcPr>
          <w:p>
            <w:r>
              <w:rPr>
                <w:sz w:val="19"/>
                <w:szCs w:val="19"/>
              </w:rPr>
              <w:t xml:space="preserve">Oracle</w:t>
            </w:r>
          </w:p>
        </w:tc>
        <w:tc>
          <w:tcPr>
            <w:tcW w:type="dxa" w:w="3000"/>
            <w:shd w:fill="F2F4FA" w:color="auto" w:val="clear"/>
          </w:tcPr>
          <w:p>
            <w:r>
              <w:rPr>
                <w:sz w:val="19"/>
                <w:szCs w:val="19"/>
              </w:rPr>
              <w:t xml:space="preserve">21,000</w:t>
            </w:r>
          </w:p>
        </w:tc>
        <w:tc>
          <w:tcPr>
            <w:tcW w:type="dxa" w:w="2500"/>
            <w:shd w:fill="F2F4FA" w:color="auto" w:val="clear"/>
          </w:tcPr>
          <w:p>
            <w:r>
              <w:rPr>
                <w:sz w:val="19"/>
                <w:szCs w:val="19"/>
              </w:rPr>
              <w:t xml:space="preserve">23 Jun 2026</w:t>
            </w:r>
          </w:p>
        </w:tc>
      </w:tr>
      <w:tr>
        <w:tc>
          <w:tcPr>
            <w:tcW w:type="dxa" w:w="3500"/>
            <w:shd w:fill="FFFFFF" w:color="auto" w:val="clear"/>
          </w:tcPr>
          <w:p>
            <w:r>
              <w:rPr>
                <w:sz w:val="19"/>
                <w:szCs w:val="19"/>
              </w:rPr>
              <w:t xml:space="preserve">Amazon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9"/>
                <w:szCs w:val="19"/>
              </w:rPr>
              <w:t xml:space="preserve">16,000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9"/>
                <w:szCs w:val="19"/>
              </w:rPr>
              <w:t xml:space="preserve">28 Jan 2026</w:t>
            </w:r>
          </w:p>
        </w:tc>
      </w:tr>
      <w:tr>
        <w:tc>
          <w:tcPr>
            <w:tcW w:type="dxa" w:w="3500"/>
            <w:shd w:fill="F2F4FA" w:color="auto" w:val="clear"/>
          </w:tcPr>
          <w:p>
            <w:r>
              <w:rPr>
                <w:sz w:val="19"/>
                <w:szCs w:val="19"/>
              </w:rPr>
              <w:t xml:space="preserve">Intel</w:t>
            </w:r>
          </w:p>
        </w:tc>
        <w:tc>
          <w:tcPr>
            <w:tcW w:type="dxa" w:w="3000"/>
            <w:shd w:fill="F2F4FA" w:color="auto" w:val="clear"/>
          </w:tcPr>
          <w:p>
            <w:r>
              <w:rPr>
                <w:sz w:val="19"/>
                <w:szCs w:val="19"/>
              </w:rPr>
              <w:t xml:space="preserve">15,000</w:t>
            </w:r>
          </w:p>
        </w:tc>
        <w:tc>
          <w:tcPr>
            <w:tcW w:type="dxa" w:w="2500"/>
            <w:shd w:fill="F2F4FA" w:color="auto" w:val="clear"/>
          </w:tcPr>
          <w:p>
            <w:r>
              <w:rPr>
                <w:sz w:val="19"/>
                <w:szCs w:val="19"/>
              </w:rPr>
              <w:t xml:space="preserve">1 Aug 2024</w:t>
            </w:r>
          </w:p>
        </w:tc>
      </w:tr>
      <w:tr>
        <w:tc>
          <w:tcPr>
            <w:tcW w:type="dxa" w:w="3500"/>
            <w:shd w:fill="FFFFFF" w:color="auto" w:val="clear"/>
          </w:tcPr>
          <w:p>
            <w:r>
              <w:rPr>
                <w:sz w:val="19"/>
                <w:szCs w:val="19"/>
              </w:rPr>
              <w:t xml:space="preserve">Tesla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9"/>
                <w:szCs w:val="19"/>
              </w:rPr>
              <w:t xml:space="preserve">14,000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9"/>
                <w:szCs w:val="19"/>
              </w:rPr>
              <w:t xml:space="preserve">15 Apr 2024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B14D2C"/>
          <w:sz w:val="24"/>
          <w:szCs w:val="24"/>
        </w:rPr>
        <w:t xml:space="preserve">3.4 Industry &amp; Geographic Breakdown</w:t>
      </w:r>
    </w:p>
    <w:p>
      <w:pPr>
        <w:spacing w:after="120"/>
      </w:pPr>
      <w:r>
        <w:rPr>
          <w:sz w:val="21"/>
          <w:szCs w:val="21"/>
        </w:rPr>
        <w:t xml:space="preserve">'Other', Retail, Hardware, and Consumer were the hardest-hit industry categories by total volume:</w:t>
      </w:r>
    </w:p>
    <w:p>
      <w:pPr>
        <w:spacing w:after="200" w:before="150"/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sz w:val="21"/>
          <w:szCs w:val="21"/>
        </w:rPr>
        <w:t xml:space="preserve">Geographically, the United States accounted for the overwhelming majority of recorded layoffs (660,310), followed at a distance by India (69,184) and Germany (32,153) — reflecting both the concentration of major tech employers in the US and the dataset's US-centric sourcing.</w:t>
      </w:r>
    </w:p>
    <w:p>
      <w:pPr>
        <w:pStyle w:val="Heading2"/>
        <w:spacing w:after="100" w:before="220"/>
      </w:pPr>
      <w:r>
        <w:rPr>
          <w:b/>
          <w:bCs/>
          <w:color w:val="B14D2C"/>
          <w:sz w:val="24"/>
          <w:szCs w:val="24"/>
        </w:rPr>
        <w:t xml:space="preserve">3.5 Company Stage &amp; Funding</w:t>
      </w:r>
    </w:p>
    <w:p>
      <w:pPr>
        <w:spacing w:after="120"/>
      </w:pPr>
      <w:r>
        <w:rPr>
          <w:sz w:val="21"/>
          <w:szCs w:val="21"/>
        </w:rPr>
        <w:t xml:space="preserve">By funding stage, Post-IPO (publicly listed) companies accounted for the largest share of total layoffs (586,683) — consistent with these being the largest employers by headcount. However, a correlation check between funds raised and total layoffs returned a weak positive coefficient of 0.124, indicating funding level has little predictive relationship with layoff volume.</w:t>
      </w:r>
    </w:p>
    <w:p>
      <w:pPr>
        <w:spacing w:after="120"/>
      </w:pPr>
      <w:r>
        <w:rPr>
          <w:sz w:val="21"/>
          <w:szCs w:val="21"/>
        </w:rPr>
        <w:t xml:space="preserve">Several well-funded companies (having raised over $1 billion) still recorded 100% workforce layoffs, effectively shutting down operations entirely: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3000"/>
      </w:tblGrid>
      <w:tr>
        <w:tc>
          <w:tcPr>
            <w:tcW w:type="dxa" w:w="4000"/>
            <w:shd w:fill="1A1A2E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Company</w:t>
            </w:r>
          </w:p>
        </w:tc>
        <w:tc>
          <w:tcPr>
            <w:tcW w:type="dxa" w:w="2500"/>
            <w:shd w:fill="1A1A2E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Funds Raised ($M)</w:t>
            </w:r>
          </w:p>
        </w:tc>
        <w:tc>
          <w:tcPr>
            <w:tcW w:type="dxa" w:w="3000"/>
            <w:shd w:fill="1A1A2E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Outcome</w:t>
            </w:r>
          </w:p>
        </w:tc>
      </w:tr>
      <w:tr>
        <w:tc>
          <w:tcPr>
            <w:tcW w:type="dxa" w:w="4000"/>
            <w:shd w:fill="FFFFFF" w:color="auto" w:val="clear"/>
          </w:tcPr>
          <w:p>
            <w:r>
              <w:rPr>
                <w:sz w:val="19"/>
                <w:szCs w:val="19"/>
              </w:rPr>
              <w:t xml:space="preserve">Britishvolt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9"/>
                <w:szCs w:val="19"/>
              </w:rPr>
              <w:t xml:space="preserve">2,400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9"/>
                <w:szCs w:val="19"/>
              </w:rPr>
              <w:t xml:space="preserve">100% laid off</w:t>
            </w:r>
          </w:p>
        </w:tc>
      </w:tr>
      <w:tr>
        <w:tc>
          <w:tcPr>
            <w:tcW w:type="dxa" w:w="4000"/>
            <w:shd w:fill="F2F4FA" w:color="auto" w:val="clear"/>
          </w:tcPr>
          <w:p>
            <w:r>
              <w:rPr>
                <w:sz w:val="19"/>
                <w:szCs w:val="19"/>
              </w:rPr>
              <w:t xml:space="preserve">Quibi</w:t>
            </w:r>
          </w:p>
        </w:tc>
        <w:tc>
          <w:tcPr>
            <w:tcW w:type="dxa" w:w="2500"/>
            <w:shd w:fill="F2F4FA" w:color="auto" w:val="clear"/>
          </w:tcPr>
          <w:p>
            <w:r>
              <w:rPr>
                <w:sz w:val="19"/>
                <w:szCs w:val="19"/>
              </w:rPr>
              <w:t xml:space="preserve">1,800</w:t>
            </w:r>
          </w:p>
        </w:tc>
        <w:tc>
          <w:tcPr>
            <w:tcW w:type="dxa" w:w="3000"/>
            <w:shd w:fill="F2F4FA" w:color="auto" w:val="clear"/>
          </w:tcPr>
          <w:p>
            <w:r>
              <w:rPr>
                <w:sz w:val="19"/>
                <w:szCs w:val="19"/>
              </w:rPr>
              <w:t xml:space="preserve">100% laid off</w:t>
            </w:r>
          </w:p>
        </w:tc>
      </w:tr>
      <w:tr>
        <w:tc>
          <w:tcPr>
            <w:tcW w:type="dxa" w:w="4000"/>
            <w:shd w:fill="FFFFFF" w:color="auto" w:val="clear"/>
          </w:tcPr>
          <w:p>
            <w:r>
              <w:rPr>
                <w:sz w:val="19"/>
                <w:szCs w:val="19"/>
              </w:rPr>
              <w:t xml:space="preserve">Deliveroo Australia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9"/>
                <w:szCs w:val="19"/>
              </w:rPr>
              <w:t xml:space="preserve">1,700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9"/>
                <w:szCs w:val="19"/>
              </w:rPr>
              <w:t xml:space="preserve">100% laid off</w:t>
            </w:r>
          </w:p>
        </w:tc>
      </w:tr>
      <w:tr>
        <w:tc>
          <w:tcPr>
            <w:tcW w:type="dxa" w:w="4000"/>
            <w:shd w:fill="F2F4FA" w:color="auto" w:val="clear"/>
          </w:tcPr>
          <w:p>
            <w:r>
              <w:rPr>
                <w:sz w:val="19"/>
                <w:szCs w:val="19"/>
              </w:rPr>
              <w:t xml:space="preserve">Fisker</w:t>
            </w:r>
          </w:p>
        </w:tc>
        <w:tc>
          <w:tcPr>
            <w:tcW w:type="dxa" w:w="2500"/>
            <w:shd w:fill="F2F4FA" w:color="auto" w:val="clear"/>
          </w:tcPr>
          <w:p>
            <w:r>
              <w:rPr>
                <w:sz w:val="19"/>
                <w:szCs w:val="19"/>
              </w:rPr>
              <w:t xml:space="preserve">1,700</w:t>
            </w:r>
          </w:p>
        </w:tc>
        <w:tc>
          <w:tcPr>
            <w:tcW w:type="dxa" w:w="3000"/>
            <w:shd w:fill="F2F4FA" w:color="auto" w:val="clear"/>
          </w:tcPr>
          <w:p>
            <w:r>
              <w:rPr>
                <w:sz w:val="19"/>
                <w:szCs w:val="19"/>
              </w:rPr>
              <w:t xml:space="preserve">100% laid off</w:t>
            </w:r>
          </w:p>
        </w:tc>
      </w:tr>
      <w:tr>
        <w:tc>
          <w:tcPr>
            <w:tcW w:type="dxa" w:w="4000"/>
            <w:shd w:fill="FFFFFF" w:color="auto" w:val="clear"/>
          </w:tcPr>
          <w:p>
            <w:r>
              <w:rPr>
                <w:sz w:val="19"/>
                <w:szCs w:val="19"/>
              </w:rPr>
              <w:t xml:space="preserve">Katerra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9"/>
                <w:szCs w:val="19"/>
              </w:rPr>
              <w:t xml:space="preserve">1,600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9"/>
                <w:szCs w:val="19"/>
              </w:rPr>
              <w:t xml:space="preserve">100% laid off (2,434 employees)</w:t>
            </w:r>
          </w:p>
        </w:tc>
      </w:tr>
      <w:tr>
        <w:tc>
          <w:tcPr>
            <w:tcW w:type="dxa" w:w="4000"/>
            <w:shd w:fill="F2F4FA" w:color="auto" w:val="clear"/>
          </w:tcPr>
          <w:p>
            <w:r>
              <w:rPr>
                <w:sz w:val="19"/>
                <w:szCs w:val="19"/>
              </w:rPr>
              <w:t xml:space="preserve">Lilium</w:t>
            </w:r>
          </w:p>
        </w:tc>
        <w:tc>
          <w:tcPr>
            <w:tcW w:type="dxa" w:w="2500"/>
            <w:shd w:fill="F2F4FA" w:color="auto" w:val="clear"/>
          </w:tcPr>
          <w:p>
            <w:r>
              <w:rPr>
                <w:sz w:val="19"/>
                <w:szCs w:val="19"/>
              </w:rPr>
              <w:t xml:space="preserve">1,400</w:t>
            </w:r>
          </w:p>
        </w:tc>
        <w:tc>
          <w:tcPr>
            <w:tcW w:type="dxa" w:w="3000"/>
            <w:shd w:fill="F2F4FA" w:color="auto" w:val="clear"/>
          </w:tcPr>
          <w:p>
            <w:r>
              <w:rPr>
                <w:sz w:val="19"/>
                <w:szCs w:val="19"/>
              </w:rPr>
              <w:t xml:space="preserve">100% laid off (1,000 employees)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>This is one of the more notable findings: substantial prior funding did not protect these companies from full shutdown, reinforcing that funding history alone is a weak indicator of company stability.</w:t>
      </w:r>
    </w:p>
    <w:p>
      <w:pPr>
        <w:pStyle w:val="Heading2"/>
        <w:spacing w:after="100" w:before="220"/>
      </w:pPr>
      <w:r>
        <w:rPr>
          <w:b/>
          <w:bCs/>
          <w:color w:val="B14D2C"/>
          <w:sz w:val="24"/>
          <w:szCs w:val="24"/>
        </w:rPr>
        <w:t xml:space="preserve">3.6 Severity Trend (Average % of Workforce Laid Off)</w:t>
      </w:r>
    </w:p>
    <w:p>
      <w:pPr>
        <w:spacing w:after="120"/>
      </w:pPr>
      <w:r>
        <w:rPr>
          <w:sz w:val="21"/>
          <w:szCs w:val="21"/>
        </w:rPr>
        <w:t xml:space="preserve">Looking at severity rather than volume tells a slightly different story — 2021 had the highest average percentage of workforce cut per event (61.0%), despite having the lowest total headcount impact of any year, suggesting 2021's layoffs were concentrated in a smaller number of companies making very deep cuts (often smaller startups folding entirely) rather than broad workforce reductions at scale.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</w:tblGrid>
      <w:tr>
        <w:tc>
          <w:tcPr>
            <w:tcW w:type="dxa" w:w="3000"/>
            <w:shd w:fill="1A1A2E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Year</w:t>
            </w:r>
          </w:p>
        </w:tc>
        <w:tc>
          <w:tcPr>
            <w:tcW w:type="dxa" w:w="4500"/>
            <w:shd w:fill="1A1A2E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Avg % of Workforce Laid Off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9"/>
                <w:szCs w:val="19"/>
              </w:rPr>
              <w:t xml:space="preserve">2020</w:t>
            </w:r>
          </w:p>
        </w:tc>
        <w:tc>
          <w:tcPr>
            <w:tcW w:type="dxa" w:w="4500"/>
            <w:shd w:fill="FFFFFF" w:color="auto" w:val="clear"/>
          </w:tcPr>
          <w:p>
            <w:r>
              <w:rPr>
                <w:sz w:val="19"/>
                <w:szCs w:val="19"/>
              </w:rPr>
              <w:t xml:space="preserve">30.9%</w:t>
            </w:r>
          </w:p>
        </w:tc>
      </w:tr>
      <w:tr>
        <w:tc>
          <w:tcPr>
            <w:tcW w:type="dxa" w:w="3000"/>
            <w:shd w:fill="F2F4FA" w:color="auto" w:val="clear"/>
          </w:tcPr>
          <w:p>
            <w:r>
              <w:rPr>
                <w:sz w:val="19"/>
                <w:szCs w:val="19"/>
              </w:rPr>
              <w:t xml:space="preserve">2021</w:t>
            </w:r>
          </w:p>
        </w:tc>
        <w:tc>
          <w:tcPr>
            <w:tcW w:type="dxa" w:w="4500"/>
            <w:shd w:fill="F2F4FA" w:color="auto" w:val="clear"/>
          </w:tcPr>
          <w:p>
            <w:r>
              <w:rPr>
                <w:sz w:val="19"/>
                <w:szCs w:val="19"/>
              </w:rPr>
              <w:t xml:space="preserve">61.0%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9"/>
                <w:szCs w:val="19"/>
              </w:rPr>
              <w:t xml:space="preserve">2022</w:t>
            </w:r>
          </w:p>
        </w:tc>
        <w:tc>
          <w:tcPr>
            <w:tcW w:type="dxa" w:w="4500"/>
            <w:shd w:fill="FFFFFF" w:color="auto" w:val="clear"/>
          </w:tcPr>
          <w:p>
            <w:r>
              <w:rPr>
                <w:sz w:val="19"/>
                <w:szCs w:val="19"/>
              </w:rPr>
              <w:t xml:space="preserve">24.6%</w:t>
            </w:r>
          </w:p>
        </w:tc>
      </w:tr>
      <w:tr>
        <w:tc>
          <w:tcPr>
            <w:tcW w:type="dxa" w:w="3000"/>
            <w:shd w:fill="F2F4FA" w:color="auto" w:val="clear"/>
          </w:tcPr>
          <w:p>
            <w:r>
              <w:rPr>
                <w:sz w:val="19"/>
                <w:szCs w:val="19"/>
              </w:rPr>
              <w:t xml:space="preserve">2023</w:t>
            </w:r>
          </w:p>
        </w:tc>
        <w:tc>
          <w:tcPr>
            <w:tcW w:type="dxa" w:w="4500"/>
            <w:shd w:fill="F2F4FA" w:color="auto" w:val="clear"/>
          </w:tcPr>
          <w:p>
            <w:r>
              <w:rPr>
                <w:sz w:val="19"/>
                <w:szCs w:val="19"/>
              </w:rPr>
              <w:t xml:space="preserve">28.4%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9"/>
                <w:szCs w:val="19"/>
              </w:rPr>
              <w:t xml:space="preserve">2024</w:t>
            </w:r>
          </w:p>
        </w:tc>
        <w:tc>
          <w:tcPr>
            <w:tcW w:type="dxa" w:w="4500"/>
            <w:shd w:fill="FFFFFF" w:color="auto" w:val="clear"/>
          </w:tcPr>
          <w:p>
            <w:r>
              <w:rPr>
                <w:sz w:val="19"/>
                <w:szCs w:val="19"/>
              </w:rPr>
              <w:t xml:space="preserve">35.3%</w:t>
            </w:r>
          </w:p>
        </w:tc>
      </w:tr>
      <w:tr>
        <w:tc>
          <w:tcPr>
            <w:tcW w:type="dxa" w:w="3000"/>
            <w:shd w:fill="F2F4FA" w:color="auto" w:val="clear"/>
          </w:tcPr>
          <w:p>
            <w:r>
              <w:rPr>
                <w:sz w:val="19"/>
                <w:szCs w:val="19"/>
              </w:rPr>
              <w:t xml:space="preserve">2025</w:t>
            </w:r>
          </w:p>
        </w:tc>
        <w:tc>
          <w:tcPr>
            <w:tcW w:type="dxa" w:w="4500"/>
            <w:shd w:fill="F2F4FA" w:color="auto" w:val="clear"/>
          </w:tcPr>
          <w:p>
            <w:r>
              <w:rPr>
                <w:sz w:val="19"/>
                <w:szCs w:val="19"/>
              </w:rPr>
              <w:t xml:space="preserve">36.8%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9"/>
                <w:szCs w:val="19"/>
              </w:rPr>
              <w:t xml:space="preserve">2026</w:t>
            </w:r>
          </w:p>
        </w:tc>
        <w:tc>
          <w:tcPr>
            <w:tcW w:type="dxa" w:w="4500"/>
            <w:shd w:fill="FFFFFF" w:color="auto" w:val="clear"/>
          </w:tcPr>
          <w:p>
            <w:r>
              <w:rPr>
                <w:sz w:val="19"/>
                <w:szCs w:val="19"/>
              </w:rPr>
              <w:t xml:space="preserve">31.7%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A1A2E"/>
          <w:sz w:val="30"/>
          <w:szCs w:val="30"/>
        </w:rPr>
        <w:t xml:space="preserve">4. Conclusion</w:t>
      </w:r>
    </w:p>
    <w:p>
      <w:pPr>
        <w:spacing w:after="120"/>
      </w:pPr>
      <w:r>
        <w:rPr>
          <w:sz w:val="21"/>
          <w:szCs w:val="21"/>
        </w:rPr>
        <w:t xml:space="preserve">The analysis shows tech layoffs were not a single isolated event but a sustained, multi-year pattern, concentrated heavily among large, publicly listed US companies, with 2023 marking the clear peak in volume. A meaningful share of affected companies (370, or roughly 1 in 7) shut down entirely, and prior fundraising success showed little correlation with avoiding this outcome. Several major employers — Amazon, Intel, Meta, and Microsoft in particular — appear repeatedly across nearly every year and every ranking, reflecting ongoing rounds of restructuring rather than one-off corrections.</w:t>
      </w:r>
    </w:p>
    <w:p>
      <w:pPr>
        <w:pStyle w:val="Heading1"/>
        <w:spacing w:after="150" w:before="300"/>
      </w:pPr>
      <w:r>
        <w:rPr>
          <w:b/>
          <w:bCs/>
          <w:color w:val="1A1A2E"/>
          <w:sz w:val="30"/>
          <w:szCs w:val="30"/>
        </w:rPr>
        <w:t xml:space="preserve">5. Tools &amp; Methods Used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SQL Server (T-SQL) — data cleaning, deduplication, type correction, CTEs, window functions (ROW_NUMBER, DENSE_RANK, LAG, SUM OVER)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Power BI — data modeling, DAX measures, interactive multi-page dashboard with slicers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Python (pandas) — used for this report's summary validation and chart generation</w:t>
      </w:r>
    </w:p>
    <w:p>
      <w:pPr>
        <w:pBdr>
          <w:top w:val="single" w:color="CCCCCC" w:sz="6"/>
        </w:pBdr>
        <w:spacing w:before="400"/>
      </w:pPr>
      <w:r>
        <w:rPr>
          <w:color w:val="888888"/>
          <w:sz w:val="16"/>
          <w:szCs w:val="16"/>
        </w:rPr>
        <w:t xml:space="preserve">Prepared for portfolio/interview reference — DataWithSumit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Tech Layoffs Analysis (2020–2026)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c63607a8a79bb0592355e5d55469b1f2d28ca8a.png"/><Relationship Id="rId10" Type="http://schemas.openxmlformats.org/officeDocument/2006/relationships/image" Target="media/71570d049d8e756b30b12154374bcbe72899d55e.png"/><Relationship Id="rId11" Type="http://schemas.openxmlformats.org/officeDocument/2006/relationships/image" Target="media/248a92068a97578481fcb6c1c8918b0893889d36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2026-09-07T06:42:22.977Z</dcterms:created>
  <dcterms:modified xsi:type="dcterms:W3CDTF">2026-09-07T06:42:22.988Z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