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pPr>
      <w:r>
        <w:t>STAT-TRIAGE AI</w:t>
      </w:r>
    </w:p>
    <w:p>
      <w:pPr>
        <w:pStyle w:val="Subtitle"/>
      </w:pPr>
      <w:r>
        <w:t>Evidence Report: RSNA Intracranial Hemorrhage Slice-Level Pilot</w:t>
      </w:r>
    </w:p>
    <w:p>
      <w:pPr>
        <w:spacing w:after="40"/>
      </w:pPr>
      <w:r>
        <w:rPr>
          <w:rFonts w:ascii="Calibri" w:hAnsi="Calibri"/>
          <w:b/>
          <w:color w:val="17365D"/>
        </w:rPr>
        <w:t xml:space="preserve">Authors: </w:t>
      </w:r>
      <w:r>
        <w:rPr>
          <w:rFonts w:ascii="Calibri" w:hAnsi="Calibri"/>
          <w:color w:val="22313F"/>
        </w:rPr>
        <w:t>Yukti Madan, Barkha Sahu, Sumit Masirkar</w:t>
      </w:r>
    </w:p>
    <w:p>
      <w:pPr>
        <w:spacing w:after="40"/>
      </w:pPr>
      <w:r>
        <w:rPr>
          <w:rFonts w:ascii="Calibri" w:hAnsi="Calibri"/>
          <w:b/>
          <w:color w:val="17365D"/>
        </w:rPr>
        <w:t xml:space="preserve">Faculty advisor: </w:t>
      </w:r>
      <w:r>
        <w:rPr>
          <w:rFonts w:ascii="Calibri" w:hAnsi="Calibri"/>
          <w:color w:val="22313F"/>
        </w:rPr>
        <w:t>Dr. Monali Gulhane</w:t>
      </w:r>
    </w:p>
    <w:p>
      <w:pPr>
        <w:spacing w:after="280"/>
      </w:pPr>
      <w:r>
        <w:rPr>
          <w:rFonts w:ascii="Calibri" w:hAnsi="Calibri"/>
          <w:b/>
          <w:color w:val="17365D"/>
        </w:rPr>
        <w:t xml:space="preserve">Run date: </w:t>
      </w:r>
      <w:r>
        <w:rPr>
          <w:rFonts w:ascii="Calibri" w:hAnsi="Calibri"/>
          <w:color w:val="22313F"/>
        </w:rPr>
        <w:t>30 September 2026 | Kaggle Tesla T4</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F4F6F9"/>
            <w:tcBorders>
              <w:left w:val="single" w:sz="22" w:color="7A5A00"/>
              <w:top w:val="nil"/>
              <w:bottom w:val="nil"/>
              <w:right w:val="nil"/>
            </w:tcBorders>
            <w:tcMar>
              <w:top w:w="90" w:type="dxa"/>
              <w:start w:w="120" w:type="dxa"/>
              <w:bottom w:w="90" w:type="dxa"/>
              <w:end w:w="120" w:type="dxa"/>
            </w:tcMar>
            <w:vAlign w:val="center"/>
          </w:tcPr>
          <w:p>
            <w:pPr>
              <w:spacing w:after="0"/>
            </w:pPr>
            <w:r>
              <w:rPr>
                <w:rFonts w:ascii="Calibri" w:hAnsi="Calibri"/>
                <w:b/>
                <w:color w:val="7A5A00"/>
                <w:sz w:val="20"/>
              </w:rPr>
              <w:t xml:space="preserve">Evidence status: </w:t>
            </w:r>
            <w:r>
              <w:rPr>
                <w:rFonts w:ascii="Calibri" w:hAnsi="Calibri"/>
                <w:color w:val="22313F"/>
                <w:sz w:val="20"/>
              </w:rPr>
              <w:t>First locked test evaluation of a 2,400-slice, patient-separated pilot. This report supports a research prototype; it does not establish 3D study-level performance, population calibration, clinical efficacy, or regulatory readiness.</w:t>
            </w:r>
          </w:p>
        </w:tc>
      </w:tr>
    </w:tbl>
    <w:p>
      <w:pPr>
        <w:spacing w:after="20"/>
      </w:pPr>
    </w:p>
    <w:p>
      <w:pPr>
        <w:pStyle w:val="Heading1"/>
      </w:pPr>
      <w:r>
        <w:t>Executive summary</w:t>
      </w:r>
    </w:p>
    <w:p>
      <w:r>
        <w:t>A six-output EfficientNet-B0 baseline was trained on three Hounsfield Unit window channels derived from RSNA 2019 head CT slices. The model checkpoint was selected using validation data, the operating threshold was fixed on a separate calibration split, and the test set was evaluated once. The primary endpoint was slice-level detection of any intracranial hemorrhage.</w:t>
      </w:r>
    </w:p>
    <w:tbl>
      <w:tblPr>
        <w:tblStyle w:val="TableGrid"/>
        <w:jc w:val="left"/>
        <w:tblLook w:firstColumn="1" w:firstRow="1" w:lastColumn="0" w:lastRow="0" w:noHBand="0" w:noVBand="1" w:val="04A0"/>
        <w:tblW w:w="9360" w:type="dxa"/>
        <w:tblInd w:w="120" w:type="dxa"/>
        <w:tblLayout w:type="fixed"/>
      </w:tblPr>
      <w:tblGrid>
        <w:gridCol w:w="3300"/>
        <w:gridCol w:w="2300"/>
        <w:gridCol w:w="3760"/>
      </w:tblGrid>
      <w:tr>
        <w:trPr>
          <w:tblHeader/>
        </w:trPr>
        <w:tc>
          <w:tcPr>
            <w:tcW w:type="dxa" w:w="3300"/>
            <w:shd w:fill="17365D"/>
            <w:tcMar>
              <w:top w:w="90" w:type="dxa"/>
              <w:start w:w="120" w:type="dxa"/>
              <w:bottom w:w="90" w:type="dxa"/>
              <w:end w:w="120" w:type="dxa"/>
            </w:tcMar>
            <w:vAlign w:val="center"/>
          </w:tcPr>
          <w:p>
            <w:pPr>
              <w:jc w:val="center"/>
            </w:pPr>
            <w:r>
              <w:rPr>
                <w:rFonts w:ascii="Calibri" w:hAnsi="Calibri"/>
                <w:b/>
                <w:color w:val="FFFFFF"/>
                <w:sz w:val="18"/>
              </w:rPr>
              <w:t>Test endpoint</w:t>
            </w:r>
          </w:p>
        </w:tc>
        <w:tc>
          <w:tcPr>
            <w:tcW w:type="dxa" w:w="2300"/>
            <w:shd w:fill="17365D"/>
            <w:tcMar>
              <w:top w:w="90" w:type="dxa"/>
              <w:start w:w="120" w:type="dxa"/>
              <w:bottom w:w="90" w:type="dxa"/>
              <w:end w:w="120" w:type="dxa"/>
            </w:tcMar>
            <w:vAlign w:val="center"/>
          </w:tcPr>
          <w:p>
            <w:pPr>
              <w:jc w:val="center"/>
            </w:pPr>
            <w:r>
              <w:rPr>
                <w:rFonts w:ascii="Calibri" w:hAnsi="Calibri"/>
                <w:b/>
                <w:color w:val="FFFFFF"/>
                <w:sz w:val="18"/>
              </w:rPr>
              <w:t>Estimate</w:t>
            </w:r>
          </w:p>
        </w:tc>
        <w:tc>
          <w:tcPr>
            <w:tcW w:type="dxa" w:w="3760"/>
            <w:shd w:fill="17365D"/>
            <w:tcMar>
              <w:top w:w="90" w:type="dxa"/>
              <w:start w:w="120" w:type="dxa"/>
              <w:bottom w:w="90" w:type="dxa"/>
              <w:end w:w="120" w:type="dxa"/>
            </w:tcMar>
            <w:vAlign w:val="center"/>
          </w:tcPr>
          <w:p>
            <w:pPr>
              <w:jc w:val="center"/>
            </w:pPr>
            <w:r>
              <w:rPr>
                <w:rFonts w:ascii="Calibri" w:hAnsi="Calibri"/>
                <w:b/>
                <w:color w:val="FFFFFF"/>
                <w:sz w:val="18"/>
              </w:rPr>
              <w:t>Patient-bootstrap 95% CI</w:t>
            </w:r>
          </w:p>
        </w:tc>
      </w:tr>
      <w:tr>
        <w:tc>
          <w:tcPr>
            <w:tcW w:type="dxa" w:w="33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ROC-AUC</w:t>
            </w:r>
          </w:p>
        </w:tc>
        <w:tc>
          <w:tcPr>
            <w:tcW w:type="dxa" w:w="23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0.842</w:t>
            </w:r>
          </w:p>
        </w:tc>
        <w:tc>
          <w:tcPr>
            <w:tcW w:type="dxa" w:w="37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0.786-0.891</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22313F"/>
                <w:sz w:val="18"/>
              </w:rPr>
              <w:t>Sensitivity</w:t>
            </w:r>
          </w:p>
        </w:tc>
        <w:tc>
          <w:tcPr>
            <w:tcW w:type="dxa" w:w="2300"/>
            <w:tcMar>
              <w:top w:w="90" w:type="dxa"/>
              <w:start w:w="120" w:type="dxa"/>
              <w:bottom w:w="90" w:type="dxa"/>
              <w:end w:w="120" w:type="dxa"/>
            </w:tcMar>
            <w:vAlign w:val="center"/>
          </w:tcPr>
          <w:p>
            <w:pPr>
              <w:spacing w:after="0" w:line="252" w:lineRule="auto"/>
              <w:jc w:val="center"/>
            </w:pPr>
            <w:r>
              <w:rPr>
                <w:rFonts w:ascii="Calibri" w:hAnsi="Calibri"/>
                <w:color w:val="22313F"/>
                <w:sz w:val="18"/>
              </w:rPr>
              <w:t>88.3%</w:t>
            </w:r>
          </w:p>
        </w:tc>
        <w:tc>
          <w:tcPr>
            <w:tcW w:type="dxa" w:w="3760"/>
            <w:tcMar>
              <w:top w:w="90" w:type="dxa"/>
              <w:start w:w="120" w:type="dxa"/>
              <w:bottom w:w="90" w:type="dxa"/>
              <w:end w:w="120" w:type="dxa"/>
            </w:tcMar>
            <w:vAlign w:val="center"/>
          </w:tcPr>
          <w:p>
            <w:pPr>
              <w:spacing w:after="0" w:line="252" w:lineRule="auto"/>
              <w:jc w:val="center"/>
            </w:pPr>
            <w:r>
              <w:rPr>
                <w:rFonts w:ascii="Calibri" w:hAnsi="Calibri"/>
                <w:color w:val="22313F"/>
                <w:sz w:val="18"/>
              </w:rPr>
              <w:t>80.7%-94.4%</w:t>
            </w:r>
          </w:p>
        </w:tc>
      </w:tr>
      <w:tr>
        <w:tc>
          <w:tcPr>
            <w:tcW w:type="dxa" w:w="33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Specificity</w:t>
            </w:r>
          </w:p>
        </w:tc>
        <w:tc>
          <w:tcPr>
            <w:tcW w:type="dxa" w:w="23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50.9%</w:t>
            </w:r>
          </w:p>
        </w:tc>
        <w:tc>
          <w:tcPr>
            <w:tcW w:type="dxa" w:w="37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43.6%-58.6%</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22313F"/>
                <w:sz w:val="18"/>
              </w:rPr>
              <w:t>Negative predictive value</w:t>
            </w:r>
          </w:p>
        </w:tc>
        <w:tc>
          <w:tcPr>
            <w:tcW w:type="dxa" w:w="2300"/>
            <w:tcMar>
              <w:top w:w="90" w:type="dxa"/>
              <w:start w:w="120" w:type="dxa"/>
              <w:bottom w:w="90" w:type="dxa"/>
              <w:end w:w="120" w:type="dxa"/>
            </w:tcMar>
            <w:vAlign w:val="center"/>
          </w:tcPr>
          <w:p>
            <w:pPr>
              <w:spacing w:after="0" w:line="252" w:lineRule="auto"/>
              <w:jc w:val="center"/>
            </w:pPr>
            <w:r>
              <w:rPr>
                <w:rFonts w:ascii="Calibri" w:hAnsi="Calibri"/>
                <w:color w:val="22313F"/>
                <w:sz w:val="18"/>
              </w:rPr>
              <w:t>90.3%</w:t>
            </w:r>
          </w:p>
        </w:tc>
        <w:tc>
          <w:tcPr>
            <w:tcW w:type="dxa" w:w="3760"/>
            <w:tcMar>
              <w:top w:w="90" w:type="dxa"/>
              <w:start w:w="120" w:type="dxa"/>
              <w:bottom w:w="90" w:type="dxa"/>
              <w:end w:w="120" w:type="dxa"/>
            </w:tcMar>
            <w:vAlign w:val="center"/>
          </w:tcPr>
          <w:p>
            <w:pPr>
              <w:spacing w:after="0" w:line="252" w:lineRule="auto"/>
              <w:jc w:val="center"/>
            </w:pPr>
            <w:r>
              <w:rPr>
                <w:rFonts w:ascii="Calibri" w:hAnsi="Calibri"/>
                <w:color w:val="22313F"/>
                <w:sz w:val="18"/>
              </w:rPr>
              <w:t>84.0%-95.7%</w:t>
            </w:r>
          </w:p>
        </w:tc>
      </w:tr>
    </w:tbl>
    <w:p>
      <w:pPr>
        <w:spacing w:after="20"/>
      </w:pPr>
    </w:p>
    <w:p>
      <w:r>
        <w:t>At the locked threshold, the system detected 68 of 77 positive test slices and missed 9. It also generated 81 false alerts among 165 negative slices. The result supports continued research but shows that alert burden remains a central engineering and workflow problem.</w:t>
      </w:r>
    </w:p>
    <w:p>
      <w:pPr>
        <w:pStyle w:val="Heading1"/>
      </w:pPr>
      <w:r>
        <w:t>1. Study design and evidence chain</w:t>
      </w:r>
    </w:p>
    <w:tbl>
      <w:tblPr>
        <w:tblStyle w:val="TableGrid"/>
        <w:jc w:val="left"/>
        <w:tblLook w:firstColumn="1" w:firstRow="1" w:lastColumn="0" w:lastRow="0" w:noHBand="0" w:noVBand="1" w:val="04A0"/>
        <w:tblW w:w="9360" w:type="dxa"/>
        <w:tblInd w:w="120" w:type="dxa"/>
        <w:tblLayout w:type="fixed"/>
      </w:tblPr>
      <w:tblGrid>
        <w:gridCol w:w="2200"/>
        <w:gridCol w:w="1600"/>
        <w:gridCol w:w="1800"/>
        <w:gridCol w:w="1800"/>
        <w:gridCol w:w="1960"/>
      </w:tblGrid>
      <w:tr>
        <w:trPr>
          <w:tblHeader/>
        </w:trPr>
        <w:tc>
          <w:tcPr>
            <w:tcW w:type="dxa" w:w="2200"/>
            <w:shd w:fill="17365D"/>
            <w:tcMar>
              <w:top w:w="90" w:type="dxa"/>
              <w:start w:w="120" w:type="dxa"/>
              <w:bottom w:w="90" w:type="dxa"/>
              <w:end w:w="120" w:type="dxa"/>
            </w:tcMar>
            <w:vAlign w:val="center"/>
          </w:tcPr>
          <w:p>
            <w:pPr>
              <w:jc w:val="center"/>
            </w:pPr>
            <w:r>
              <w:rPr>
                <w:rFonts w:ascii="Calibri" w:hAnsi="Calibri"/>
                <w:b/>
                <w:color w:val="FFFFFF"/>
                <w:sz w:val="18"/>
              </w:rPr>
              <w:t>Split</w:t>
            </w:r>
          </w:p>
        </w:tc>
        <w:tc>
          <w:tcPr>
            <w:tcW w:type="dxa" w:w="1600"/>
            <w:shd w:fill="17365D"/>
            <w:tcMar>
              <w:top w:w="90" w:type="dxa"/>
              <w:start w:w="120" w:type="dxa"/>
              <w:bottom w:w="90" w:type="dxa"/>
              <w:end w:w="120" w:type="dxa"/>
            </w:tcMar>
            <w:vAlign w:val="center"/>
          </w:tcPr>
          <w:p>
            <w:pPr>
              <w:jc w:val="center"/>
            </w:pPr>
            <w:r>
              <w:rPr>
                <w:rFonts w:ascii="Calibri" w:hAnsi="Calibri"/>
                <w:b/>
                <w:color w:val="FFFFFF"/>
                <w:sz w:val="18"/>
              </w:rPr>
              <w:t>Slices</w:t>
            </w:r>
          </w:p>
        </w:tc>
        <w:tc>
          <w:tcPr>
            <w:tcW w:type="dxa" w:w="1800"/>
            <w:shd w:fill="17365D"/>
            <w:tcMar>
              <w:top w:w="90" w:type="dxa"/>
              <w:start w:w="120" w:type="dxa"/>
              <w:bottom w:w="90" w:type="dxa"/>
              <w:end w:w="120" w:type="dxa"/>
            </w:tcMar>
            <w:vAlign w:val="center"/>
          </w:tcPr>
          <w:p>
            <w:pPr>
              <w:jc w:val="center"/>
            </w:pPr>
            <w:r>
              <w:rPr>
                <w:rFonts w:ascii="Calibri" w:hAnsi="Calibri"/>
                <w:b/>
                <w:color w:val="FFFFFF"/>
                <w:sz w:val="18"/>
              </w:rPr>
              <w:t>Patients</w:t>
            </w:r>
          </w:p>
        </w:tc>
        <w:tc>
          <w:tcPr>
            <w:tcW w:type="dxa" w:w="1800"/>
            <w:shd w:fill="17365D"/>
            <w:tcMar>
              <w:top w:w="90" w:type="dxa"/>
              <w:start w:w="120" w:type="dxa"/>
              <w:bottom w:w="90" w:type="dxa"/>
              <w:end w:w="120" w:type="dxa"/>
            </w:tcMar>
            <w:vAlign w:val="center"/>
          </w:tcPr>
          <w:p>
            <w:pPr>
              <w:jc w:val="center"/>
            </w:pPr>
            <w:r>
              <w:rPr>
                <w:rFonts w:ascii="Calibri" w:hAnsi="Calibri"/>
                <w:b/>
                <w:color w:val="FFFFFF"/>
                <w:sz w:val="18"/>
              </w:rPr>
              <w:t>Any ICH +</w:t>
            </w:r>
          </w:p>
        </w:tc>
        <w:tc>
          <w:tcPr>
            <w:tcW w:type="dxa" w:w="1960"/>
            <w:shd w:fill="17365D"/>
            <w:tcMar>
              <w:top w:w="90" w:type="dxa"/>
              <w:start w:w="120" w:type="dxa"/>
              <w:bottom w:w="90" w:type="dxa"/>
              <w:end w:w="120" w:type="dxa"/>
            </w:tcMar>
            <w:vAlign w:val="center"/>
          </w:tcPr>
          <w:p>
            <w:pPr>
              <w:jc w:val="center"/>
            </w:pPr>
            <w:r>
              <w:rPr>
                <w:rFonts w:ascii="Calibri" w:hAnsi="Calibri"/>
                <w:b/>
                <w:color w:val="FFFFFF"/>
                <w:sz w:val="18"/>
              </w:rPr>
              <w:t>Positive share</w:t>
            </w:r>
          </w:p>
        </w:tc>
      </w:tr>
      <w:tr>
        <w:tc>
          <w:tcPr>
            <w:tcW w:type="dxa" w:w="2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Train</w:t>
            </w:r>
          </w:p>
        </w:tc>
        <w:tc>
          <w:tcPr>
            <w:tcW w:type="dxa" w:w="16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1682</w:t>
            </w:r>
          </w:p>
        </w:tc>
        <w:tc>
          <w:tcPr>
            <w:tcW w:type="dxa" w:w="18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1554</w:t>
            </w:r>
          </w:p>
        </w:tc>
        <w:tc>
          <w:tcPr>
            <w:tcW w:type="dxa" w:w="18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567</w:t>
            </w:r>
          </w:p>
        </w:tc>
        <w:tc>
          <w:tcPr>
            <w:tcW w:type="dxa" w:w="19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33.7%</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22313F"/>
                <w:sz w:val="18"/>
              </w:rPr>
              <w:t>Validation</w:t>
            </w:r>
          </w:p>
        </w:tc>
        <w:tc>
          <w:tcPr>
            <w:tcW w:type="dxa" w:w="1600"/>
            <w:tcMar>
              <w:top w:w="90" w:type="dxa"/>
              <w:start w:w="120" w:type="dxa"/>
              <w:bottom w:w="90" w:type="dxa"/>
              <w:end w:w="120" w:type="dxa"/>
            </w:tcMar>
            <w:vAlign w:val="center"/>
          </w:tcPr>
          <w:p>
            <w:pPr>
              <w:spacing w:after="0" w:line="252" w:lineRule="auto"/>
              <w:jc w:val="center"/>
            </w:pPr>
            <w:r>
              <w:rPr>
                <w:rFonts w:ascii="Calibri" w:hAnsi="Calibri"/>
                <w:color w:val="22313F"/>
                <w:sz w:val="18"/>
              </w:rPr>
              <w:t>232</w:t>
            </w:r>
          </w:p>
        </w:tc>
        <w:tc>
          <w:tcPr>
            <w:tcW w:type="dxa" w:w="1800"/>
            <w:tcMar>
              <w:top w:w="90" w:type="dxa"/>
              <w:start w:w="120" w:type="dxa"/>
              <w:bottom w:w="90" w:type="dxa"/>
              <w:end w:w="120" w:type="dxa"/>
            </w:tcMar>
            <w:vAlign w:val="center"/>
          </w:tcPr>
          <w:p>
            <w:pPr>
              <w:spacing w:after="0" w:line="252" w:lineRule="auto"/>
              <w:jc w:val="center"/>
            </w:pPr>
            <w:r>
              <w:rPr>
                <w:rFonts w:ascii="Calibri" w:hAnsi="Calibri"/>
                <w:color w:val="22313F"/>
                <w:sz w:val="18"/>
              </w:rPr>
              <w:t>222</w:t>
            </w:r>
          </w:p>
        </w:tc>
        <w:tc>
          <w:tcPr>
            <w:tcW w:type="dxa" w:w="1800"/>
            <w:tcMar>
              <w:top w:w="90" w:type="dxa"/>
              <w:start w:w="120" w:type="dxa"/>
              <w:bottom w:w="90" w:type="dxa"/>
              <w:end w:w="120" w:type="dxa"/>
            </w:tcMar>
            <w:vAlign w:val="center"/>
          </w:tcPr>
          <w:p>
            <w:pPr>
              <w:spacing w:after="0" w:line="252" w:lineRule="auto"/>
              <w:jc w:val="center"/>
            </w:pPr>
            <w:r>
              <w:rPr>
                <w:rFonts w:ascii="Calibri" w:hAnsi="Calibri"/>
                <w:color w:val="22313F"/>
                <w:sz w:val="18"/>
              </w:rPr>
              <w:t>77</w:t>
            </w:r>
          </w:p>
        </w:tc>
        <w:tc>
          <w:tcPr>
            <w:tcW w:type="dxa" w:w="1960"/>
            <w:tcMar>
              <w:top w:w="90" w:type="dxa"/>
              <w:start w:w="120" w:type="dxa"/>
              <w:bottom w:w="90" w:type="dxa"/>
              <w:end w:w="120" w:type="dxa"/>
            </w:tcMar>
            <w:vAlign w:val="center"/>
          </w:tcPr>
          <w:p>
            <w:pPr>
              <w:spacing w:after="0" w:line="252" w:lineRule="auto"/>
              <w:jc w:val="center"/>
            </w:pPr>
            <w:r>
              <w:rPr>
                <w:rFonts w:ascii="Calibri" w:hAnsi="Calibri"/>
                <w:color w:val="22313F"/>
                <w:sz w:val="18"/>
              </w:rPr>
              <w:t>33.2%</w:t>
            </w:r>
          </w:p>
        </w:tc>
      </w:tr>
      <w:tr>
        <w:tc>
          <w:tcPr>
            <w:tcW w:type="dxa" w:w="2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Calibration</w:t>
            </w:r>
          </w:p>
        </w:tc>
        <w:tc>
          <w:tcPr>
            <w:tcW w:type="dxa" w:w="16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244</w:t>
            </w:r>
          </w:p>
        </w:tc>
        <w:tc>
          <w:tcPr>
            <w:tcW w:type="dxa" w:w="18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222</w:t>
            </w:r>
          </w:p>
        </w:tc>
        <w:tc>
          <w:tcPr>
            <w:tcW w:type="dxa" w:w="18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79</w:t>
            </w:r>
          </w:p>
        </w:tc>
        <w:tc>
          <w:tcPr>
            <w:tcW w:type="dxa" w:w="19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32.4%</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22313F"/>
                <w:sz w:val="18"/>
              </w:rPr>
              <w:t>Test</w:t>
            </w:r>
          </w:p>
        </w:tc>
        <w:tc>
          <w:tcPr>
            <w:tcW w:type="dxa" w:w="1600"/>
            <w:tcMar>
              <w:top w:w="90" w:type="dxa"/>
              <w:start w:w="120" w:type="dxa"/>
              <w:bottom w:w="90" w:type="dxa"/>
              <w:end w:w="120" w:type="dxa"/>
            </w:tcMar>
            <w:vAlign w:val="center"/>
          </w:tcPr>
          <w:p>
            <w:pPr>
              <w:spacing w:after="0" w:line="252" w:lineRule="auto"/>
              <w:jc w:val="center"/>
            </w:pPr>
            <w:r>
              <w:rPr>
                <w:rFonts w:ascii="Calibri" w:hAnsi="Calibri"/>
                <w:color w:val="22313F"/>
                <w:sz w:val="18"/>
              </w:rPr>
              <w:t>242</w:t>
            </w:r>
          </w:p>
        </w:tc>
        <w:tc>
          <w:tcPr>
            <w:tcW w:type="dxa" w:w="1800"/>
            <w:tcMar>
              <w:top w:w="90" w:type="dxa"/>
              <w:start w:w="120" w:type="dxa"/>
              <w:bottom w:w="90" w:type="dxa"/>
              <w:end w:w="120" w:type="dxa"/>
            </w:tcMar>
            <w:vAlign w:val="center"/>
          </w:tcPr>
          <w:p>
            <w:pPr>
              <w:spacing w:after="0" w:line="252" w:lineRule="auto"/>
              <w:jc w:val="center"/>
            </w:pPr>
            <w:r>
              <w:rPr>
                <w:rFonts w:ascii="Calibri" w:hAnsi="Calibri"/>
                <w:color w:val="22313F"/>
                <w:sz w:val="18"/>
              </w:rPr>
              <w:t>222</w:t>
            </w:r>
          </w:p>
        </w:tc>
        <w:tc>
          <w:tcPr>
            <w:tcW w:type="dxa" w:w="1800"/>
            <w:tcMar>
              <w:top w:w="90" w:type="dxa"/>
              <w:start w:w="120" w:type="dxa"/>
              <w:bottom w:w="90" w:type="dxa"/>
              <w:end w:w="120" w:type="dxa"/>
            </w:tcMar>
            <w:vAlign w:val="center"/>
          </w:tcPr>
          <w:p>
            <w:pPr>
              <w:spacing w:after="0" w:line="252" w:lineRule="auto"/>
              <w:jc w:val="center"/>
            </w:pPr>
            <w:r>
              <w:rPr>
                <w:rFonts w:ascii="Calibri" w:hAnsi="Calibri"/>
                <w:color w:val="22313F"/>
                <w:sz w:val="18"/>
              </w:rPr>
              <w:t>77</w:t>
            </w:r>
          </w:p>
        </w:tc>
        <w:tc>
          <w:tcPr>
            <w:tcW w:type="dxa" w:w="1960"/>
            <w:tcMar>
              <w:top w:w="90" w:type="dxa"/>
              <w:start w:w="120" w:type="dxa"/>
              <w:bottom w:w="90" w:type="dxa"/>
              <w:end w:w="120" w:type="dxa"/>
            </w:tcMar>
            <w:vAlign w:val="center"/>
          </w:tcPr>
          <w:p>
            <w:pPr>
              <w:spacing w:after="0" w:line="252" w:lineRule="auto"/>
              <w:jc w:val="center"/>
            </w:pPr>
            <w:r>
              <w:rPr>
                <w:rFonts w:ascii="Calibri" w:hAnsi="Calibri"/>
                <w:color w:val="22313F"/>
                <w:sz w:val="18"/>
              </w:rPr>
              <w:t>31.8%</w:t>
            </w:r>
          </w:p>
        </w:tc>
      </w:tr>
    </w:tbl>
    <w:p>
      <w:pPr>
        <w:spacing w:after="20"/>
      </w:pPr>
    </w:p>
    <w:p>
      <w:r>
        <w:t>The pilot contains 2,400 sampled slices: 800 hemorrhage-positive and 1,600 negative. Sampling deliberately increased prevalence before splitting. Patients were kept within a single split; the exported manifest also shows no study or series overlap. Because the pilot is slice-sampled, it does not represent full volumes or the original RSNA prevalence.</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F4F6F9"/>
            <w:tcBorders>
              <w:left w:val="single" w:sz="22" w:color="2E74B5"/>
              <w:top w:val="nil"/>
              <w:bottom w:val="nil"/>
              <w:right w:val="nil"/>
            </w:tcBorders>
            <w:tcMar>
              <w:top w:w="90" w:type="dxa"/>
              <w:start w:w="120" w:type="dxa"/>
              <w:bottom w:w="90" w:type="dxa"/>
              <w:end w:w="120" w:type="dxa"/>
            </w:tcMar>
            <w:vAlign w:val="center"/>
          </w:tcPr>
          <w:p>
            <w:pPr>
              <w:spacing w:after="0"/>
            </w:pPr>
            <w:r>
              <w:rPr>
                <w:rFonts w:ascii="Calibri" w:hAnsi="Calibri"/>
                <w:b/>
                <w:color w:val="2E74B5"/>
                <w:sz w:val="20"/>
              </w:rPr>
              <w:t xml:space="preserve">Locked sequence: </w:t>
            </w:r>
            <w:r>
              <w:rPr>
                <w:rFonts w:ascii="Calibri" w:hAnsi="Calibri"/>
                <w:color w:val="22313F"/>
                <w:sz w:val="20"/>
              </w:rPr>
              <w:t>Train on 1,682 slices; select the epoch on 232 validation slices; choose the threshold on 244 calibration slices; evaluate once on 242 test slices from 222 patients. The test result is not used for further tuning.</w:t>
            </w:r>
          </w:p>
        </w:tc>
      </w:tr>
    </w:tbl>
    <w:p>
      <w:pPr>
        <w:spacing w:after="20"/>
      </w:pPr>
    </w:p>
    <w:p>
      <w:pPr>
        <w:pStyle w:val="Heading1"/>
      </w:pPr>
      <w:r>
        <w:t>2. Input pipeline and model</w:t>
      </w:r>
    </w:p>
    <w:p>
      <w:r>
        <w:t>DICOM pixels were transformed with RescaleSlope and RescaleIntercept and mapped to three normalized channels: brain (center 40, width 80), subdural/blood (center 75, width 215), and bone (center 600, width 2,800). Images were resized to 224 x 224 and normalized with the ImageNet statistics recorded in the run configuration. The model produced independent sigmoid scores for epidural, intraparenchymal, intraventricular, subarachnoid, subdural, and any hemorrhage.</w:t>
      </w:r>
    </w:p>
    <w:p>
      <w:pPr>
        <w:keepNext/>
        <w:jc w:val="center"/>
      </w:pPr>
      <w:r>
        <w:drawing>
          <wp:inline xmlns:a="http://schemas.openxmlformats.org/drawingml/2006/main" xmlns:pic="http://schemas.openxmlformats.org/drawingml/2006/picture">
            <wp:extent cx="4892040" cy="4946245"/>
            <wp:docPr id="1" name="Picture 1"/>
            <wp:cNvGraphicFramePr>
              <a:graphicFrameLocks noChangeAspect="1"/>
            </wp:cNvGraphicFramePr>
            <a:graphic>
              <a:graphicData uri="http://schemas.openxmlformats.org/drawingml/2006/picture">
                <pic:pic>
                  <pic:nvPicPr>
                    <pic:cNvPr id="0" name="rsna_hu_window_preview_panel_1.png"/>
                    <pic:cNvPicPr/>
                  </pic:nvPicPr>
                  <pic:blipFill>
                    <a:blip r:embed="rId11"/>
                    <a:stretch>
                      <a:fillRect/>
                    </a:stretch>
                  </pic:blipFill>
                  <pic:spPr>
                    <a:xfrm>
                      <a:off x="0" y="0"/>
                      <a:ext cx="4892040" cy="4946245"/>
                    </a:xfrm>
                    <a:prstGeom prst="rect"/>
                  </pic:spPr>
                </pic:pic>
              </a:graphicData>
            </a:graphic>
          </wp:inline>
        </w:drawing>
      </w:r>
    </w:p>
    <w:p>
      <w:pPr>
        <w:spacing w:after="160"/>
        <w:jc w:val="center"/>
      </w:pPr>
      <w:r>
        <w:rPr>
          <w:rFonts w:ascii="Calibri" w:hAnsi="Calibri"/>
          <w:i/>
          <w:color w:val="5B6573"/>
          <w:sz w:val="17"/>
        </w:rPr>
        <w:t>Figure 1a. De-identified negative, epidural, and intraparenchymal examples after physical HU conversion and three-window projection.</w:t>
      </w:r>
    </w:p>
    <w:p>
      <w:pPr>
        <w:keepNext/>
        <w:jc w:val="center"/>
      </w:pPr>
      <w:r>
        <w:drawing>
          <wp:inline xmlns:a="http://schemas.openxmlformats.org/drawingml/2006/main" xmlns:pic="http://schemas.openxmlformats.org/drawingml/2006/picture">
            <wp:extent cx="4892040" cy="4444845"/>
            <wp:docPr id="2" name="Picture 2"/>
            <wp:cNvGraphicFramePr>
              <a:graphicFrameLocks noChangeAspect="1"/>
            </wp:cNvGraphicFramePr>
            <a:graphic>
              <a:graphicData uri="http://schemas.openxmlformats.org/drawingml/2006/picture">
                <pic:pic>
                  <pic:nvPicPr>
                    <pic:cNvPr id="0" name="rsna_hu_window_preview_panel_2.png"/>
                    <pic:cNvPicPr/>
                  </pic:nvPicPr>
                  <pic:blipFill>
                    <a:blip r:embed="rId12"/>
                    <a:stretch>
                      <a:fillRect/>
                    </a:stretch>
                  </pic:blipFill>
                  <pic:spPr>
                    <a:xfrm>
                      <a:off x="0" y="0"/>
                      <a:ext cx="4892040" cy="4444845"/>
                    </a:xfrm>
                    <a:prstGeom prst="rect"/>
                  </pic:spPr>
                </pic:pic>
              </a:graphicData>
            </a:graphic>
          </wp:inline>
        </w:drawing>
      </w:r>
    </w:p>
    <w:p>
      <w:pPr>
        <w:spacing w:after="160"/>
        <w:jc w:val="center"/>
      </w:pPr>
      <w:r>
        <w:rPr>
          <w:rFonts w:ascii="Calibri" w:hAnsi="Calibri"/>
          <w:i/>
          <w:color w:val="5B6573"/>
          <w:sz w:val="17"/>
        </w:rPr>
        <w:t>Figure 1b. De-identified intraventricular, subarachnoid, and subdural examples. Slice labels do not constitute lesion localization annotations.</w:t>
      </w:r>
    </w:p>
    <w:p>
      <w:r>
        <w:t>The ImageNet-pretrained EfficientNet-B0 classifier was trained for two frozen-backbone epochs followed by six upper-backbone fine-tuning epochs. Positive class weighting was capped at 20 for the sparse epidural label. Epoch 4 was selected with validation any-hemorrhage ROC-AUC 0.8553. Validation loss rose afterward while training loss continued to decline, indicating overfitting.</w:t>
      </w:r>
    </w:p>
    <w:p>
      <w:pPr>
        <w:pStyle w:val="Heading1"/>
      </w:pPr>
      <w:r>
        <w:t>3. Locked evaluation</w:t>
      </w:r>
    </w:p>
    <w:p>
      <w:pPr>
        <w:keepNext/>
        <w:jc w:val="center"/>
      </w:pPr>
      <w:r>
        <w:drawing>
          <wp:inline xmlns:a="http://schemas.openxmlformats.org/drawingml/2006/main" xmlns:pic="http://schemas.openxmlformats.org/drawingml/2006/picture">
            <wp:extent cx="5715000" cy="2218728"/>
            <wp:docPr id="3" name="Picture 3"/>
            <wp:cNvGraphicFramePr>
              <a:graphicFrameLocks noChangeAspect="1"/>
            </wp:cNvGraphicFramePr>
            <a:graphic>
              <a:graphicData uri="http://schemas.openxmlformats.org/drawingml/2006/picture">
                <pic:pic>
                  <pic:nvPicPr>
                    <pic:cNvPr id="0" name="rsna_evaluation_summary.png"/>
                    <pic:cNvPicPr/>
                  </pic:nvPicPr>
                  <pic:blipFill>
                    <a:blip r:embed="rId13"/>
                    <a:stretch>
                      <a:fillRect/>
                    </a:stretch>
                  </pic:blipFill>
                  <pic:spPr>
                    <a:xfrm>
                      <a:off x="0" y="0"/>
                      <a:ext cx="5715000" cy="2218728"/>
                    </a:xfrm>
                    <a:prstGeom prst="rect"/>
                  </pic:spPr>
                </pic:pic>
              </a:graphicData>
            </a:graphic>
          </wp:inline>
        </w:drawing>
      </w:r>
    </w:p>
    <w:p>
      <w:pPr>
        <w:jc w:val="center"/>
      </w:pPr>
      <w:r>
        <w:rPr>
          <w:rFonts w:ascii="Calibri" w:hAnsi="Calibri"/>
          <w:i/>
          <w:color w:val="5B6573"/>
          <w:sz w:val="17"/>
        </w:rPr>
        <w:t>Figure 2. Locked test ROC curve and training history. The vertical marker shows the validation-selected checkpoint; later epochs were not retained.</w:t>
      </w:r>
    </w:p>
    <w:tbl>
      <w:tblPr>
        <w:tblStyle w:val="TableGrid"/>
        <w:jc w:val="left"/>
        <w:tblLook w:firstColumn="1" w:firstRow="1" w:lastColumn="0" w:lastRow="0" w:noHBand="0" w:noVBand="1" w:val="04A0"/>
        <w:tblW w:w="9360" w:type="dxa"/>
        <w:tblInd w:w="120" w:type="dxa"/>
        <w:tblLayout w:type="fixed"/>
      </w:tblPr>
      <w:tblGrid>
        <w:gridCol w:w="4200"/>
        <w:gridCol w:w="5160"/>
      </w:tblGrid>
      <w:tr>
        <w:trPr>
          <w:tblHeader/>
        </w:trPr>
        <w:tc>
          <w:tcPr>
            <w:tcW w:type="dxa" w:w="4200"/>
            <w:shd w:fill="17365D"/>
            <w:tcMar>
              <w:top w:w="90" w:type="dxa"/>
              <w:start w:w="120" w:type="dxa"/>
              <w:bottom w:w="90" w:type="dxa"/>
              <w:end w:w="120" w:type="dxa"/>
            </w:tcMar>
            <w:vAlign w:val="center"/>
          </w:tcPr>
          <w:p>
            <w:pPr>
              <w:jc w:val="center"/>
            </w:pPr>
            <w:r>
              <w:rPr>
                <w:rFonts w:ascii="Calibri" w:hAnsi="Calibri"/>
                <w:b/>
                <w:color w:val="FFFFFF"/>
                <w:sz w:val="18"/>
              </w:rPr>
              <w:t>Primary endpoint metric</w:t>
            </w:r>
          </w:p>
        </w:tc>
        <w:tc>
          <w:tcPr>
            <w:tcW w:type="dxa" w:w="5160"/>
            <w:shd w:fill="17365D"/>
            <w:tcMar>
              <w:top w:w="90" w:type="dxa"/>
              <w:start w:w="120" w:type="dxa"/>
              <w:bottom w:w="90" w:type="dxa"/>
              <w:end w:w="120" w:type="dxa"/>
            </w:tcMar>
            <w:vAlign w:val="center"/>
          </w:tcPr>
          <w:p>
            <w:pPr>
              <w:jc w:val="center"/>
            </w:pPr>
            <w:r>
              <w:rPr>
                <w:rFonts w:ascii="Calibri" w:hAnsi="Calibri"/>
                <w:b/>
                <w:color w:val="FFFFFF"/>
                <w:sz w:val="18"/>
              </w:rPr>
              <w:t>Estimate (patient-bootstrap 95% CI)</w:t>
            </w:r>
          </w:p>
        </w:tc>
      </w:tr>
      <w:tr>
        <w:tc>
          <w:tcPr>
            <w:tcW w:type="dxa" w:w="4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ROC-AUC</w:t>
            </w:r>
          </w:p>
        </w:tc>
        <w:tc>
          <w:tcPr>
            <w:tcW w:type="dxa" w:w="51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0.842 (0.786-0.891)</w:t>
            </w:r>
          </w:p>
        </w:tc>
      </w:tr>
      <w:tr>
        <w:tc>
          <w:tcPr>
            <w:tcW w:type="dxa" w:w="4200"/>
            <w:tcMar>
              <w:top w:w="90" w:type="dxa"/>
              <w:start w:w="120" w:type="dxa"/>
              <w:bottom w:w="90" w:type="dxa"/>
              <w:end w:w="120" w:type="dxa"/>
            </w:tcMar>
            <w:vAlign w:val="center"/>
          </w:tcPr>
          <w:p>
            <w:pPr>
              <w:spacing w:after="0" w:line="252" w:lineRule="auto"/>
              <w:jc w:val="left"/>
            </w:pPr>
            <w:r>
              <w:rPr>
                <w:rFonts w:ascii="Calibri" w:hAnsi="Calibri"/>
                <w:color w:val="22313F"/>
                <w:sz w:val="18"/>
              </w:rPr>
              <w:t>Average precision</w:t>
            </w:r>
          </w:p>
        </w:tc>
        <w:tc>
          <w:tcPr>
            <w:tcW w:type="dxa" w:w="5160"/>
            <w:tcMar>
              <w:top w:w="90" w:type="dxa"/>
              <w:start w:w="120" w:type="dxa"/>
              <w:bottom w:w="90" w:type="dxa"/>
              <w:end w:w="120" w:type="dxa"/>
            </w:tcMar>
            <w:vAlign w:val="center"/>
          </w:tcPr>
          <w:p>
            <w:pPr>
              <w:spacing w:after="0" w:line="252" w:lineRule="auto"/>
              <w:jc w:val="center"/>
            </w:pPr>
            <w:r>
              <w:rPr>
                <w:rFonts w:ascii="Calibri" w:hAnsi="Calibri"/>
                <w:color w:val="22313F"/>
                <w:sz w:val="18"/>
              </w:rPr>
              <w:t>0.777 (0.686-0.849)</w:t>
            </w:r>
          </w:p>
        </w:tc>
      </w:tr>
      <w:tr>
        <w:tc>
          <w:tcPr>
            <w:tcW w:type="dxa" w:w="4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Sensitivity</w:t>
            </w:r>
          </w:p>
        </w:tc>
        <w:tc>
          <w:tcPr>
            <w:tcW w:type="dxa" w:w="51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0.883 (0.807-0.944)</w:t>
            </w:r>
          </w:p>
        </w:tc>
      </w:tr>
      <w:tr>
        <w:tc>
          <w:tcPr>
            <w:tcW w:type="dxa" w:w="4200"/>
            <w:tcMar>
              <w:top w:w="90" w:type="dxa"/>
              <w:start w:w="120" w:type="dxa"/>
              <w:bottom w:w="90" w:type="dxa"/>
              <w:end w:w="120" w:type="dxa"/>
            </w:tcMar>
            <w:vAlign w:val="center"/>
          </w:tcPr>
          <w:p>
            <w:pPr>
              <w:spacing w:after="0" w:line="252" w:lineRule="auto"/>
              <w:jc w:val="left"/>
            </w:pPr>
            <w:r>
              <w:rPr>
                <w:rFonts w:ascii="Calibri" w:hAnsi="Calibri"/>
                <w:color w:val="22313F"/>
                <w:sz w:val="18"/>
              </w:rPr>
              <w:t>Specificity</w:t>
            </w:r>
          </w:p>
        </w:tc>
        <w:tc>
          <w:tcPr>
            <w:tcW w:type="dxa" w:w="5160"/>
            <w:tcMar>
              <w:top w:w="90" w:type="dxa"/>
              <w:start w:w="120" w:type="dxa"/>
              <w:bottom w:w="90" w:type="dxa"/>
              <w:end w:w="120" w:type="dxa"/>
            </w:tcMar>
            <w:vAlign w:val="center"/>
          </w:tcPr>
          <w:p>
            <w:pPr>
              <w:spacing w:after="0" w:line="252" w:lineRule="auto"/>
              <w:jc w:val="center"/>
            </w:pPr>
            <w:r>
              <w:rPr>
                <w:rFonts w:ascii="Calibri" w:hAnsi="Calibri"/>
                <w:color w:val="22313F"/>
                <w:sz w:val="18"/>
              </w:rPr>
              <w:t>0.509 (0.436-0.586)</w:t>
            </w:r>
          </w:p>
        </w:tc>
      </w:tr>
      <w:tr>
        <w:tc>
          <w:tcPr>
            <w:tcW w:type="dxa" w:w="4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PPV</w:t>
            </w:r>
          </w:p>
        </w:tc>
        <w:tc>
          <w:tcPr>
            <w:tcW w:type="dxa" w:w="51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0.456 (0.374-0.538)</w:t>
            </w:r>
          </w:p>
        </w:tc>
      </w:tr>
      <w:tr>
        <w:tc>
          <w:tcPr>
            <w:tcW w:type="dxa" w:w="4200"/>
            <w:tcMar>
              <w:top w:w="90" w:type="dxa"/>
              <w:start w:w="120" w:type="dxa"/>
              <w:bottom w:w="90" w:type="dxa"/>
              <w:end w:w="120" w:type="dxa"/>
            </w:tcMar>
            <w:vAlign w:val="center"/>
          </w:tcPr>
          <w:p>
            <w:pPr>
              <w:spacing w:after="0" w:line="252" w:lineRule="auto"/>
              <w:jc w:val="left"/>
            </w:pPr>
            <w:r>
              <w:rPr>
                <w:rFonts w:ascii="Calibri" w:hAnsi="Calibri"/>
                <w:color w:val="22313F"/>
                <w:sz w:val="18"/>
              </w:rPr>
              <w:t>NPV</w:t>
            </w:r>
          </w:p>
        </w:tc>
        <w:tc>
          <w:tcPr>
            <w:tcW w:type="dxa" w:w="5160"/>
            <w:tcMar>
              <w:top w:w="90" w:type="dxa"/>
              <w:start w:w="120" w:type="dxa"/>
              <w:bottom w:w="90" w:type="dxa"/>
              <w:end w:w="120" w:type="dxa"/>
            </w:tcMar>
            <w:vAlign w:val="center"/>
          </w:tcPr>
          <w:p>
            <w:pPr>
              <w:spacing w:after="0" w:line="252" w:lineRule="auto"/>
              <w:jc w:val="center"/>
            </w:pPr>
            <w:r>
              <w:rPr>
                <w:rFonts w:ascii="Calibri" w:hAnsi="Calibri"/>
                <w:color w:val="22313F"/>
                <w:sz w:val="18"/>
              </w:rPr>
              <w:t>0.903 (0.840-0.957)</w:t>
            </w:r>
          </w:p>
        </w:tc>
      </w:tr>
      <w:tr>
        <w:tc>
          <w:tcPr>
            <w:tcW w:type="dxa" w:w="4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Accuracy</w:t>
            </w:r>
          </w:p>
        </w:tc>
        <w:tc>
          <w:tcPr>
            <w:tcW w:type="dxa" w:w="516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0.628 (0.567-0.688)</w:t>
            </w:r>
          </w:p>
        </w:tc>
      </w:tr>
    </w:tbl>
    <w:p>
      <w:pPr>
        <w:spacing w:after="20"/>
      </w:pPr>
    </w:p>
    <w:tbl>
      <w:tblPr>
        <w:tblStyle w:val="TableGrid"/>
        <w:jc w:val="left"/>
        <w:tblLook w:firstColumn="1" w:firstRow="1" w:lastColumn="0" w:lastRow="0" w:noHBand="0" w:noVBand="1" w:val="04A0"/>
        <w:tblW w:w="9360" w:type="dxa"/>
        <w:tblInd w:w="120" w:type="dxa"/>
        <w:tblLayout w:type="fixed"/>
      </w:tblPr>
      <w:tblGrid>
        <w:gridCol w:w="3200"/>
        <w:gridCol w:w="3080"/>
        <w:gridCol w:w="3080"/>
      </w:tblGrid>
      <w:tr>
        <w:trPr>
          <w:tblHeader/>
        </w:trPr>
        <w:tc>
          <w:tcPr>
            <w:tcW w:type="dxa" w:w="3200"/>
            <w:shd w:fill="17365D"/>
            <w:tcMar>
              <w:top w:w="90" w:type="dxa"/>
              <w:start w:w="120" w:type="dxa"/>
              <w:bottom w:w="90" w:type="dxa"/>
              <w:end w:w="120" w:type="dxa"/>
            </w:tcMar>
            <w:vAlign w:val="center"/>
          </w:tcPr>
          <w:p>
            <w:pPr>
              <w:jc w:val="center"/>
            </w:pPr>
            <w:r>
              <w:rPr>
                <w:rFonts w:ascii="Calibri" w:hAnsi="Calibri"/>
                <w:b/>
                <w:color w:val="FFFFFF"/>
                <w:sz w:val="18"/>
              </w:rPr>
            </w:r>
          </w:p>
        </w:tc>
        <w:tc>
          <w:tcPr>
            <w:tcW w:type="dxa" w:w="3080"/>
            <w:shd w:fill="17365D"/>
            <w:tcMar>
              <w:top w:w="90" w:type="dxa"/>
              <w:start w:w="120" w:type="dxa"/>
              <w:bottom w:w="90" w:type="dxa"/>
              <w:end w:w="120" w:type="dxa"/>
            </w:tcMar>
            <w:vAlign w:val="center"/>
          </w:tcPr>
          <w:p>
            <w:pPr>
              <w:jc w:val="center"/>
            </w:pPr>
            <w:r>
              <w:rPr>
                <w:rFonts w:ascii="Calibri" w:hAnsi="Calibri"/>
                <w:b/>
                <w:color w:val="FFFFFF"/>
                <w:sz w:val="18"/>
              </w:rPr>
              <w:t>Predicted negative</w:t>
            </w:r>
          </w:p>
        </w:tc>
        <w:tc>
          <w:tcPr>
            <w:tcW w:type="dxa" w:w="3080"/>
            <w:shd w:fill="17365D"/>
            <w:tcMar>
              <w:top w:w="90" w:type="dxa"/>
              <w:start w:w="120" w:type="dxa"/>
              <w:bottom w:w="90" w:type="dxa"/>
              <w:end w:w="120" w:type="dxa"/>
            </w:tcMar>
            <w:vAlign w:val="center"/>
          </w:tcPr>
          <w:p>
            <w:pPr>
              <w:jc w:val="center"/>
            </w:pPr>
            <w:r>
              <w:rPr>
                <w:rFonts w:ascii="Calibri" w:hAnsi="Calibri"/>
                <w:b/>
                <w:color w:val="FFFFFF"/>
                <w:sz w:val="18"/>
              </w:rPr>
              <w:t>Predicted positive</w:t>
            </w:r>
          </w:p>
        </w:tc>
      </w:tr>
      <w:tr>
        <w:tc>
          <w:tcPr>
            <w:tcW w:type="dxa" w:w="32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Actually negative</w:t>
            </w:r>
          </w:p>
        </w:tc>
        <w:tc>
          <w:tcPr>
            <w:tcW w:type="dxa" w:w="308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84</w:t>
            </w:r>
          </w:p>
        </w:tc>
        <w:tc>
          <w:tcPr>
            <w:tcW w:type="dxa" w:w="308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81</w:t>
            </w:r>
          </w:p>
        </w:tc>
      </w:tr>
      <w:tr>
        <w:tc>
          <w:tcPr>
            <w:tcW w:type="dxa" w:w="3200"/>
            <w:tcMar>
              <w:top w:w="90" w:type="dxa"/>
              <w:start w:w="120" w:type="dxa"/>
              <w:bottom w:w="90" w:type="dxa"/>
              <w:end w:w="120" w:type="dxa"/>
            </w:tcMar>
            <w:vAlign w:val="center"/>
          </w:tcPr>
          <w:p>
            <w:pPr>
              <w:spacing w:after="0" w:line="252" w:lineRule="auto"/>
              <w:jc w:val="left"/>
            </w:pPr>
            <w:r>
              <w:rPr>
                <w:rFonts w:ascii="Calibri" w:hAnsi="Calibri"/>
                <w:color w:val="22313F"/>
                <w:sz w:val="18"/>
              </w:rPr>
              <w:t>Actually positive</w:t>
            </w:r>
          </w:p>
        </w:tc>
        <w:tc>
          <w:tcPr>
            <w:tcW w:type="dxa" w:w="3080"/>
            <w:tcMar>
              <w:top w:w="90" w:type="dxa"/>
              <w:start w:w="120" w:type="dxa"/>
              <w:bottom w:w="90" w:type="dxa"/>
              <w:end w:w="120" w:type="dxa"/>
            </w:tcMar>
            <w:vAlign w:val="center"/>
          </w:tcPr>
          <w:p>
            <w:pPr>
              <w:spacing w:after="0" w:line="252" w:lineRule="auto"/>
              <w:jc w:val="center"/>
            </w:pPr>
            <w:r>
              <w:rPr>
                <w:rFonts w:ascii="Calibri" w:hAnsi="Calibri"/>
                <w:color w:val="22313F"/>
                <w:sz w:val="18"/>
              </w:rPr>
              <w:t>9</w:t>
            </w:r>
          </w:p>
        </w:tc>
        <w:tc>
          <w:tcPr>
            <w:tcW w:type="dxa" w:w="3080"/>
            <w:tcMar>
              <w:top w:w="90" w:type="dxa"/>
              <w:start w:w="120" w:type="dxa"/>
              <w:bottom w:w="90" w:type="dxa"/>
              <w:end w:w="120" w:type="dxa"/>
            </w:tcMar>
            <w:vAlign w:val="center"/>
          </w:tcPr>
          <w:p>
            <w:pPr>
              <w:spacing w:after="0" w:line="252" w:lineRule="auto"/>
              <w:jc w:val="center"/>
            </w:pPr>
            <w:r>
              <w:rPr>
                <w:rFonts w:ascii="Calibri" w:hAnsi="Calibri"/>
                <w:color w:val="22313F"/>
                <w:sz w:val="18"/>
              </w:rPr>
              <w:t>68</w:t>
            </w:r>
          </w:p>
        </w:tc>
      </w:tr>
    </w:tbl>
    <w:p>
      <w:pPr>
        <w:spacing w:after="20"/>
      </w:pPr>
    </w:p>
    <w:p>
      <w:r>
        <w:t>The threshold 0.253861 was chosen on calibration data to target at least 90.0% sensitivity. Calibration sensitivity/specificity were 91.1% and 55.2%; test sensitivity/specificity were 88.3% and 50.9%. The sigmoid value is an operating score, not a population-calibrated probability.</w:t>
      </w:r>
    </w:p>
    <w:p>
      <w:r>
        <w:br w:type="page"/>
      </w:r>
    </w:p>
    <w:p>
      <w:pPr>
        <w:pStyle w:val="Heading1"/>
      </w:pPr>
      <w:r>
        <w:t>4. Exploratory subtype results</w:t>
      </w:r>
    </w:p>
    <w:tbl>
      <w:tblPr>
        <w:tblStyle w:val="TableGrid"/>
        <w:jc w:val="left"/>
        <w:tblLook w:firstColumn="1" w:firstRow="1" w:lastColumn="0" w:lastRow="0" w:noHBand="0" w:noVBand="1" w:val="04A0"/>
        <w:tblW w:w="9360" w:type="dxa"/>
        <w:tblInd w:w="120" w:type="dxa"/>
        <w:tblLayout w:type="fixed"/>
      </w:tblPr>
      <w:tblGrid>
        <w:gridCol w:w="3000"/>
        <w:gridCol w:w="1900"/>
        <w:gridCol w:w="1700"/>
        <w:gridCol w:w="2760"/>
      </w:tblGrid>
      <w:tr>
        <w:trPr>
          <w:tblHeader/>
        </w:trPr>
        <w:tc>
          <w:tcPr>
            <w:tcW w:type="dxa" w:w="3000"/>
            <w:shd w:fill="17365D"/>
            <w:tcMar>
              <w:top w:w="90" w:type="dxa"/>
              <w:start w:w="120" w:type="dxa"/>
              <w:bottom w:w="90" w:type="dxa"/>
              <w:end w:w="120" w:type="dxa"/>
            </w:tcMar>
            <w:vAlign w:val="center"/>
          </w:tcPr>
          <w:p>
            <w:pPr>
              <w:jc w:val="center"/>
            </w:pPr>
            <w:r>
              <w:rPr>
                <w:rFonts w:ascii="Calibri" w:hAnsi="Calibri"/>
                <w:b/>
                <w:color w:val="FFFFFF"/>
                <w:sz w:val="18"/>
              </w:rPr>
              <w:t>Subtype</w:t>
            </w:r>
          </w:p>
        </w:tc>
        <w:tc>
          <w:tcPr>
            <w:tcW w:type="dxa" w:w="1900"/>
            <w:shd w:fill="17365D"/>
            <w:tcMar>
              <w:top w:w="90" w:type="dxa"/>
              <w:start w:w="120" w:type="dxa"/>
              <w:bottom w:w="90" w:type="dxa"/>
              <w:end w:w="120" w:type="dxa"/>
            </w:tcMar>
            <w:vAlign w:val="center"/>
          </w:tcPr>
          <w:p>
            <w:pPr>
              <w:jc w:val="center"/>
            </w:pPr>
            <w:r>
              <w:rPr>
                <w:rFonts w:ascii="Calibri" w:hAnsi="Calibri"/>
                <w:b/>
                <w:color w:val="FFFFFF"/>
                <w:sz w:val="18"/>
              </w:rPr>
              <w:t>Positive test slices</w:t>
            </w:r>
          </w:p>
        </w:tc>
        <w:tc>
          <w:tcPr>
            <w:tcW w:type="dxa" w:w="1700"/>
            <w:shd w:fill="17365D"/>
            <w:tcMar>
              <w:top w:w="90" w:type="dxa"/>
              <w:start w:w="120" w:type="dxa"/>
              <w:bottom w:w="90" w:type="dxa"/>
              <w:end w:w="120" w:type="dxa"/>
            </w:tcMar>
            <w:vAlign w:val="center"/>
          </w:tcPr>
          <w:p>
            <w:pPr>
              <w:jc w:val="center"/>
            </w:pPr>
            <w:r>
              <w:rPr>
                <w:rFonts w:ascii="Calibri" w:hAnsi="Calibri"/>
                <w:b/>
                <w:color w:val="FFFFFF"/>
                <w:sz w:val="18"/>
              </w:rPr>
              <w:t>ROC-AUC</w:t>
            </w:r>
          </w:p>
        </w:tc>
        <w:tc>
          <w:tcPr>
            <w:tcW w:type="dxa" w:w="2760"/>
            <w:shd w:fill="17365D"/>
            <w:tcMar>
              <w:top w:w="90" w:type="dxa"/>
              <w:start w:w="120" w:type="dxa"/>
              <w:bottom w:w="90" w:type="dxa"/>
              <w:end w:w="120" w:type="dxa"/>
            </w:tcMar>
            <w:vAlign w:val="center"/>
          </w:tcPr>
          <w:p>
            <w:pPr>
              <w:jc w:val="center"/>
            </w:pPr>
            <w:r>
              <w:rPr>
                <w:rFonts w:ascii="Calibri" w:hAnsi="Calibri"/>
                <w:b/>
                <w:color w:val="FFFFFF"/>
                <w:sz w:val="18"/>
              </w:rPr>
              <w:t>Interpretation</w:t>
            </w:r>
          </w:p>
        </w:tc>
      </w:tr>
      <w:tr>
        <w:tc>
          <w:tcPr>
            <w:tcW w:type="dxa" w:w="30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Epidural</w:t>
            </w:r>
          </w:p>
        </w:tc>
        <w:tc>
          <w:tcPr>
            <w:tcW w:type="dxa" w:w="19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3</w:t>
            </w:r>
          </w:p>
        </w:tc>
        <w:tc>
          <w:tcPr>
            <w:tcW w:type="dxa" w:w="17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0.599</w:t>
            </w:r>
          </w:p>
        </w:tc>
        <w:tc>
          <w:tcPr>
            <w:tcW w:type="dxa" w:w="276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insufficient positives</w:t>
            </w:r>
          </w:p>
        </w:tc>
      </w:tr>
      <w:tr>
        <w:tc>
          <w:tcPr>
            <w:tcW w:type="dxa" w:w="3000"/>
            <w:tcMar>
              <w:top w:w="90" w:type="dxa"/>
              <w:start w:w="120" w:type="dxa"/>
              <w:bottom w:w="90" w:type="dxa"/>
              <w:end w:w="120" w:type="dxa"/>
            </w:tcMar>
            <w:vAlign w:val="center"/>
          </w:tcPr>
          <w:p>
            <w:pPr>
              <w:spacing w:after="0" w:line="252" w:lineRule="auto"/>
              <w:jc w:val="left"/>
            </w:pPr>
            <w:r>
              <w:rPr>
                <w:rFonts w:ascii="Calibri" w:hAnsi="Calibri"/>
                <w:color w:val="22313F"/>
                <w:sz w:val="18"/>
              </w:rPr>
              <w:t>Intraparenchymal</w:t>
            </w:r>
          </w:p>
        </w:tc>
        <w:tc>
          <w:tcPr>
            <w:tcW w:type="dxa" w:w="1900"/>
            <w:tcMar>
              <w:top w:w="90" w:type="dxa"/>
              <w:start w:w="120" w:type="dxa"/>
              <w:bottom w:w="90" w:type="dxa"/>
              <w:end w:w="120" w:type="dxa"/>
            </w:tcMar>
            <w:vAlign w:val="center"/>
          </w:tcPr>
          <w:p>
            <w:pPr>
              <w:spacing w:after="0" w:line="252" w:lineRule="auto"/>
              <w:jc w:val="center"/>
            </w:pPr>
            <w:r>
              <w:rPr>
                <w:rFonts w:ascii="Calibri" w:hAnsi="Calibri"/>
                <w:color w:val="22313F"/>
                <w:sz w:val="18"/>
              </w:rPr>
              <w:t>24</w:t>
            </w:r>
          </w:p>
        </w:tc>
        <w:tc>
          <w:tcPr>
            <w:tcW w:type="dxa" w:w="1700"/>
            <w:tcMar>
              <w:top w:w="90" w:type="dxa"/>
              <w:start w:w="120" w:type="dxa"/>
              <w:bottom w:w="90" w:type="dxa"/>
              <w:end w:w="120" w:type="dxa"/>
            </w:tcMar>
            <w:vAlign w:val="center"/>
          </w:tcPr>
          <w:p>
            <w:pPr>
              <w:spacing w:after="0" w:line="252" w:lineRule="auto"/>
              <w:jc w:val="center"/>
            </w:pPr>
            <w:r>
              <w:rPr>
                <w:rFonts w:ascii="Calibri" w:hAnsi="Calibri"/>
                <w:color w:val="22313F"/>
                <w:sz w:val="18"/>
              </w:rPr>
              <w:t>0.915</w:t>
            </w:r>
          </w:p>
        </w:tc>
        <w:tc>
          <w:tcPr>
            <w:tcW w:type="dxa" w:w="2760"/>
            <w:tcMar>
              <w:top w:w="90" w:type="dxa"/>
              <w:start w:w="120" w:type="dxa"/>
              <w:bottom w:w="90" w:type="dxa"/>
              <w:end w:w="120" w:type="dxa"/>
            </w:tcMar>
            <w:vAlign w:val="center"/>
          </w:tcPr>
          <w:p>
            <w:pPr>
              <w:spacing w:after="0" w:line="252" w:lineRule="auto"/>
              <w:jc w:val="left"/>
            </w:pPr>
            <w:r>
              <w:rPr>
                <w:rFonts w:ascii="Calibri" w:hAnsi="Calibri"/>
                <w:color w:val="22313F"/>
                <w:sz w:val="18"/>
              </w:rPr>
              <w:t>exploratory</w:t>
            </w:r>
          </w:p>
        </w:tc>
      </w:tr>
      <w:tr>
        <w:tc>
          <w:tcPr>
            <w:tcW w:type="dxa" w:w="30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Intraventricular</w:t>
            </w:r>
          </w:p>
        </w:tc>
        <w:tc>
          <w:tcPr>
            <w:tcW w:type="dxa" w:w="19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17</w:t>
            </w:r>
          </w:p>
        </w:tc>
        <w:tc>
          <w:tcPr>
            <w:tcW w:type="dxa" w:w="17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0.906</w:t>
            </w:r>
          </w:p>
        </w:tc>
        <w:tc>
          <w:tcPr>
            <w:tcW w:type="dxa" w:w="276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insufficient positives</w:t>
            </w:r>
          </w:p>
        </w:tc>
      </w:tr>
      <w:tr>
        <w:tc>
          <w:tcPr>
            <w:tcW w:type="dxa" w:w="3000"/>
            <w:tcMar>
              <w:top w:w="90" w:type="dxa"/>
              <w:start w:w="120" w:type="dxa"/>
              <w:bottom w:w="90" w:type="dxa"/>
              <w:end w:w="120" w:type="dxa"/>
            </w:tcMar>
            <w:vAlign w:val="center"/>
          </w:tcPr>
          <w:p>
            <w:pPr>
              <w:spacing w:after="0" w:line="252" w:lineRule="auto"/>
              <w:jc w:val="left"/>
            </w:pPr>
            <w:r>
              <w:rPr>
                <w:rFonts w:ascii="Calibri" w:hAnsi="Calibri"/>
                <w:color w:val="22313F"/>
                <w:sz w:val="18"/>
              </w:rPr>
              <w:t>Subarachnoid</w:t>
            </w:r>
          </w:p>
        </w:tc>
        <w:tc>
          <w:tcPr>
            <w:tcW w:type="dxa" w:w="1900"/>
            <w:tcMar>
              <w:top w:w="90" w:type="dxa"/>
              <w:start w:w="120" w:type="dxa"/>
              <w:bottom w:w="90" w:type="dxa"/>
              <w:end w:w="120" w:type="dxa"/>
            </w:tcMar>
            <w:vAlign w:val="center"/>
          </w:tcPr>
          <w:p>
            <w:pPr>
              <w:spacing w:after="0" w:line="252" w:lineRule="auto"/>
              <w:jc w:val="center"/>
            </w:pPr>
            <w:r>
              <w:rPr>
                <w:rFonts w:ascii="Calibri" w:hAnsi="Calibri"/>
                <w:color w:val="22313F"/>
                <w:sz w:val="18"/>
              </w:rPr>
              <w:t>30</w:t>
            </w:r>
          </w:p>
        </w:tc>
        <w:tc>
          <w:tcPr>
            <w:tcW w:type="dxa" w:w="1700"/>
            <w:tcMar>
              <w:top w:w="90" w:type="dxa"/>
              <w:start w:w="120" w:type="dxa"/>
              <w:bottom w:w="90" w:type="dxa"/>
              <w:end w:w="120" w:type="dxa"/>
            </w:tcMar>
            <w:vAlign w:val="center"/>
          </w:tcPr>
          <w:p>
            <w:pPr>
              <w:spacing w:after="0" w:line="252" w:lineRule="auto"/>
              <w:jc w:val="center"/>
            </w:pPr>
            <w:r>
              <w:rPr>
                <w:rFonts w:ascii="Calibri" w:hAnsi="Calibri"/>
                <w:color w:val="22313F"/>
                <w:sz w:val="18"/>
              </w:rPr>
              <w:t>0.757</w:t>
            </w:r>
          </w:p>
        </w:tc>
        <w:tc>
          <w:tcPr>
            <w:tcW w:type="dxa" w:w="2760"/>
            <w:tcMar>
              <w:top w:w="90" w:type="dxa"/>
              <w:start w:w="120" w:type="dxa"/>
              <w:bottom w:w="90" w:type="dxa"/>
              <w:end w:w="120" w:type="dxa"/>
            </w:tcMar>
            <w:vAlign w:val="center"/>
          </w:tcPr>
          <w:p>
            <w:pPr>
              <w:spacing w:after="0" w:line="252" w:lineRule="auto"/>
              <w:jc w:val="left"/>
            </w:pPr>
            <w:r>
              <w:rPr>
                <w:rFonts w:ascii="Calibri" w:hAnsi="Calibri"/>
                <w:color w:val="22313F"/>
                <w:sz w:val="18"/>
              </w:rPr>
              <w:t>exploratory</w:t>
            </w:r>
          </w:p>
        </w:tc>
      </w:tr>
      <w:tr>
        <w:tc>
          <w:tcPr>
            <w:tcW w:type="dxa" w:w="300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Subdural</w:t>
            </w:r>
          </w:p>
        </w:tc>
        <w:tc>
          <w:tcPr>
            <w:tcW w:type="dxa" w:w="19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35</w:t>
            </w:r>
          </w:p>
        </w:tc>
        <w:tc>
          <w:tcPr>
            <w:tcW w:type="dxa" w:w="17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8"/>
              </w:rPr>
              <w:t>0.843</w:t>
            </w:r>
          </w:p>
        </w:tc>
        <w:tc>
          <w:tcPr>
            <w:tcW w:type="dxa" w:w="2760"/>
            <w:shd w:fill="F2F4F7"/>
            <w:tcMar>
              <w:top w:w="90" w:type="dxa"/>
              <w:start w:w="120" w:type="dxa"/>
              <w:bottom w:w="90" w:type="dxa"/>
              <w:end w:w="120" w:type="dxa"/>
            </w:tcMar>
            <w:vAlign w:val="center"/>
          </w:tcPr>
          <w:p>
            <w:pPr>
              <w:spacing w:after="0" w:line="252" w:lineRule="auto"/>
              <w:jc w:val="left"/>
            </w:pPr>
            <w:r>
              <w:rPr>
                <w:rFonts w:ascii="Calibri" w:hAnsi="Calibri"/>
                <w:color w:val="22313F"/>
                <w:sz w:val="18"/>
              </w:rPr>
              <w:t>exploratory</w:t>
            </w:r>
          </w:p>
        </w:tc>
      </w:tr>
    </w:tbl>
    <w:p>
      <w:pPr>
        <w:spacing w:after="20"/>
      </w:pPr>
    </w:p>
    <w:p>
      <w:r>
        <w:t>All subtype analyses are secondary and exploratory. Epidural has only three positive test slices; intraventricular has 17. Their point estimates are too unstable for a validated subtype claim. The comparatively strong intraparenchymal and intraventricular AUCs are hypotheses for a larger prespecified evaluation.</w:t>
      </w:r>
    </w:p>
    <w:p>
      <w:pPr>
        <w:pStyle w:val="Heading1"/>
      </w:pPr>
      <w:r>
        <w:t>5. Throughput and reproducibility</w:t>
      </w:r>
    </w:p>
    <w:p>
      <w:r>
        <w:t>The 242-slice test cohort completed in 2.061 seconds at batch size 32, an average of 8.52 ms per image. This measurement includes batched DICOM decode, preprocessing, device transfer, and inference. It is a cohort-throughput measurement and must not be presented as single-study clinical latency or evidence of real-time scanner integration.</w:t>
      </w:r>
    </w:p>
    <w:tbl>
      <w:tblPr>
        <w:tblStyle w:val="TableGrid"/>
        <w:jc w:val="left"/>
        <w:tblLook w:firstColumn="1" w:firstRow="1" w:lastColumn="0" w:lastRow="0" w:noHBand="0" w:noVBand="1" w:val="04A0"/>
        <w:tblW w:w="9360" w:type="dxa"/>
        <w:tblInd w:w="120" w:type="dxa"/>
        <w:tblLayout w:type="fixed"/>
      </w:tblPr>
      <w:tblGrid>
        <w:gridCol w:w="4700"/>
        <w:gridCol w:w="1500"/>
        <w:gridCol w:w="3160"/>
      </w:tblGrid>
      <w:tr>
        <w:trPr>
          <w:tblHeader/>
        </w:trPr>
        <w:tc>
          <w:tcPr>
            <w:tcW w:type="dxa" w:w="4700"/>
            <w:shd w:fill="17365D"/>
            <w:tcMar>
              <w:top w:w="90" w:type="dxa"/>
              <w:start w:w="120" w:type="dxa"/>
              <w:bottom w:w="90" w:type="dxa"/>
              <w:end w:w="120" w:type="dxa"/>
            </w:tcMar>
            <w:vAlign w:val="center"/>
          </w:tcPr>
          <w:p>
            <w:pPr>
              <w:jc w:val="center"/>
            </w:pPr>
            <w:r>
              <w:rPr>
                <w:rFonts w:ascii="Calibri" w:hAnsi="Calibri"/>
                <w:b/>
                <w:color w:val="FFFFFF"/>
                <w:sz w:val="18"/>
              </w:rPr>
              <w:t>Artifact</w:t>
            </w:r>
          </w:p>
        </w:tc>
        <w:tc>
          <w:tcPr>
            <w:tcW w:type="dxa" w:w="1500"/>
            <w:shd w:fill="17365D"/>
            <w:tcMar>
              <w:top w:w="90" w:type="dxa"/>
              <w:start w:w="120" w:type="dxa"/>
              <w:bottom w:w="90" w:type="dxa"/>
              <w:end w:w="120" w:type="dxa"/>
            </w:tcMar>
            <w:vAlign w:val="center"/>
          </w:tcPr>
          <w:p>
            <w:pPr>
              <w:jc w:val="center"/>
            </w:pPr>
            <w:r>
              <w:rPr>
                <w:rFonts w:ascii="Calibri" w:hAnsi="Calibri"/>
                <w:b/>
                <w:color w:val="FFFFFF"/>
                <w:sz w:val="18"/>
              </w:rPr>
              <w:t>Size</w:t>
            </w:r>
          </w:p>
        </w:tc>
        <w:tc>
          <w:tcPr>
            <w:tcW w:type="dxa" w:w="3160"/>
            <w:shd w:fill="17365D"/>
            <w:tcMar>
              <w:top w:w="90" w:type="dxa"/>
              <w:start w:w="120" w:type="dxa"/>
              <w:bottom w:w="90" w:type="dxa"/>
              <w:end w:w="120" w:type="dxa"/>
            </w:tcMar>
            <w:vAlign w:val="center"/>
          </w:tcPr>
          <w:p>
            <w:pPr>
              <w:jc w:val="center"/>
            </w:pPr>
            <w:r>
              <w:rPr>
                <w:rFonts w:ascii="Calibri" w:hAnsi="Calibri"/>
                <w:b/>
                <w:color w:val="FFFFFF"/>
                <w:sz w:val="18"/>
              </w:rPr>
              <w:t>SHA-256 prefix</w:t>
            </w:r>
          </w:p>
        </w:tc>
      </w:tr>
      <w:tr>
        <w:tc>
          <w:tcPr>
            <w:tcW w:type="dxa" w:w="470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test_metrics.json</w:t>
            </w:r>
          </w:p>
        </w:tc>
        <w:tc>
          <w:tcPr>
            <w:tcW w:type="dxa" w:w="15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7"/>
              </w:rPr>
              <w:t>3.0 KB</w:t>
            </w:r>
          </w:p>
        </w:tc>
        <w:tc>
          <w:tcPr>
            <w:tcW w:type="dxa" w:w="316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a0fb02479f9f3e50...</w:t>
            </w:r>
          </w:p>
        </w:tc>
      </w:tr>
      <w:tr>
        <w:tc>
          <w:tcPr>
            <w:tcW w:type="dxa" w:w="4700"/>
            <w:tcMar>
              <w:top w:w="90" w:type="dxa"/>
              <w:start w:w="120" w:type="dxa"/>
              <w:bottom w:w="90" w:type="dxa"/>
              <w:end w:w="120" w:type="dxa"/>
            </w:tcMar>
            <w:vAlign w:val="center"/>
          </w:tcPr>
          <w:p>
            <w:pPr>
              <w:spacing w:after="0" w:line="252" w:lineRule="auto"/>
              <w:jc w:val="left"/>
            </w:pPr>
            <w:r>
              <w:rPr>
                <w:rFonts w:ascii="Calibri" w:hAnsi="Calibri"/>
                <w:color w:val="22313F"/>
                <w:sz w:val="17"/>
              </w:rPr>
              <w:t>test_predictions.csv</w:t>
            </w:r>
          </w:p>
        </w:tc>
        <w:tc>
          <w:tcPr>
            <w:tcW w:type="dxa" w:w="1500"/>
            <w:tcMar>
              <w:top w:w="90" w:type="dxa"/>
              <w:start w:w="120" w:type="dxa"/>
              <w:bottom w:w="90" w:type="dxa"/>
              <w:end w:w="120" w:type="dxa"/>
            </w:tcMar>
            <w:vAlign w:val="center"/>
          </w:tcPr>
          <w:p>
            <w:pPr>
              <w:spacing w:after="0" w:line="252" w:lineRule="auto"/>
              <w:jc w:val="center"/>
            </w:pPr>
            <w:r>
              <w:rPr>
                <w:rFonts w:ascii="Calibri" w:hAnsi="Calibri"/>
                <w:color w:val="22313F"/>
                <w:sz w:val="17"/>
              </w:rPr>
              <w:t>40.4 KB</w:t>
            </w:r>
          </w:p>
        </w:tc>
        <w:tc>
          <w:tcPr>
            <w:tcW w:type="dxa" w:w="3160"/>
            <w:tcMar>
              <w:top w:w="90" w:type="dxa"/>
              <w:start w:w="120" w:type="dxa"/>
              <w:bottom w:w="90" w:type="dxa"/>
              <w:end w:w="120" w:type="dxa"/>
            </w:tcMar>
            <w:vAlign w:val="center"/>
          </w:tcPr>
          <w:p>
            <w:pPr>
              <w:spacing w:after="0" w:line="252" w:lineRule="auto"/>
              <w:jc w:val="left"/>
            </w:pPr>
            <w:r>
              <w:rPr>
                <w:rFonts w:ascii="Calibri" w:hAnsi="Calibri"/>
                <w:color w:val="22313F"/>
                <w:sz w:val="17"/>
              </w:rPr>
              <w:t>3a9a1b49e9c70e0c...</w:t>
            </w:r>
          </w:p>
        </w:tc>
      </w:tr>
      <w:tr>
        <w:tc>
          <w:tcPr>
            <w:tcW w:type="dxa" w:w="470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operating_point.json</w:t>
            </w:r>
          </w:p>
        </w:tc>
        <w:tc>
          <w:tcPr>
            <w:tcW w:type="dxa" w:w="15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7"/>
              </w:rPr>
              <w:t>0.9 KB</w:t>
            </w:r>
          </w:p>
        </w:tc>
        <w:tc>
          <w:tcPr>
            <w:tcW w:type="dxa" w:w="316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24b5a0a2b93f485b...</w:t>
            </w:r>
          </w:p>
        </w:tc>
      </w:tr>
      <w:tr>
        <w:tc>
          <w:tcPr>
            <w:tcW w:type="dxa" w:w="4700"/>
            <w:tcMar>
              <w:top w:w="90" w:type="dxa"/>
              <w:start w:w="120" w:type="dxa"/>
              <w:bottom w:w="90" w:type="dxa"/>
              <w:end w:w="120" w:type="dxa"/>
            </w:tcMar>
            <w:vAlign w:val="center"/>
          </w:tcPr>
          <w:p>
            <w:pPr>
              <w:spacing w:after="0" w:line="252" w:lineRule="auto"/>
              <w:jc w:val="left"/>
            </w:pPr>
            <w:r>
              <w:rPr>
                <w:rFonts w:ascii="Calibri" w:hAnsi="Calibri"/>
                <w:color w:val="22313F"/>
                <w:sz w:val="17"/>
              </w:rPr>
              <w:t>training_history.csv</w:t>
            </w:r>
          </w:p>
        </w:tc>
        <w:tc>
          <w:tcPr>
            <w:tcW w:type="dxa" w:w="1500"/>
            <w:tcMar>
              <w:top w:w="90" w:type="dxa"/>
              <w:start w:w="120" w:type="dxa"/>
              <w:bottom w:w="90" w:type="dxa"/>
              <w:end w:w="120" w:type="dxa"/>
            </w:tcMar>
            <w:vAlign w:val="center"/>
          </w:tcPr>
          <w:p>
            <w:pPr>
              <w:spacing w:after="0" w:line="252" w:lineRule="auto"/>
              <w:jc w:val="center"/>
            </w:pPr>
            <w:r>
              <w:rPr>
                <w:rFonts w:ascii="Calibri" w:hAnsi="Calibri"/>
                <w:color w:val="22313F"/>
                <w:sz w:val="17"/>
              </w:rPr>
              <w:t>2.2 KB</w:t>
            </w:r>
          </w:p>
        </w:tc>
        <w:tc>
          <w:tcPr>
            <w:tcW w:type="dxa" w:w="3160"/>
            <w:tcMar>
              <w:top w:w="90" w:type="dxa"/>
              <w:start w:w="120" w:type="dxa"/>
              <w:bottom w:w="90" w:type="dxa"/>
              <w:end w:w="120" w:type="dxa"/>
            </w:tcMar>
            <w:vAlign w:val="center"/>
          </w:tcPr>
          <w:p>
            <w:pPr>
              <w:spacing w:after="0" w:line="252" w:lineRule="auto"/>
              <w:jc w:val="left"/>
            </w:pPr>
            <w:r>
              <w:rPr>
                <w:rFonts w:ascii="Calibri" w:hAnsi="Calibri"/>
                <w:color w:val="22313F"/>
                <w:sz w:val="17"/>
              </w:rPr>
              <w:t>16ef7efa26b94136...</w:t>
            </w:r>
          </w:p>
        </w:tc>
      </w:tr>
      <w:tr>
        <w:tc>
          <w:tcPr>
            <w:tcW w:type="dxa" w:w="470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run_config.json</w:t>
            </w:r>
          </w:p>
        </w:tc>
        <w:tc>
          <w:tcPr>
            <w:tcW w:type="dxa" w:w="15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7"/>
              </w:rPr>
              <w:t>1.5 KB</w:t>
            </w:r>
          </w:p>
        </w:tc>
        <w:tc>
          <w:tcPr>
            <w:tcW w:type="dxa" w:w="316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5811f31090c38de0...</w:t>
            </w:r>
          </w:p>
        </w:tc>
      </w:tr>
      <w:tr>
        <w:tc>
          <w:tcPr>
            <w:tcW w:type="dxa" w:w="4700"/>
            <w:tcMar>
              <w:top w:w="90" w:type="dxa"/>
              <w:start w:w="120" w:type="dxa"/>
              <w:bottom w:w="90" w:type="dxa"/>
              <w:end w:w="120" w:type="dxa"/>
            </w:tcMar>
            <w:vAlign w:val="center"/>
          </w:tcPr>
          <w:p>
            <w:pPr>
              <w:spacing w:after="0" w:line="252" w:lineRule="auto"/>
              <w:jc w:val="left"/>
            </w:pPr>
            <w:r>
              <w:rPr>
                <w:rFonts w:ascii="Calibri" w:hAnsi="Calibri"/>
                <w:color w:val="22313F"/>
                <w:sz w:val="17"/>
              </w:rPr>
              <w:t>rsna_pilot_manifest_split.csv</w:t>
            </w:r>
          </w:p>
        </w:tc>
        <w:tc>
          <w:tcPr>
            <w:tcW w:type="dxa" w:w="1500"/>
            <w:tcMar>
              <w:top w:w="90" w:type="dxa"/>
              <w:start w:w="120" w:type="dxa"/>
              <w:bottom w:w="90" w:type="dxa"/>
              <w:end w:w="120" w:type="dxa"/>
            </w:tcMar>
            <w:vAlign w:val="center"/>
          </w:tcPr>
          <w:p>
            <w:pPr>
              <w:spacing w:after="0" w:line="252" w:lineRule="auto"/>
              <w:jc w:val="center"/>
            </w:pPr>
            <w:r>
              <w:rPr>
                <w:rFonts w:ascii="Calibri" w:hAnsi="Calibri"/>
                <w:color w:val="22313F"/>
                <w:sz w:val="17"/>
              </w:rPr>
              <w:t>511.5 KB</w:t>
            </w:r>
          </w:p>
        </w:tc>
        <w:tc>
          <w:tcPr>
            <w:tcW w:type="dxa" w:w="3160"/>
            <w:tcMar>
              <w:top w:w="90" w:type="dxa"/>
              <w:start w:w="120" w:type="dxa"/>
              <w:bottom w:w="90" w:type="dxa"/>
              <w:end w:w="120" w:type="dxa"/>
            </w:tcMar>
            <w:vAlign w:val="center"/>
          </w:tcPr>
          <w:p>
            <w:pPr>
              <w:spacing w:after="0" w:line="252" w:lineRule="auto"/>
              <w:jc w:val="left"/>
            </w:pPr>
            <w:r>
              <w:rPr>
                <w:rFonts w:ascii="Calibri" w:hAnsi="Calibri"/>
                <w:color w:val="22313F"/>
                <w:sz w:val="17"/>
              </w:rPr>
              <w:t>4335d70dded5351b...</w:t>
            </w:r>
          </w:p>
        </w:tc>
      </w:tr>
      <w:tr>
        <w:tc>
          <w:tcPr>
            <w:tcW w:type="dxa" w:w="470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best_efficientnet_b0.pt</w:t>
            </w:r>
          </w:p>
        </w:tc>
        <w:tc>
          <w:tcPr>
            <w:tcW w:type="dxa" w:w="1500"/>
            <w:shd w:fill="F2F4F7"/>
            <w:tcMar>
              <w:top w:w="90" w:type="dxa"/>
              <w:start w:w="120" w:type="dxa"/>
              <w:bottom w:w="90" w:type="dxa"/>
              <w:end w:w="120" w:type="dxa"/>
            </w:tcMar>
            <w:vAlign w:val="center"/>
          </w:tcPr>
          <w:p>
            <w:pPr>
              <w:spacing w:after="0" w:line="252" w:lineRule="auto"/>
              <w:jc w:val="center"/>
            </w:pPr>
            <w:r>
              <w:rPr>
                <w:rFonts w:ascii="Calibri" w:hAnsi="Calibri"/>
                <w:color w:val="22313F"/>
                <w:sz w:val="17"/>
              </w:rPr>
              <w:t>15982.0 KB</w:t>
            </w:r>
          </w:p>
        </w:tc>
        <w:tc>
          <w:tcPr>
            <w:tcW w:type="dxa" w:w="3160"/>
            <w:shd w:fill="F2F4F7"/>
            <w:tcMar>
              <w:top w:w="90" w:type="dxa"/>
              <w:start w:w="120" w:type="dxa"/>
              <w:bottom w:w="90" w:type="dxa"/>
              <w:end w:w="120" w:type="dxa"/>
            </w:tcMar>
            <w:vAlign w:val="center"/>
          </w:tcPr>
          <w:p>
            <w:pPr>
              <w:spacing w:after="0" w:line="252" w:lineRule="auto"/>
              <w:jc w:val="left"/>
            </w:pPr>
            <w:r>
              <w:rPr>
                <w:rFonts w:ascii="Calibri" w:hAnsi="Calibri"/>
                <w:color w:val="22313F"/>
                <w:sz w:val="17"/>
              </w:rPr>
              <w:t>4a15c605bb1481de...</w:t>
            </w:r>
          </w:p>
        </w:tc>
      </w:tr>
    </w:tbl>
    <w:p>
      <w:pPr>
        <w:spacing w:after="20"/>
      </w:pPr>
    </w:p>
    <w:p>
      <w:r>
        <w:t>The model checkpoint SHA-256 is 4a15c605bb1481de7f12a4881f9c9b5adb36d9386ecac0aa6eb3ae7c3ae805b1. The report generator verifies every bundled artifact against bundle_manifest.json before producing this document.</w:t>
      </w:r>
    </w:p>
    <w:p>
      <w:pPr>
        <w:pStyle w:val="Heading1"/>
      </w:pPr>
      <w:r>
        <w:t>6. Limitations and claim boundaries</w:t>
      </w:r>
    </w:p>
    <w:p>
      <w:pPr>
        <w:pStyle w:val="ListBullet"/>
        <w:spacing w:after="60"/>
      </w:pPr>
      <w:r>
        <w:t>The endpoint is slice-level any-hemorrhage detection, not complete 3D study-level triage.</w:t>
      </w:r>
    </w:p>
    <w:p>
      <w:pPr>
        <w:pStyle w:val="ListBullet"/>
        <w:spacing w:after="60"/>
      </w:pPr>
      <w:r>
        <w:t>The cohort was enriched before splitting; PPV, NPV, accuracy, average precision, and raw scores do not represent source-population calibration.</w:t>
      </w:r>
    </w:p>
    <w:p>
      <w:pPr>
        <w:pStyle w:val="ListBullet"/>
        <w:spacing w:after="60"/>
      </w:pPr>
      <w:r>
        <w:t>The test cohort contains 242 slices from 222 patients, producing wide uncertainty intervals and sparse subtype counts.</w:t>
      </w:r>
    </w:p>
    <w:p>
      <w:pPr>
        <w:pStyle w:val="ListBullet"/>
        <w:spacing w:after="60"/>
      </w:pPr>
      <w:r>
        <w:t>The checkpoint was initialized from ImageNet EfficientNet-B0 weights. BiomedCLIP, axial-transformer, SPRT, conformal, chest X-ray, and knee MRI claims were not evaluated in this locked run.</w:t>
      </w:r>
    </w:p>
    <w:p>
      <w:pPr>
        <w:pStyle w:val="ListBullet"/>
        <w:spacing w:after="60"/>
      </w:pPr>
      <w:r>
        <w:t>The study does not measure radiologist outcomes, clinical workflow benefit, external-site generalization, or regulatory safety/effectiveness.</w:t>
      </w:r>
    </w:p>
    <w:p>
      <w:pPr>
        <w:pStyle w:val="ListBullet"/>
        <w:spacing w:after="60"/>
      </w:pPr>
      <w:r>
        <w:t>The locked test result must not be used for additional model or threshold tuning.</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F4F6F9"/>
            <w:tcBorders>
              <w:left w:val="single" w:sz="22" w:color="7A5A00"/>
              <w:top w:val="nil"/>
              <w:bottom w:val="nil"/>
              <w:right w:val="nil"/>
            </w:tcBorders>
            <w:tcMar>
              <w:top w:w="90" w:type="dxa"/>
              <w:start w:w="120" w:type="dxa"/>
              <w:bottom w:w="90" w:type="dxa"/>
              <w:end w:w="120" w:type="dxa"/>
            </w:tcMar>
            <w:vAlign w:val="center"/>
          </w:tcPr>
          <w:p>
            <w:pPr>
              <w:spacing w:after="0"/>
            </w:pPr>
            <w:r>
              <w:rPr>
                <w:rFonts w:ascii="Calibri" w:hAnsi="Calibri"/>
                <w:b/>
                <w:color w:val="7A5A00"/>
                <w:sz w:val="20"/>
              </w:rPr>
              <w:t xml:space="preserve">Interpretation: </w:t>
            </w:r>
            <w:r>
              <w:rPr>
                <w:rFonts w:ascii="Calibri" w:hAnsi="Calibri"/>
                <w:color w:val="22313F"/>
                <w:sz w:val="20"/>
              </w:rPr>
              <w:t>This run replaces prior synthetic 1.0000-AUC demonstrations as the project's only artifact-backed real-image performance result. The synthetic tri-modal benchmark remains useful for software demonstrations but is not clinical evidence.</w:t>
            </w:r>
          </w:p>
        </w:tc>
      </w:tr>
    </w:tbl>
    <w:p>
      <w:pPr>
        <w:spacing w:after="20"/>
      </w:pPr>
    </w:p>
    <w:p>
      <w:pPr>
        <w:pStyle w:val="Heading1"/>
      </w:pPr>
      <w:r>
        <w:t>7. Next validated milestone</w:t>
      </w:r>
    </w:p>
    <w:p>
      <w:pPr>
        <w:pStyle w:val="ListNumber"/>
        <w:spacing w:after="60"/>
      </w:pPr>
      <w:r>
        <w:t>Build complete CT studies from DICOM metadata and preserve all slices per patient and series.</w:t>
      </w:r>
    </w:p>
    <w:p>
      <w:pPr>
        <w:pStyle w:val="ListNumber"/>
        <w:spacing w:after="60"/>
      </w:pPr>
      <w:r>
        <w:t>Train and evaluate a study-level baseline on a larger patient-separated cohort with a new untouched test set.</w:t>
      </w:r>
    </w:p>
    <w:p>
      <w:pPr>
        <w:pStyle w:val="ListNumber"/>
        <w:spacing w:after="60"/>
      </w:pPr>
      <w:r>
        <w:t>Measure calibration on a cohort sampled to match the intended use population and report reliability diagnostics.</w:t>
      </w:r>
    </w:p>
    <w:p>
      <w:pPr>
        <w:pStyle w:val="ListNumber"/>
        <w:spacing w:after="60"/>
      </w:pPr>
      <w:r>
        <w:t>Quantify alert burden and time-to-review in a prespecified queue simulation using the measured operating point.</w:t>
      </w:r>
    </w:p>
    <w:p>
      <w:pPr>
        <w:pStyle w:val="ListNumber"/>
        <w:spacing w:after="60"/>
      </w:pPr>
      <w:r>
        <w:t>Evaluate any sequential-stopping design through actual incremental inference before claiming saved compute or latency.</w:t>
      </w:r>
    </w:p>
    <w:p>
      <w:pPr>
        <w:pStyle w:val="Heading1"/>
      </w:pPr>
      <w:r>
        <w:t>Sources</w:t>
      </w:r>
    </w:p>
    <w:p>
      <w:pPr>
        <w:pStyle w:val="ListBullet"/>
        <w:spacing w:after="60"/>
      </w:pPr>
      <w:r>
        <w:t>RSNA Intracranial Hemorrhage Detection, 2019 competition data and description: https://www.kaggle.com/c/rsna-intracranial-hemorrhage-detection</w:t>
      </w:r>
    </w:p>
    <w:p>
      <w:pPr>
        <w:pStyle w:val="ListBullet"/>
        <w:spacing w:after="60"/>
      </w:pPr>
      <w:r>
        <w:t>DICOM Standard, PS3.5 Data Structures and Encoding: https://dicom.nema.org/medical/dicom/current/output/html/part05.html</w:t>
      </w:r>
    </w:p>
    <w:p>
      <w:pPr>
        <w:pStyle w:val="ListBullet"/>
        <w:spacing w:after="60"/>
      </w:pPr>
      <w:r>
        <w:t>Torchvision EfficientNet-B0 model documentation: https://pytorch.org/vision/stable/models/efficientnet.html</w:t>
      </w:r>
    </w:p>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Research prototype | Page </w:t>
    </w:r>
    <w:r>
      <w:rPr>
        <w:rFonts w:ascii="Calibri" w:hAnsi="Calibri"/>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STAT-Triage AI | RSNA pilot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22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STAT-Triage AI RSNA Pilot Evidence Report</dc:title>
  <dc:subject>Locked slice-level RSNA ICH pilot evaluation</dc:subject>
  <dc:creator>Yukti Madan; Barkha Sahu; Sumit Masirkar</dc:creator>
  <cp:keywords>RSNA, intracranial hemorrhage, CT, research prototype</cp:keywords>
  <dc:description>generated by python-docx</dc:description>
  <cp:lastModifiedBy/>
  <cp:revision>1</cp:revision>
  <dcterms:created xsi:type="dcterms:W3CDTF">2013-12-23T23:15:00Z</dcterms:created>
  <dcterms:modified xsi:type="dcterms:W3CDTF">2013-12-23T23:15:00Z</dcterms:modified>
  <cp:category/>
</cp:coreProperties>
</file>