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Segoe UI" w:hAnsi="Segoe UI"/>
          <w:b/>
          <w:color w:val="1A5276"/>
          <w:sz w:val="48"/>
        </w:rPr>
        <w:t>AI-Powered Clinical Triage Gateway</w:t>
      </w:r>
    </w:p>
    <w:p>
      <w:pPr>
        <w:spacing w:after="320"/>
      </w:pPr>
      <w:r>
        <w:rPr>
          <w:rFonts w:ascii="Segoe UI Semibold" w:hAnsi="Segoe UI Semibold"/>
          <w:color w:val="7F8C8D"/>
          <w:sz w:val="26"/>
        </w:rPr>
        <w:t>Phase 1 Technical Specification &amp; Verification Report (40% Milestone)</w:t>
      </w:r>
    </w:p>
    <w:tbl>
      <w:tblPr>
        <w:tblW w:type="auto" w:w="0"/>
        <w:jc w:val="center"/>
        <w:tblLook w:firstColumn="1" w:firstRow="1" w:lastColumn="0" w:lastRow="0" w:noHBand="0" w:noVBand="1" w:val="04A0"/>
      </w:tblPr>
      <w:tblGrid>
        <w:gridCol w:w="4680"/>
        <w:gridCol w:w="4680"/>
      </w:tblGrid>
      <w:tr>
        <w:tc>
          <w:tcPr>
            <w:tcW w:type="dxa" w:w="4680"/>
            <w:shd w:fill="F8F9FA"/>
            <w:tcMar>
              <w:top w:w="60" w:type="dxa"/>
              <w:bottom w:w="60" w:type="dxa"/>
              <w:left w:w="100" w:type="dxa"/>
              <w:right w:w="100" w:type="dxa"/>
            </w:tcMar>
          </w:tcPr>
          <w:p>
            <w:pPr>
              <w:spacing w:after="20" w:before="20"/>
            </w:pPr>
            <w:r>
              <w:rPr>
                <w:b/>
                <w:sz w:val="19"/>
              </w:rPr>
              <w:t xml:space="preserve">Architecture: </w:t>
            </w:r>
            <w:r>
              <w:rPr>
                <w:sz w:val="19"/>
              </w:rPr>
              <w:t>2.5D EfficientNet-B0 + Bi-GRU</w:t>
            </w:r>
          </w:p>
        </w:tc>
        <w:tc>
          <w:tcPr>
            <w:tcW w:type="dxa" w:w="4680"/>
            <w:shd w:fill="F8F9FA"/>
            <w:tcMar>
              <w:top w:w="60" w:type="dxa"/>
              <w:bottom w:w="60" w:type="dxa"/>
              <w:left w:w="100" w:type="dxa"/>
              <w:right w:w="100" w:type="dxa"/>
            </w:tcMar>
          </w:tcPr>
          <w:p>
            <w:pPr>
              <w:spacing w:after="20" w:before="20"/>
            </w:pPr>
            <w:r>
              <w:rPr>
                <w:b/>
                <w:sz w:val="19"/>
              </w:rPr>
              <w:t xml:space="preserve">Git Tag: </w:t>
            </w:r>
            <w:r>
              <w:rPr>
                <w:sz w:val="19"/>
              </w:rPr>
              <w:t>v0.4.0-milestone</w:t>
            </w:r>
          </w:p>
        </w:tc>
      </w:tr>
      <w:tr>
        <w:tc>
          <w:tcPr>
            <w:tcW w:type="dxa" w:w="4680"/>
            <w:shd w:fill="F8F9FA"/>
            <w:tcMar>
              <w:top w:w="60" w:type="dxa"/>
              <w:bottom w:w="60" w:type="dxa"/>
              <w:left w:w="100" w:type="dxa"/>
              <w:right w:w="100" w:type="dxa"/>
            </w:tcMar>
          </w:tcPr>
          <w:p>
            <w:pPr>
              <w:spacing w:after="20" w:before="20"/>
            </w:pPr>
            <w:r>
              <w:rPr>
                <w:b/>
                <w:sz w:val="19"/>
              </w:rPr>
              <w:t xml:space="preserve">Verification Status: </w:t>
            </w:r>
            <w:r>
              <w:rPr>
                <w:sz w:val="19"/>
              </w:rPr>
              <w:t>100% Verified (Passed All Tests)</w:t>
            </w:r>
          </w:p>
        </w:tc>
        <w:tc>
          <w:tcPr>
            <w:tcW w:type="dxa" w:w="4680"/>
            <w:shd w:fill="F8F9FA"/>
            <w:tcMar>
              <w:top w:w="60" w:type="dxa"/>
              <w:bottom w:w="60" w:type="dxa"/>
              <w:left w:w="100" w:type="dxa"/>
              <w:right w:w="100" w:type="dxa"/>
            </w:tcMar>
          </w:tcPr>
          <w:p>
            <w:pPr>
              <w:spacing w:after="20" w:before="20"/>
            </w:pPr>
            <w:r>
              <w:rPr>
                <w:b/>
                <w:sz w:val="19"/>
              </w:rPr>
              <w:t xml:space="preserve">Evaluation Model: </w:t>
            </w:r>
            <w:r>
              <w:rPr>
                <w:sz w:val="19"/>
              </w:rPr>
              <w:t>M/G/c SimPy Discrete-Event</w:t>
            </w:r>
          </w:p>
        </w:tc>
      </w:tr>
    </w:tbl>
    <w:p>
      <w:pPr>
        <w:spacing w:after="200"/>
      </w:pPr>
    </w:p>
    <w:p>
      <w:pPr>
        <w:pStyle w:val="Heading1"/>
        <w:spacing w:before="280" w:after="120"/>
      </w:pPr>
      <w:r>
        <w:t>1. Executive Summary &amp; Vertical Slice Rationale</w:t>
      </w:r>
    </w:p>
    <w:p>
      <w:pPr>
        <w:spacing w:after="120"/>
      </w:pPr>
      <w:r>
        <w:t>Standard medical imaging AI initiatives frequently fail during hospital deployment because models are trained as isolated benchmark scripts without considering clinical queue dynamics, spatial attention stability, or data compliance laws. Phase 1 establishes an end-to-end, production-grade Vertical Slice that de-risks the entire system topology early: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[Raw 16-Bit DICOM Series]</w:t>
              <w:br/>
              <w:t xml:space="preserve">       │</w:t>
              <w:br/>
              <w:t xml:space="preserve">       ▼</w:t>
              <w:br/>
              <w:t>[HIPAA Pseudonymizer &amp; 3-Channel Clinical HU Windowing]</w:t>
              <w:br/>
              <w:t xml:space="preserve">       │</w:t>
              <w:br/>
              <w:t xml:space="preserve">       ▼</w:t>
              <w:br/>
              <w:t>[2.5D EfficientNet-B0 Backbone + 1D Bidirectional GRU]</w:t>
              <w:br/>
              <w:t xml:space="preserve">       │</w:t>
              <w:br/>
              <w:t xml:space="preserve">       ├──► [Stateless Grad-CAM + Perturbation Stability Index (PSI)]</w:t>
              <w:br/>
              <w:t xml:space="preserve">       │</w:t>
              <w:br/>
              <w:t xml:space="preserve">       ▼</w:t>
              <w:br/>
              <w:t>[Triage Gateway: Operational 3-Zone Uncertainty Routing]</w:t>
              <w:br/>
              <w:t xml:space="preserve">       │</w:t>
              <w:br/>
              <w:t xml:space="preserve">       ▼</w:t>
              <w:br/>
              <w:t>[Starvation-Free Dynamic Aging Priority Scheduler S(t)]</w:t>
              <w:br/>
              <w:t xml:space="preserve">       │</w:t>
              <w:br/>
              <w:t xml:space="preserve">       ▼</w:t>
              <w:br/>
              <w:t>[SimPy Discrete-Event Hospital Shift Simulator (M/G/c Model)]</w:t>
            </w:r>
          </w:p>
        </w:tc>
      </w:tr>
    </w:tbl>
    <w:p>
      <w:pPr>
        <w:spacing w:after="80"/>
      </w:pPr>
    </w:p>
    <w:p>
      <w:pPr>
        <w:spacing w:after="200"/>
      </w:pPr>
      <w:r>
        <w:t>By implementing Pathway A (Head CT for Intracranial Hemorrhage) end-to-end, the UnifiedModelAdapter interface contract is mathematically and operationally proven. Integrating Pathway B (Chest X-Ray) and Pathway C (Chest CTPA) in Phase 2 operates strictly as modular plug-ins without altering gateway scheduling, database interfaces, or UI pipelines.</w:t>
      </w:r>
    </w:p>
    <w:p>
      <w:pPr>
        <w:pStyle w:val="Heading1"/>
        <w:spacing w:before="280" w:after="120"/>
      </w:pPr>
      <w:r>
        <w:t>2. Core Mathematical Formulations</w:t>
      </w:r>
    </w:p>
    <w:p>
      <w:pPr>
        <w:pStyle w:val="Heading2"/>
      </w:pPr>
      <w:r>
        <w:t>2.1 Hounsfield Unit (HU) Calibration &amp; Clinical Windowing</w:t>
      </w:r>
    </w:p>
    <w:p>
      <w:r>
        <w:t>Raw 16-bit CT pixel arrays P(x, y) are converted into physical radiodensity units (Hounsfield Units, HU) via DICOM rescale metadata tags: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HU(x, y) = P(x, y) * RescaleSlope + RescaleIntercept</w:t>
            </w:r>
          </w:p>
        </w:tc>
      </w:tr>
    </w:tbl>
    <w:p>
      <w:pPr>
        <w:spacing w:after="80"/>
      </w:pPr>
    </w:p>
    <w:p>
      <w:r>
        <w:t>Clinical windowing maps a specific sub-range defined by window level (center L) and width (W) into normalized range [0, 1]:</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Lower = L - (W / 2),   Upper = L + (W / 2)</w:t>
              <w:br/>
              <w:t>W_norm(x, y) = [clip(HU(x, y), Lower, Upper) - Lower] / (Upper - Lower + 1e-7)</w:t>
            </w:r>
          </w:p>
        </w:tc>
      </w:tr>
    </w:tbl>
    <w:p>
      <w:pPr>
        <w:spacing w:after="80"/>
      </w:pPr>
    </w:p>
    <w:p>
      <w:pPr>
        <w:pStyle w:val="Heading2"/>
      </w:pPr>
      <w:r>
        <w:t>2.2 Epistemic Confidence Proxy (C)</w:t>
      </w:r>
    </w:p>
    <w:p>
      <w:r>
        <w:t>Confidence is modeled as the normalized distance from the maximum classification entropy point (P = 0.50):</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C = clamp(2.0 * |P(critical) - 0.5|, 0.0, 1.0)</w:t>
            </w:r>
          </w:p>
        </w:tc>
      </w:tr>
    </w:tbl>
    <w:p>
      <w:pPr>
        <w:spacing w:after="80"/>
      </w:pPr>
    </w:p>
    <w:p>
      <w:pPr>
        <w:pStyle w:val="Heading2"/>
      </w:pPr>
      <w:r>
        <w:t>2.3 Starvation-Free Dynamic Aging Priority Function S(t)</w:t>
      </w:r>
    </w:p>
    <w:p>
      <w:r>
        <w:t>To balance acute pathology urgency against non-urgent waiting time, the dynamic priority function S(t) is defined as: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S(t) = P(critical) * C + alpha * [ t / (t + K) ]</w:t>
              <w:br/>
              <w:br/>
              <w:t>Where:</w:t>
              <w:br/>
              <w:t xml:space="preserve">  • alpha = 0.25 (Maximum asymptotic aging boost ceiling)</w:t>
              <w:br/>
              <w:t xml:space="preserve">  • K = 1800.0s (30-minute half-life scaling parameter)</w:t>
              <w:br/>
              <w:t xml:space="preserve">  • t = Elapsed monotonic waiting time in seconds (t &gt;= 0)</w:t>
              <w:br/>
              <w:t xml:space="preserve">  • Boundary: lim_{t-&gt;inf} S(t) = P(critical)*C + 0.25</w:t>
            </w:r>
          </w:p>
        </w:tc>
      </w:tr>
    </w:tbl>
    <w:p>
      <w:pPr>
        <w:spacing w:after="80"/>
      </w:pPr>
    </w:p>
    <w:p>
      <w:pPr>
        <w:pStyle w:val="Heading2"/>
      </w:pPr>
      <w:r>
        <w:t>2.4 Perturbation Stability Index (PSI)</w:t>
      </w:r>
    </w:p>
    <w:p>
      <w:r>
        <w:t>To verify that Grad-CAM overlays represent genuine pathological signals rather than gradient noise artifacts, the engine executes N=5 test-time affine jitter passes and computes pairwise Mean IoU:</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5276"/>
              <w:bottom w:val="none"/>
              <w:right w:val="none"/>
            </w:tcBorders>
          </w:tcPr>
          <w:p>
            <w:pPr>
              <w:spacing w:before="40" w:after="40"/>
            </w:pPr>
            <w:r>
              <w:rPr>
                <w:rFonts w:ascii="Consolas" w:hAnsi="Consolas"/>
                <w:color w:val="1B2631"/>
                <w:sz w:val="19"/>
              </w:rPr>
              <w:t>PSI = (2 / [N*(N-1)]) * sum_{i &lt; j} IoU(Mask_i, Mask_j)</w:t>
              <w:br/>
              <w:br/>
              <w:t xml:space="preserve">  • PSI &gt;= 0.75  ==&gt;  Verified Clinical Overlay (Stable focus)</w:t>
              <w:br/>
              <w:t xml:space="preserve">  • PSI &lt; 0.75   ==&gt;  Epistemic Uncertainty Warning (Noisy focus)</w:t>
            </w:r>
          </w:p>
        </w:tc>
      </w:tr>
    </w:tbl>
    <w:p>
      <w:pPr>
        <w:spacing w:after="80"/>
      </w:pPr>
    </w:p>
    <w:p>
      <w:pPr>
        <w:pStyle w:val="Heading2"/>
      </w:pPr>
      <w:r>
        <w:t>2.5 Stochastic Queue Model (M/G/c Simulation)</w:t>
      </w:r>
    </w:p>
    <w:p>
      <w:r>
        <w:t>Clinical workflow is modeled as an empirical M/G/c multi-server queue in SimPy with:</w:t>
        <w:br/>
        <w:t xml:space="preserve">  • Ingress (M): Non-homogeneous Poisson arrival process (lambda = 14 to 26 scans/hour).</w:t>
        <w:br/>
        <w:t xml:space="preserve">  • Service (G): Log-Normal radiologist review duration (mean = 3.8 to 4.2 mins, sigma = 0.30).</w:t>
        <w:br/>
        <w:t xml:space="preserve">  • Servers (c): c = 2 radiologists on active emergency shift.</w:t>
      </w:r>
    </w:p>
    <w:p>
      <w:pPr>
        <w:pStyle w:val="Heading1"/>
        <w:spacing w:before="280" w:after="120"/>
      </w:pPr>
      <w:r>
        <w:t>3. Visual Artifacts &amp; Empirical Findings</w:t>
      </w:r>
    </w:p>
    <w:p>
      <w:pPr>
        <w:spacing w:after="80"/>
      </w:pPr>
    </w:p>
    <w:p>
      <w:pPr>
        <w:jc w:val="center"/>
      </w:pPr>
      <w:r>
        <w:drawing>
          <wp:inline xmlns:a="http://schemas.openxmlformats.org/drawingml/2006/main" xmlns:pic="http://schemas.openxmlformats.org/drawingml/2006/picture">
            <wp:extent cx="5303520" cy="1392174"/>
            <wp:docPr id="1" name="Picture 1"/>
            <wp:cNvGraphicFramePr>
              <a:graphicFrameLocks noChangeAspect="1"/>
            </wp:cNvGraphicFramePr>
            <a:graphic>
              <a:graphicData uri="http://schemas.openxmlformats.org/drawingml/2006/picture">
                <pic:pic>
                  <pic:nvPicPr>
                    <pic:cNvPr id="0" name="figure1_hu_windowing_comparison.png"/>
                    <pic:cNvPicPr/>
                  </pic:nvPicPr>
                  <pic:blipFill>
                    <a:blip r:embed="rId9"/>
                    <a:stretch>
                      <a:fillRect/>
                    </a:stretch>
                  </pic:blipFill>
                  <pic:spPr>
                    <a:xfrm>
                      <a:off x="0" y="0"/>
                      <a:ext cx="5303520" cy="1392174"/>
                    </a:xfrm>
                    <a:prstGeom prst="rect"/>
                  </pic:spPr>
                </pic:pic>
              </a:graphicData>
            </a:graphic>
          </wp:inline>
        </w:drawing>
      </w:r>
    </w:p>
    <w:p>
      <w:pPr>
        <w:spacing w:after="240"/>
        <w:jc w:val="center"/>
      </w:pPr>
      <w:r>
        <w:rPr>
          <w:b/>
          <w:sz w:val="19"/>
        </w:rPr>
        <w:t>Figure 1: Multi-Channel Hounsfield Unit (HU) Windowing Comparison</w:t>
        <w:br/>
      </w:r>
      <w:r>
        <w:rPr>
          <w:i/>
          <w:color w:val="5D6D7E"/>
          <w:sz w:val="18"/>
        </w:rPr>
        <w:t>Demonstrates the transformation of raw 16-bit CT attenuation into three distinct clinical windows (Brain Window [40, 80], Subdural Window [75, 215], Bone Window [600, 2800]). The acute subdural hematoma crescent is cleanly isolated in channels 1 and 2.</w:t>
      </w:r>
    </w:p>
    <w:p>
      <w:pPr>
        <w:spacing w:after="80"/>
      </w:pPr>
    </w:p>
    <w:p>
      <w:pPr>
        <w:jc w:val="center"/>
      </w:pPr>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figure2_gradcam_stability_audit.png"/>
                    <pic:cNvPicPr/>
                  </pic:nvPicPr>
                  <pic:blipFill>
                    <a:blip r:embed="rId10"/>
                    <a:stretch>
                      <a:fillRect/>
                    </a:stretch>
                  </pic:blipFill>
                  <pic:spPr>
                    <a:xfrm>
                      <a:off x="0" y="0"/>
                      <a:ext cx="5303520" cy="2386584"/>
                    </a:xfrm>
                    <a:prstGeom prst="rect"/>
                  </pic:spPr>
                </pic:pic>
              </a:graphicData>
            </a:graphic>
          </wp:inline>
        </w:drawing>
      </w:r>
    </w:p>
    <w:p>
      <w:pPr>
        <w:spacing w:after="240"/>
        <w:jc w:val="center"/>
      </w:pPr>
      <w:r>
        <w:rPr>
          <w:b/>
          <w:sz w:val="19"/>
        </w:rPr>
        <w:t>Figure 2: Perturbation Stability Index (PSI) Validation Overlays</w:t>
        <w:br/>
      </w:r>
      <w:r>
        <w:rPr>
          <w:i/>
          <w:color w:val="5D6D7E"/>
          <w:sz w:val="18"/>
        </w:rPr>
        <w:t>Left: Focal lesion maintains high stability under affine jitter (PSI = 0.92, Verified Badge). Right: Unstable noise activation disperses under jitter (PSI = 0.48, Epistemic Uncertainty Warning Badge).</w:t>
      </w:r>
    </w:p>
    <w:p>
      <w:pPr>
        <w:spacing w:after="80"/>
      </w:pP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ure3_shift_ttr_benchmark.png"/>
                    <pic:cNvPicPr/>
                  </pic:nvPicPr>
                  <pic:blipFill>
                    <a:blip r:embed="rId11"/>
                    <a:stretch>
                      <a:fillRect/>
                    </a:stretch>
                  </pic:blipFill>
                  <pic:spPr>
                    <a:xfrm>
                      <a:off x="0" y="0"/>
                      <a:ext cx="5303520" cy="2651760"/>
                    </a:xfrm>
                    <a:prstGeom prst="rect"/>
                  </pic:spPr>
                </pic:pic>
              </a:graphicData>
            </a:graphic>
          </wp:inline>
        </w:drawing>
      </w:r>
    </w:p>
    <w:p>
      <w:pPr>
        <w:spacing w:after="240"/>
        <w:jc w:val="center"/>
      </w:pPr>
      <w:r>
        <w:rPr>
          <w:b/>
          <w:sz w:val="19"/>
        </w:rPr>
        <w:t>Figure 3: 12-Hour Shift Clinical Throughput &amp; Wait Time Distribution</w:t>
        <w:br/>
      </w:r>
      <w:r>
        <w:rPr>
          <w:i/>
          <w:color w:val="5D6D7E"/>
          <w:sz w:val="18"/>
        </w:rPr>
        <w:t>Paired SimPy discrete-event simulation comparing baseline FIFO worklists against the Gateway Dynamic Aging Scheduler. The 95th-percentile Time-To-Review drops from 32.9 minutes to 10.3 minutes (68.7% turnaround improvement).</w:t>
      </w:r>
    </w:p>
    <w:p>
      <w:pPr>
        <w:pStyle w:val="Heading1"/>
        <w:spacing w:before="280" w:after="120"/>
      </w:pPr>
      <w:r>
        <w:t>4. Codebase Architecture &amp; Modular Breakdown</w:t>
      </w:r>
    </w:p>
    <w:tbl>
      <w:tblPr>
        <w:tblW w:type="auto" w:w="0"/>
        <w:jc w:val="center"/>
        <w:tblLook w:firstColumn="1" w:firstRow="1" w:lastColumn="0" w:lastRow="0" w:noHBand="0" w:noVBand="1" w:val="04A0"/>
      </w:tblPr>
      <w:tblGrid>
        <w:gridCol w:w="3120"/>
        <w:gridCol w:w="3120"/>
        <w:gridCol w:w="3120"/>
      </w:tblGrid>
      <w:tr>
        <w:tc>
          <w:tcPr>
            <w:tcW w:type="dxa" w:w="3120"/>
            <w:shd w:fill="1A5276"/>
            <w:tcMar>
              <w:top w:w="100" w:type="dxa"/>
              <w:bottom w:w="100" w:type="dxa"/>
              <w:left w:w="120" w:type="dxa"/>
              <w:right w:w="120" w:type="dxa"/>
            </w:tcMar>
          </w:tcPr>
          <w:p>
            <w:r>
              <w:rPr>
                <w:b/>
                <w:color w:val="FFFFFF"/>
                <w:sz w:val="19"/>
              </w:rPr>
              <w:t>Module Path</w:t>
            </w:r>
          </w:p>
        </w:tc>
        <w:tc>
          <w:tcPr>
            <w:tcW w:type="dxa" w:w="3120"/>
            <w:shd w:fill="1A5276"/>
            <w:tcMar>
              <w:top w:w="100" w:type="dxa"/>
              <w:bottom w:w="100" w:type="dxa"/>
              <w:left w:w="120" w:type="dxa"/>
              <w:right w:w="120" w:type="dxa"/>
            </w:tcMar>
          </w:tcPr>
          <w:p>
            <w:r>
              <w:rPr>
                <w:b/>
                <w:color w:val="FFFFFF"/>
                <w:sz w:val="19"/>
              </w:rPr>
              <w:t>Core Components</w:t>
            </w:r>
          </w:p>
        </w:tc>
        <w:tc>
          <w:tcPr>
            <w:tcW w:type="dxa" w:w="3120"/>
            <w:shd w:fill="1A5276"/>
            <w:tcMar>
              <w:top w:w="100" w:type="dxa"/>
              <w:bottom w:w="100" w:type="dxa"/>
              <w:left w:w="120" w:type="dxa"/>
              <w:right w:w="120" w:type="dxa"/>
            </w:tcMar>
          </w:tcPr>
          <w:p>
            <w:r>
              <w:rPr>
                <w:b/>
                <w:color w:val="FFFFFF"/>
                <w:sz w:val="19"/>
              </w:rPr>
              <w:t>Responsibilities</w:t>
            </w:r>
          </w:p>
        </w:tc>
      </w:tr>
      <w:tr>
        <w:tc>
          <w:tcPr>
            <w:tcW w:type="dxa" w:w="3120"/>
            <w:shd w:fill="F8F9FA"/>
            <w:tcMar>
              <w:top w:w="80" w:type="dxa"/>
              <w:bottom w:w="80" w:type="dxa"/>
              <w:left w:w="100" w:type="dxa"/>
              <w:right w:w="100" w:type="dxa"/>
            </w:tcMar>
          </w:tcPr>
          <w:p>
            <w:r>
              <w:rPr>
                <w:rFonts w:ascii="Consolas" w:hAnsi="Consolas"/>
                <w:b/>
                <w:sz w:val="18"/>
              </w:rPr>
              <w:t>core/preprocessing.py</w:t>
            </w:r>
          </w:p>
        </w:tc>
        <w:tc>
          <w:tcPr>
            <w:tcW w:type="dxa" w:w="3120"/>
            <w:shd w:fill="F8F9FA"/>
            <w:tcMar>
              <w:top w:w="80" w:type="dxa"/>
              <w:bottom w:w="80" w:type="dxa"/>
              <w:left w:w="100" w:type="dxa"/>
              <w:right w:w="100" w:type="dxa"/>
            </w:tcMar>
          </w:tcPr>
          <w:p>
            <w:r>
              <w:rPr>
                <w:sz w:val="18"/>
              </w:rPr>
              <w:t>ClinicalCTPreprocessor, CTWindow</w:t>
            </w:r>
          </w:p>
        </w:tc>
        <w:tc>
          <w:tcPr>
            <w:tcW w:type="dxa" w:w="3120"/>
            <w:shd w:fill="F8F9FA"/>
            <w:tcMar>
              <w:top w:w="80" w:type="dxa"/>
              <w:bottom w:w="80" w:type="dxa"/>
              <w:left w:w="100" w:type="dxa"/>
              <w:right w:w="100" w:type="dxa"/>
            </w:tcMar>
          </w:tcPr>
          <w:p>
            <w:r>
              <w:rPr>
                <w:sz w:val="18"/>
              </w:rPr>
              <w:t>HIPAA salted SHA-256 tokenization, 16-bit HU conversion, 3-channel composite tensor stacking.</w:t>
            </w:r>
          </w:p>
        </w:tc>
      </w:tr>
      <w:tr>
        <w:tc>
          <w:tcPr>
            <w:tcW w:type="dxa" w:w="3120"/>
            <w:shd w:fill="FFFFFF"/>
            <w:tcMar>
              <w:top w:w="80" w:type="dxa"/>
              <w:bottom w:w="80" w:type="dxa"/>
              <w:left w:w="100" w:type="dxa"/>
              <w:right w:w="100" w:type="dxa"/>
            </w:tcMar>
          </w:tcPr>
          <w:p>
            <w:r>
              <w:rPr>
                <w:rFonts w:ascii="Consolas" w:hAnsi="Consolas"/>
                <w:b/>
                <w:sz w:val="18"/>
              </w:rPr>
              <w:t>core/models.py</w:t>
            </w:r>
          </w:p>
        </w:tc>
        <w:tc>
          <w:tcPr>
            <w:tcW w:type="dxa" w:w="3120"/>
            <w:shd w:fill="FFFFFF"/>
            <w:tcMar>
              <w:top w:w="80" w:type="dxa"/>
              <w:bottom w:w="80" w:type="dxa"/>
              <w:left w:w="100" w:type="dxa"/>
              <w:right w:w="100" w:type="dxa"/>
            </w:tcMar>
          </w:tcPr>
          <w:p>
            <w:r>
              <w:rPr>
                <w:sz w:val="18"/>
              </w:rPr>
              <w:t>HeadCTTriPathwayNet, StatelessGradCAM, PerturbationStabilityEvaluator</w:t>
            </w:r>
          </w:p>
        </w:tc>
        <w:tc>
          <w:tcPr>
            <w:tcW w:type="dxa" w:w="3120"/>
            <w:shd w:fill="FFFFFF"/>
            <w:tcMar>
              <w:top w:w="80" w:type="dxa"/>
              <w:bottom w:w="80" w:type="dxa"/>
              <w:left w:w="100" w:type="dxa"/>
              <w:right w:w="100" w:type="dxa"/>
            </w:tcMar>
          </w:tcPr>
          <w:p>
            <w:r>
              <w:rPr>
                <w:sz w:val="18"/>
              </w:rPr>
              <w:t>2.5D EfficientNet-B0 + Bi-GRU network, context-managed scoped Grad-CAM hooks, PSI affine jitter.</w:t>
            </w:r>
          </w:p>
        </w:tc>
      </w:tr>
      <w:tr>
        <w:tc>
          <w:tcPr>
            <w:tcW w:type="dxa" w:w="3120"/>
            <w:shd w:fill="F8F9FA"/>
            <w:tcMar>
              <w:top w:w="80" w:type="dxa"/>
              <w:bottom w:w="80" w:type="dxa"/>
              <w:left w:w="100" w:type="dxa"/>
              <w:right w:w="100" w:type="dxa"/>
            </w:tcMar>
          </w:tcPr>
          <w:p>
            <w:r>
              <w:rPr>
                <w:rFonts w:ascii="Consolas" w:hAnsi="Consolas"/>
                <w:b/>
                <w:sz w:val="18"/>
              </w:rPr>
              <w:t>core/gateway.py</w:t>
            </w:r>
          </w:p>
        </w:tc>
        <w:tc>
          <w:tcPr>
            <w:tcW w:type="dxa" w:w="3120"/>
            <w:shd w:fill="F8F9FA"/>
            <w:tcMar>
              <w:top w:w="80" w:type="dxa"/>
              <w:bottom w:w="80" w:type="dxa"/>
              <w:left w:w="100" w:type="dxa"/>
              <w:right w:w="100" w:type="dxa"/>
            </w:tcMar>
          </w:tcPr>
          <w:p>
            <w:r>
              <w:rPr>
                <w:sz w:val="18"/>
              </w:rPr>
              <w:t>TriageGateway, TriageZone, TriageRecord</w:t>
            </w:r>
          </w:p>
        </w:tc>
        <w:tc>
          <w:tcPr>
            <w:tcW w:type="dxa" w:w="3120"/>
            <w:shd w:fill="F8F9FA"/>
            <w:tcMar>
              <w:top w:w="80" w:type="dxa"/>
              <w:bottom w:w="80" w:type="dxa"/>
              <w:left w:w="100" w:type="dxa"/>
              <w:right w:w="100" w:type="dxa"/>
            </w:tcMar>
          </w:tcPr>
          <w:p>
            <w:r>
              <w:rPr>
                <w:sz w:val="18"/>
              </w:rPr>
              <w:t>Thread-safe 3-Zone policy routing, starvation-free monotonic aging priority calculation S(t).</w:t>
            </w:r>
          </w:p>
        </w:tc>
      </w:tr>
      <w:tr>
        <w:tc>
          <w:tcPr>
            <w:tcW w:type="dxa" w:w="3120"/>
            <w:shd w:fill="FFFFFF"/>
            <w:tcMar>
              <w:top w:w="80" w:type="dxa"/>
              <w:bottom w:w="80" w:type="dxa"/>
              <w:left w:w="100" w:type="dxa"/>
              <w:right w:w="100" w:type="dxa"/>
            </w:tcMar>
          </w:tcPr>
          <w:p>
            <w:r>
              <w:rPr>
                <w:rFonts w:ascii="Consolas" w:hAnsi="Consolas"/>
                <w:b/>
                <w:sz w:val="18"/>
              </w:rPr>
              <w:t>core/simulation.py</w:t>
            </w:r>
          </w:p>
        </w:tc>
        <w:tc>
          <w:tcPr>
            <w:tcW w:type="dxa" w:w="3120"/>
            <w:shd w:fill="FFFFFF"/>
            <w:tcMar>
              <w:top w:w="80" w:type="dxa"/>
              <w:bottom w:w="80" w:type="dxa"/>
              <w:left w:w="100" w:type="dxa"/>
              <w:right w:w="100" w:type="dxa"/>
            </w:tcMar>
          </w:tcPr>
          <w:p>
            <w:r>
              <w:rPr>
                <w:sz w:val="18"/>
              </w:rPr>
              <w:t>run_shift_discrete_simulation</w:t>
            </w:r>
          </w:p>
        </w:tc>
        <w:tc>
          <w:tcPr>
            <w:tcW w:type="dxa" w:w="3120"/>
            <w:shd w:fill="FFFFFF"/>
            <w:tcMar>
              <w:top w:w="80" w:type="dxa"/>
              <w:bottom w:w="80" w:type="dxa"/>
              <w:left w:w="100" w:type="dxa"/>
              <w:right w:w="100" w:type="dxa"/>
            </w:tcMar>
          </w:tcPr>
          <w:p>
            <w:r>
              <w:rPr>
                <w:sz w:val="18"/>
              </w:rPr>
              <w:t>SimPy paired discrete-event simulation of hospital emergency shifts under surge load conditions.</w:t>
            </w:r>
          </w:p>
        </w:tc>
      </w:tr>
    </w:tbl>
    <w:p>
      <w:pPr>
        <w:spacing w:after="240"/>
      </w:pPr>
    </w:p>
    <w:p>
      <w:pPr>
        <w:pStyle w:val="Heading1"/>
        <w:spacing w:before="280" w:after="120"/>
      </w:pPr>
      <w:r>
        <w:t>5. Boundary &amp; Edge-Case Validation Matrix</w:t>
      </w:r>
    </w:p>
    <w:p>
      <w:r>
        <w:t>All boundary conditions passed automated stress testing via test_edge_cases.py:</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Mar>
              <w:top w:w="100" w:type="dxa"/>
              <w:bottom w:w="100" w:type="dxa"/>
              <w:left w:w="120" w:type="dxa"/>
              <w:right w:w="120" w:type="dxa"/>
            </w:tcMar>
          </w:tcPr>
          <w:p>
            <w:r>
              <w:rPr>
                <w:b/>
                <w:color w:val="FFFFFF"/>
                <w:sz w:val="19"/>
              </w:rPr>
              <w:t>Test ID</w:t>
            </w:r>
          </w:p>
        </w:tc>
        <w:tc>
          <w:tcPr>
            <w:tcW w:type="dxa" w:w="2340"/>
            <w:shd w:fill="2C3E50"/>
            <w:tcMar>
              <w:top w:w="100" w:type="dxa"/>
              <w:bottom w:w="100" w:type="dxa"/>
              <w:left w:w="120" w:type="dxa"/>
              <w:right w:w="120" w:type="dxa"/>
            </w:tcMar>
          </w:tcPr>
          <w:p>
            <w:r>
              <w:rPr>
                <w:b/>
                <w:color w:val="FFFFFF"/>
                <w:sz w:val="19"/>
              </w:rPr>
              <w:t>Boundary Scenario</w:t>
            </w:r>
          </w:p>
        </w:tc>
        <w:tc>
          <w:tcPr>
            <w:tcW w:type="dxa" w:w="2340"/>
            <w:shd w:fill="2C3E50"/>
            <w:tcMar>
              <w:top w:w="100" w:type="dxa"/>
              <w:bottom w:w="100" w:type="dxa"/>
              <w:left w:w="120" w:type="dxa"/>
              <w:right w:w="120" w:type="dxa"/>
            </w:tcMar>
          </w:tcPr>
          <w:p>
            <w:r>
              <w:rPr>
                <w:b/>
                <w:color w:val="FFFFFF"/>
                <w:sz w:val="19"/>
              </w:rPr>
              <w:t>Mathematical Expectation</w:t>
            </w:r>
          </w:p>
        </w:tc>
        <w:tc>
          <w:tcPr>
            <w:tcW w:type="dxa" w:w="2340"/>
            <w:shd w:fill="2C3E50"/>
            <w:tcMar>
              <w:top w:w="100" w:type="dxa"/>
              <w:bottom w:w="100" w:type="dxa"/>
              <w:left w:w="120" w:type="dxa"/>
              <w:right w:w="120" w:type="dxa"/>
            </w:tcMar>
          </w:tcPr>
          <w:p>
            <w:r>
              <w:rPr>
                <w:b/>
                <w:color w:val="FFFFFF"/>
                <w:sz w:val="19"/>
              </w:rPr>
              <w:t>Status</w:t>
            </w:r>
          </w:p>
        </w:tc>
      </w:tr>
      <w:tr>
        <w:tc>
          <w:tcPr>
            <w:tcW w:type="dxa" w:w="2340"/>
            <w:shd w:fill="F8F9FA"/>
            <w:tcMar>
              <w:top w:w="80" w:type="dxa"/>
              <w:bottom w:w="80" w:type="dxa"/>
              <w:left w:w="100" w:type="dxa"/>
              <w:right w:w="100" w:type="dxa"/>
            </w:tcMar>
          </w:tcPr>
          <w:p>
            <w:r>
              <w:rPr>
                <w:rFonts w:ascii="Consolas" w:hAnsi="Consolas"/>
                <w:b/>
                <w:sz w:val="18"/>
              </w:rPr>
              <w:t>TC-BOUND-01</w:t>
            </w:r>
          </w:p>
        </w:tc>
        <w:tc>
          <w:tcPr>
            <w:tcW w:type="dxa" w:w="2340"/>
            <w:shd w:fill="F8F9FA"/>
            <w:tcMar>
              <w:top w:w="80" w:type="dxa"/>
              <w:bottom w:w="80" w:type="dxa"/>
              <w:left w:w="100" w:type="dxa"/>
              <w:right w:w="100" w:type="dxa"/>
            </w:tcMar>
          </w:tcPr>
          <w:p>
            <w:r>
              <w:rPr>
                <w:sz w:val="18"/>
              </w:rPr>
              <w:t>Zero wait time (t = 0s)</w:t>
            </w:r>
          </w:p>
        </w:tc>
        <w:tc>
          <w:tcPr>
            <w:tcW w:type="dxa" w:w="2340"/>
            <w:shd w:fill="F8F9FA"/>
            <w:tcMar>
              <w:top w:w="80" w:type="dxa"/>
              <w:bottom w:w="80" w:type="dxa"/>
              <w:left w:w="100" w:type="dxa"/>
              <w:right w:w="100" w:type="dxa"/>
            </w:tcMar>
          </w:tcPr>
          <w:p>
            <w:r>
              <w:rPr>
                <w:sz w:val="18"/>
              </w:rPr>
              <w:t>S(0) = P * C = 0.7200 exactly</w:t>
            </w:r>
          </w:p>
        </w:tc>
        <w:tc>
          <w:tcPr>
            <w:tcW w:type="dxa" w:w="2340"/>
            <w:shd w:fill="F8F9FA"/>
            <w:tcMar>
              <w:top w:w="80" w:type="dxa"/>
              <w:bottom w:w="80" w:type="dxa"/>
              <w:left w:w="100" w:type="dxa"/>
              <w:right w:w="100" w:type="dxa"/>
            </w:tcMar>
          </w:tcPr>
          <w:p>
            <w:r>
              <w:rPr>
                <w:b/>
                <w:color w:val="1E8449"/>
                <w:sz w:val="18"/>
              </w:rPr>
              <w:t>PASSED</w:t>
            </w:r>
          </w:p>
        </w:tc>
      </w:tr>
      <w:tr>
        <w:tc>
          <w:tcPr>
            <w:tcW w:type="dxa" w:w="2340"/>
            <w:shd w:fill="FFFFFF"/>
            <w:tcMar>
              <w:top w:w="80" w:type="dxa"/>
              <w:bottom w:w="80" w:type="dxa"/>
              <w:left w:w="100" w:type="dxa"/>
              <w:right w:w="100" w:type="dxa"/>
            </w:tcMar>
          </w:tcPr>
          <w:p>
            <w:r>
              <w:rPr>
                <w:rFonts w:ascii="Consolas" w:hAnsi="Consolas"/>
                <w:b/>
                <w:sz w:val="18"/>
              </w:rPr>
              <w:t>TC-BOUND-02</w:t>
            </w:r>
          </w:p>
        </w:tc>
        <w:tc>
          <w:tcPr>
            <w:tcW w:type="dxa" w:w="2340"/>
            <w:shd w:fill="FFFFFF"/>
            <w:tcMar>
              <w:top w:w="80" w:type="dxa"/>
              <w:bottom w:w="80" w:type="dxa"/>
              <w:left w:w="100" w:type="dxa"/>
              <w:right w:w="100" w:type="dxa"/>
            </w:tcMar>
          </w:tcPr>
          <w:p>
            <w:r>
              <w:rPr>
                <w:sz w:val="18"/>
              </w:rPr>
              <w:t>Asymptotic wait time (t -&gt; inf)</w:t>
            </w:r>
          </w:p>
        </w:tc>
        <w:tc>
          <w:tcPr>
            <w:tcW w:type="dxa" w:w="2340"/>
            <w:shd w:fill="FFFFFF"/>
            <w:tcMar>
              <w:top w:w="80" w:type="dxa"/>
              <w:bottom w:w="80" w:type="dxa"/>
              <w:left w:w="100" w:type="dxa"/>
              <w:right w:w="100" w:type="dxa"/>
            </w:tcMar>
          </w:tcPr>
          <w:p>
            <w:r>
              <w:rPr>
                <w:sz w:val="18"/>
              </w:rPr>
              <w:t>S(inf) &lt;= P*C + 0.25 (No ceiling breach)</w:t>
            </w:r>
          </w:p>
        </w:tc>
        <w:tc>
          <w:tcPr>
            <w:tcW w:type="dxa" w:w="2340"/>
            <w:shd w:fill="FFFFFF"/>
            <w:tcMar>
              <w:top w:w="80" w:type="dxa"/>
              <w:bottom w:w="80" w:type="dxa"/>
              <w:left w:w="100" w:type="dxa"/>
              <w:right w:w="100" w:type="dxa"/>
            </w:tcMar>
          </w:tcPr>
          <w:p>
            <w:r>
              <w:rPr>
                <w:b/>
                <w:color w:val="1E8449"/>
                <w:sz w:val="18"/>
              </w:rPr>
              <w:t>PASSED</w:t>
            </w:r>
          </w:p>
        </w:tc>
      </w:tr>
      <w:tr>
        <w:tc>
          <w:tcPr>
            <w:tcW w:type="dxa" w:w="2340"/>
            <w:shd w:fill="F8F9FA"/>
            <w:tcMar>
              <w:top w:w="80" w:type="dxa"/>
              <w:bottom w:w="80" w:type="dxa"/>
              <w:left w:w="100" w:type="dxa"/>
              <w:right w:w="100" w:type="dxa"/>
            </w:tcMar>
          </w:tcPr>
          <w:p>
            <w:r>
              <w:rPr>
                <w:rFonts w:ascii="Consolas" w:hAnsi="Consolas"/>
                <w:b/>
                <w:sz w:val="18"/>
              </w:rPr>
              <w:t>TC-BOUND-03</w:t>
            </w:r>
          </w:p>
        </w:tc>
        <w:tc>
          <w:tcPr>
            <w:tcW w:type="dxa" w:w="2340"/>
            <w:shd w:fill="F8F9FA"/>
            <w:tcMar>
              <w:top w:w="80" w:type="dxa"/>
              <w:bottom w:w="80" w:type="dxa"/>
              <w:left w:w="100" w:type="dxa"/>
              <w:right w:w="100" w:type="dxa"/>
            </w:tcMar>
          </w:tcPr>
          <w:p>
            <w:r>
              <w:rPr>
                <w:sz w:val="18"/>
              </w:rPr>
              <w:t>Zero-variance slice (All black)</w:t>
            </w:r>
          </w:p>
        </w:tc>
        <w:tc>
          <w:tcPr>
            <w:tcW w:type="dxa" w:w="2340"/>
            <w:shd w:fill="F8F9FA"/>
            <w:tcMar>
              <w:top w:w="80" w:type="dxa"/>
              <w:bottom w:w="80" w:type="dxa"/>
              <w:left w:w="100" w:type="dxa"/>
              <w:right w:w="100" w:type="dxa"/>
            </w:tcMar>
          </w:tcPr>
          <w:p>
            <w:r>
              <w:rPr>
                <w:sz w:val="18"/>
              </w:rPr>
              <w:t>Var(CAM) -&gt; 0 =&gt; Flagged Unstable (No div-by-zero)</w:t>
            </w:r>
          </w:p>
        </w:tc>
        <w:tc>
          <w:tcPr>
            <w:tcW w:type="dxa" w:w="2340"/>
            <w:shd w:fill="F8F9FA"/>
            <w:tcMar>
              <w:top w:w="80" w:type="dxa"/>
              <w:bottom w:w="80" w:type="dxa"/>
              <w:left w:w="100" w:type="dxa"/>
              <w:right w:w="100" w:type="dxa"/>
            </w:tcMar>
          </w:tcPr>
          <w:p>
            <w:r>
              <w:rPr>
                <w:b/>
                <w:color w:val="1E8449"/>
                <w:sz w:val="18"/>
              </w:rPr>
              <w:t>PASSED</w:t>
            </w:r>
          </w:p>
        </w:tc>
      </w:tr>
      <w:tr>
        <w:tc>
          <w:tcPr>
            <w:tcW w:type="dxa" w:w="2340"/>
            <w:shd w:fill="FFFFFF"/>
            <w:tcMar>
              <w:top w:w="80" w:type="dxa"/>
              <w:bottom w:w="80" w:type="dxa"/>
              <w:left w:w="100" w:type="dxa"/>
              <w:right w:w="100" w:type="dxa"/>
            </w:tcMar>
          </w:tcPr>
          <w:p>
            <w:r>
              <w:rPr>
                <w:rFonts w:ascii="Consolas" w:hAnsi="Consolas"/>
                <w:b/>
                <w:sz w:val="18"/>
              </w:rPr>
              <w:t>TC-BOUND-04</w:t>
            </w:r>
          </w:p>
        </w:tc>
        <w:tc>
          <w:tcPr>
            <w:tcW w:type="dxa" w:w="2340"/>
            <w:shd w:fill="FFFFFF"/>
            <w:tcMar>
              <w:top w:w="80" w:type="dxa"/>
              <w:bottom w:w="80" w:type="dxa"/>
              <w:left w:w="100" w:type="dxa"/>
              <w:right w:w="100" w:type="dxa"/>
            </w:tcMar>
          </w:tcPr>
          <w:p>
            <w:r>
              <w:rPr>
                <w:sz w:val="18"/>
              </w:rPr>
              <w:t>Corrupted DICOM (NaNs / Infs)</w:t>
            </w:r>
          </w:p>
        </w:tc>
        <w:tc>
          <w:tcPr>
            <w:tcW w:type="dxa" w:w="2340"/>
            <w:shd w:fill="FFFFFF"/>
            <w:tcMar>
              <w:top w:w="80" w:type="dxa"/>
              <w:bottom w:w="80" w:type="dxa"/>
              <w:left w:w="100" w:type="dxa"/>
              <w:right w:w="100" w:type="dxa"/>
            </w:tcMar>
          </w:tcPr>
          <w:p>
            <w:r>
              <w:rPr>
                <w:sz w:val="18"/>
              </w:rPr>
              <w:t>Clamped to -1024 HU (Air density)</w:t>
            </w:r>
          </w:p>
        </w:tc>
        <w:tc>
          <w:tcPr>
            <w:tcW w:type="dxa" w:w="2340"/>
            <w:shd w:fill="FFFFFF"/>
            <w:tcMar>
              <w:top w:w="80" w:type="dxa"/>
              <w:bottom w:w="80" w:type="dxa"/>
              <w:left w:w="100" w:type="dxa"/>
              <w:right w:w="100" w:type="dxa"/>
            </w:tcMar>
          </w:tcPr>
          <w:p>
            <w:r>
              <w:rPr>
                <w:b/>
                <w:color w:val="1E8449"/>
                <w:sz w:val="18"/>
              </w:rPr>
              <w:t>PASSED</w:t>
            </w:r>
          </w:p>
        </w:tc>
      </w:tr>
      <w:tr>
        <w:tc>
          <w:tcPr>
            <w:tcW w:type="dxa" w:w="2340"/>
            <w:shd w:fill="F8F9FA"/>
            <w:tcMar>
              <w:top w:w="80" w:type="dxa"/>
              <w:bottom w:w="80" w:type="dxa"/>
              <w:left w:w="100" w:type="dxa"/>
              <w:right w:w="100" w:type="dxa"/>
            </w:tcMar>
          </w:tcPr>
          <w:p>
            <w:r>
              <w:rPr>
                <w:rFonts w:ascii="Consolas" w:hAnsi="Consolas"/>
                <w:b/>
                <w:sz w:val="18"/>
              </w:rPr>
              <w:t>TC-BOUND-05</w:t>
            </w:r>
          </w:p>
        </w:tc>
        <w:tc>
          <w:tcPr>
            <w:tcW w:type="dxa" w:w="2340"/>
            <w:shd w:fill="F8F9FA"/>
            <w:tcMar>
              <w:top w:w="80" w:type="dxa"/>
              <w:bottom w:w="80" w:type="dxa"/>
              <w:left w:w="100" w:type="dxa"/>
              <w:right w:w="100" w:type="dxa"/>
            </w:tcMar>
          </w:tcPr>
          <w:p>
            <w:r>
              <w:rPr>
                <w:sz w:val="18"/>
              </w:rPr>
              <w:t>50-cycle memory stress test</w:t>
            </w:r>
          </w:p>
        </w:tc>
        <w:tc>
          <w:tcPr>
            <w:tcW w:type="dxa" w:w="2340"/>
            <w:shd w:fill="F8F9FA"/>
            <w:tcMar>
              <w:top w:w="80" w:type="dxa"/>
              <w:bottom w:w="80" w:type="dxa"/>
              <w:left w:w="100" w:type="dxa"/>
              <w:right w:w="100" w:type="dxa"/>
            </w:tcMar>
          </w:tcPr>
          <w:p>
            <w:r>
              <w:rPr>
                <w:sz w:val="18"/>
              </w:rPr>
              <w:t>0 bytes residual autograd graph leak</w:t>
            </w:r>
          </w:p>
        </w:tc>
        <w:tc>
          <w:tcPr>
            <w:tcW w:type="dxa" w:w="2340"/>
            <w:shd w:fill="F8F9FA"/>
            <w:tcMar>
              <w:top w:w="80" w:type="dxa"/>
              <w:bottom w:w="80" w:type="dxa"/>
              <w:left w:w="100" w:type="dxa"/>
              <w:right w:w="100" w:type="dxa"/>
            </w:tcMar>
          </w:tcPr>
          <w:p>
            <w:r>
              <w:rPr>
                <w:b/>
                <w:color w:val="1E8449"/>
                <w:sz w:val="18"/>
              </w:rPr>
              <w:t>PASSED</w:t>
            </w:r>
          </w:p>
        </w:tc>
      </w:tr>
    </w:tbl>
    <w:p>
      <w:pPr>
        <w:spacing w:after="240"/>
      </w:pPr>
    </w:p>
    <w:p>
      <w:pPr>
        <w:pStyle w:val="Heading1"/>
        <w:spacing w:before="280" w:after="120"/>
      </w:pPr>
      <w:r>
        <w:t>6. Transition Roadmap (Phase 1 -&gt; Phase 2)</w:t>
      </w:r>
    </w:p>
    <w:p>
      <w:r>
        <w:t>With Phase 1 locked under Git tag v0.4.0-milestone, the project immediately transitions to Stage 1 Cloud Training:</w:t>
        <w:br/>
        <w:t xml:space="preserve">  1. Ingest full RSNA 2019 Intracranial Hemorrhage dataset (~25,000 CT studies) in Kaggle GPU compute.</w:t>
        <w:br/>
        <w:t xml:space="preserve">  2. Run frozen 2D EfficientNet-B0 backbone to extract 1280-D float16 embeddings per slice.</w:t>
        <w:br/>
        <w:t xml:space="preserve">  3. Serialize feature cache into a compact ~4 GB HDF5 (.h5) archive.</w:t>
        <w:br/>
        <w:t xml:space="preserve">  4. Train Bi-GRU sequence heads locally in memory across multi-task classification targets.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