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300" w:lineRule="auto"/>
      </w:pPr>
      <w:r>
        <w:rPr>
          <w:rFonts w:ascii="Calibri" w:hAnsi="Calibri"/>
          <w:b/>
          <w:color w:val="C7E66D"/>
          <w:sz w:val="18"/>
        </w:rPr>
        <w:t>SAMARTHYA 2026  •  IDEATHON PARTICIPANT</w:t>
      </w:r>
    </w:p>
    <w:p>
      <w:pPr>
        <w:keepNext w:val="0"/>
        <w:spacing w:before="0" w:after="100" w:line="240" w:lineRule="auto"/>
      </w:pPr>
      <w:r>
        <w:rPr>
          <w:rFonts w:ascii="Calibri" w:hAnsi="Calibri"/>
          <w:b/>
          <w:color w:val="111816"/>
          <w:sz w:val="64"/>
        </w:rPr>
        <w:t>AeroChem</w:t>
      </w:r>
    </w:p>
    <w:p>
      <w:pPr>
        <w:keepNext w:val="0"/>
        <w:spacing w:before="0" w:after="320" w:line="240" w:lineRule="auto"/>
      </w:pPr>
      <w:r>
        <w:rPr>
          <w:rFonts w:ascii="Calibri" w:hAnsi="Calibri"/>
          <w:b/>
          <w:color w:val="111816"/>
          <w:sz w:val="64"/>
        </w:rPr>
        <w:t>Sentinel</w:t>
      </w:r>
    </w:p>
    <w:p>
      <w:pPr>
        <w:keepNext w:val="0"/>
        <w:spacing w:before="0" w:after="360" w:line="300" w:lineRule="auto"/>
      </w:pPr>
      <w:r>
        <w:rPr>
          <w:rFonts w:ascii="Calibri" w:hAnsi="Calibri"/>
          <w:b/>
          <w:color w:val="0F7C65"/>
          <w:sz w:val="32"/>
        </w:rPr>
        <w:t>Field validation + judge readiness pack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2" w:space="0" w:color="E7F2EE"/>
          <w:left w:val="single" w:sz="2" w:space="0" w:color="E7F2EE"/>
          <w:bottom w:val="single" w:sz="2" w:space="0" w:color="E7F2EE"/>
          <w:right w:val="single" w:sz="2" w:space="0" w:color="E7F2EE"/>
          <w:insideH w:val="single" w:sz="2" w:space="0" w:color="E7F2EE"/>
          <w:insideV w:val="single" w:sz="2" w:space="0" w:color="E7F2EE"/>
        </w:tblBorders>
      </w:tblPr>
      <w:tblGrid>
        <w:gridCol w:w="9878"/>
      </w:tblGrid>
      <w:tr>
        <w:tc>
          <w:tcPr>
            <w:tcW w:type="dxa" w:w="9878"/>
            <w:shd w:fill="E7F2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0F7C65"/>
                <w:sz w:val="16"/>
              </w:rPr>
              <w:t>WHAT THIS PACK PROTECTS</w:t>
            </w:r>
          </w:p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111816"/>
                <w:sz w:val="26"/>
              </w:rPr>
              <w:t>A convincing prototype with honest boundaries.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color w:val="66726D"/>
                <w:sz w:val="20"/>
              </w:rPr>
              <w:t>The dashboard uses real satellite basemaps and current CAMS model context. It does not claim a connected local sensor, a validated ward-level forecast, or measured intervention impact.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Use this pack in three moments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3293"/>
        <w:gridCol w:w="3293"/>
        <w:gridCol w:w="3293"/>
      </w:tblGrid>
      <w:tr>
        <w:tc>
          <w:tcPr>
            <w:tcW w:type="dxa" w:w="316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BEFORE THE EVENT</w:t>
            </w:r>
          </w:p>
        </w:tc>
        <w:tc>
          <w:tcPr>
            <w:tcW w:type="dxa" w:w="316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DURING THE DEMO</w:t>
            </w:r>
          </w:p>
        </w:tc>
        <w:tc>
          <w:tcPr>
            <w:tcW w:type="dxa" w:w="316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AFTER APPROVAL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20"/>
              </w:rPr>
              <w:t>Assign roles, rehearse 90 seconds, print five interview sheets.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20"/>
              </w:rPr>
              <w:t>Show live context → sensor site → intervention → feasibility.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20"/>
              </w:rPr>
              <w:t>Run the 12-week co-location and validation plan before local claims.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Current evidence snapshot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Live Open-Meteo/CAMS values: US AQI 50, PM₂.₅ 6.5 µg/m³, PM₁₀ 11.9 µg/m³, modeled HCHO 1.3 µg/m³ and NO₂ 4.5 µg/m³ at 22:30 IST on 08 Aug 2026.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Regional CAMS global grid is approximately 45 km; use it for context, not street-level proof.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Recommended first-sensor site score (87/100) is a transparent planning heuristic, not measured pollution evidence.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Intervention percentages are illustrative sandbox outputs, not forecasts.</w:t>
      </w:r>
    </w:p>
    <w:p>
      <w:pPr>
        <w:keepNext w:val="0"/>
        <w:spacing w:before="240" w:after="0" w:line="300" w:lineRule="auto"/>
      </w:pPr>
      <w:r>
        <w:rPr>
          <w:rFonts w:ascii="Calibri" w:hAnsi="Calibri"/>
          <w:b/>
          <w:color w:val="E66B32"/>
          <w:sz w:val="22"/>
        </w:rPr>
        <w:t xml:space="preserve">LIVE DEMO  →  </w:t>
      </w:r>
      <w:r>
        <w:rPr>
          <w:rFonts w:ascii="Calibri" w:hAnsi="Calibri"/>
          <w:b/>
          <w:color w:val="111816"/>
          <w:sz w:val="22"/>
        </w:rPr>
        <w:t>sumitpawar2006.github.io/aerochem-sentinel</w:t>
      </w:r>
    </w:p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COMMUNITY EVIDENCE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Five-interview field sheet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color w:val="18211E"/>
          <w:sz w:val="22"/>
        </w:rPr>
        <w:t>Goal: collect structured local priorities without pretending that perception equals a pollution measurement. Ask permission, avoid sensitive personal data, and summarize themes anonymously.</w:t>
      </w:r>
    </w:p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Interview script (3–5 minutes)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Which place and time feels most affected by smoke, dust or traffic fumes?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Who is most exposed there—children, patients, workers, commuters or residents?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What visible activity might be linked: traffic, waste burning, industry, construction or something else?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What action would you support for a 12-week pilot?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May we record this answer anonymously in our ideathon evidence log?</w:t>
      </w:r>
    </w:p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One interview record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Date / time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Role (no name needed)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Resident / teacher / clinician / worker / civic staff / other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Place mentioned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Time mentioned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Morning / afternoon / evening / night / seasonal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Suspected activity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Traffic / industry / waste / dust / other: __________________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Most affected group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Supported pilot action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Anonymous use allowed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 Yes   ☐ No</w:t>
            </w:r>
          </w:p>
        </w:tc>
      </w:tr>
    </w:tbl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COMMUNITY SYNTHESIS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Five-interview evidence tracker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color w:val="18211E"/>
          <w:sz w:val="22"/>
        </w:rPr>
        <w:t>Complete one row after each conversation, then summarize patterns without identifying participants. This is community-priority evidence—not a substitute for calibrated measurements.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504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880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PLACE / TIME</w:t>
            </w:r>
          </w:p>
        </w:tc>
        <w:tc>
          <w:tcPr>
            <w:tcW w:type="dxa" w:w="3024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80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CONSENT</w:t>
            </w:r>
          </w:p>
        </w:tc>
      </w:tr>
      <w:tr>
        <w:trPr>
          <w:cantSplit/>
        </w:trPr>
        <w:tc>
          <w:tcPr>
            <w:tcW w:type="dxa" w:w="50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1</w:t>
            </w:r>
          </w:p>
        </w:tc>
        <w:tc>
          <w:tcPr>
            <w:tcW w:type="dxa" w:w="172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28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302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10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50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2</w:t>
            </w:r>
          </w:p>
        </w:tc>
        <w:tc>
          <w:tcPr>
            <w:tcW w:type="dxa" w:w="172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28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302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10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50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3</w:t>
            </w:r>
          </w:p>
        </w:tc>
        <w:tc>
          <w:tcPr>
            <w:tcW w:type="dxa" w:w="172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28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302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10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50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4</w:t>
            </w:r>
          </w:p>
        </w:tc>
        <w:tc>
          <w:tcPr>
            <w:tcW w:type="dxa" w:w="172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28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302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10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50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5</w:t>
            </w:r>
          </w:p>
        </w:tc>
        <w:tc>
          <w:tcPr>
            <w:tcW w:type="dxa" w:w="172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28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302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</w:r>
          </w:p>
        </w:tc>
        <w:tc>
          <w:tcPr>
            <w:tcW w:type="dxa" w:w="108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☐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Theme synthesis after five interviews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rPr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Most repeated place / time</w:t>
            </w:r>
          </w:p>
        </w:tc>
        <w:tc>
          <w:tcPr>
            <w:tcW w:type="dxa" w:w="6120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Most exposed group</w:t>
            </w:r>
          </w:p>
        </w:tc>
        <w:tc>
          <w:tcPr>
            <w:tcW w:type="dxa" w:w="6120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Most repeated suspected activity</w:t>
            </w:r>
          </w:p>
        </w:tc>
        <w:tc>
          <w:tcPr>
            <w:tcW w:type="dxa" w:w="6120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Action with strongest support</w:t>
            </w:r>
          </w:p>
        </w:tc>
        <w:tc>
          <w:tcPr>
            <w:tcW w:type="dxa" w:w="6120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Important disagreement or minority view</w:t>
            </w:r>
          </w:p>
        </w:tc>
        <w:tc>
          <w:tcPr>
            <w:tcW w:type="dxa" w:w="6120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________________________________________________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2" w:space="0" w:color="E7F2EE"/>
          <w:left w:val="single" w:sz="2" w:space="0" w:color="E7F2EE"/>
          <w:bottom w:val="single" w:sz="2" w:space="0" w:color="E7F2EE"/>
          <w:right w:val="single" w:sz="2" w:space="0" w:color="E7F2EE"/>
          <w:insideH w:val="single" w:sz="2" w:space="0" w:color="E7F2EE"/>
          <w:insideV w:val="single" w:sz="2" w:space="0" w:color="E7F2EE"/>
        </w:tblBorders>
      </w:tblPr>
      <w:tblGrid>
        <w:gridCol w:w="9878"/>
      </w:tblGrid>
      <w:tr>
        <w:tc>
          <w:tcPr>
            <w:tcW w:type="dxa" w:w="9878"/>
            <w:shd w:fill="E7F2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0F7C65"/>
                <w:sz w:val="16"/>
              </w:rPr>
              <w:t>SAFE CLAIM</w:t>
            </w:r>
          </w:p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111816"/>
                <w:sz w:val="26"/>
              </w:rPr>
              <w:t>Five interviews can improve pilot design.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color w:val="66726D"/>
                <w:sz w:val="20"/>
              </w:rPr>
              <w:t>They cannot establish pollution concentration, causality or city-wide representativeness. Use them to choose questions, access points and communication—not to manufacture validation.</w:t>
            </w:r>
          </w:p>
        </w:tc>
      </w:tr>
    </w:tbl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FEASIBILITY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Pilot equipment + ₹1.86 lakh plan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2" w:space="0" w:color="E7F2EE"/>
          <w:left w:val="single" w:sz="2" w:space="0" w:color="E7F2EE"/>
          <w:bottom w:val="single" w:sz="2" w:space="0" w:color="E7F2EE"/>
          <w:right w:val="single" w:sz="2" w:space="0" w:color="E7F2EE"/>
          <w:insideH w:val="single" w:sz="2" w:space="0" w:color="E7F2EE"/>
          <w:insideV w:val="single" w:sz="2" w:space="0" w:color="E7F2EE"/>
        </w:tblBorders>
      </w:tblPr>
      <w:tblGrid>
        <w:gridCol w:w="9878"/>
      </w:tblGrid>
      <w:tr>
        <w:tc>
          <w:tcPr>
            <w:tcW w:type="dxa" w:w="9878"/>
            <w:shd w:fill="E7F2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0F7C65"/>
                <w:sz w:val="16"/>
              </w:rPr>
              <w:t>PLANNING ASSUMPTION</w:t>
            </w:r>
          </w:p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111816"/>
                <w:sz w:val="26"/>
              </w:rPr>
              <w:t>Build for PM evidence first.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color w:val="66726D"/>
                <w:sz w:val="20"/>
              </w:rPr>
              <w:t>A calibrated particulate monitor, meteorology and co-location protocol are more defensible than adding an unvalidated low-cost HCHO module. Treat every amount below as editable—not a vendor quotation.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Recommended first-pilot stack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096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COMPONENT / WORK</w:t>
            </w:r>
          </w:p>
        </w:tc>
        <w:tc>
          <w:tcPr>
            <w:tcW w:type="dxa" w:w="2880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WHY IT EXISTS</w:t>
            </w:r>
          </w:p>
        </w:tc>
        <w:tc>
          <w:tcPr>
            <w:tcW w:type="dxa" w:w="2664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ACCEPTANCE CHECK</w:t>
            </w:r>
          </w:p>
        </w:tc>
        <w:tc>
          <w:tcPr>
            <w:tcW w:type="dxa" w:w="1224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PLAN ₹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PM₂.₅/PM₁₀ monitor + controller + enclosure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Primary field evidence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Stable logging; documented flow path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60,000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Reference access + co-location + calibration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Converts readings into defensible evidence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Minimum 14 days paired data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45,000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Temperature / humidity + power + connectivity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Quality control and reliable uptime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&gt;90% expected data capture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20,000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Mounting, site safety and installation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Repeatable inlet height and secure access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Permission + photo + coordinates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15,000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Hosting, maintenance and replacements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Keeps the pilot operational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Weekly QA log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12,000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Community briefings and reporting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Turns evidence into action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Two stakeholder reviews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12,000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Contingency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Covers approvals and component variation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Release only with team sign-off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22,000</w:t>
            </w:r>
          </w:p>
        </w:tc>
      </w:tr>
      <w:tr>
        <w:tc>
          <w:tcPr>
            <w:tcW w:type="dxa" w:w="2664"/>
            <w:gridSpan w:val="3"/>
            <w:shd w:fill="E7F2EE"/>
          </w:tcPr>
          <w:p>
            <w:r>
              <w:rPr>
                <w:rFonts w:ascii="Calibri" w:hAnsi="Calibri"/>
                <w:b/>
                <w:color w:val="0F7C65"/>
                <w:sz w:val="18"/>
              </w:rPr>
              <w:t>EDITABLE YEAR-ONE TOTAL</w:t>
            </w:r>
          </w:p>
        </w:tc>
        <w:tc>
          <w:tcPr>
            <w:tcW w:type="dxa" w:w="1224"/>
            <w:shd w:fill="E7F2EE"/>
          </w:tcPr>
          <w:p>
            <w:r>
              <w:rPr>
                <w:rFonts w:ascii="Calibri" w:hAnsi="Calibri"/>
                <w:b/>
                <w:color w:val="0F7C65"/>
                <w:sz w:val="20"/>
              </w:rPr>
              <w:t>₹1,86,000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Procurement guardrails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Request at least two written quotations before purchase.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Record model number, serial number, firmware and calibration certificate.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Do not publish HCHO/NO₂ as local observations unless the instrument and calibration support that claim.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Obtain written site permission, a safe power plan and a maintenance owner.</w:t>
      </w:r>
    </w:p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EVIDENCE PLAN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Twelve-week calibration + validation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color w:val="18211E"/>
          <w:sz w:val="22"/>
        </w:rPr>
        <w:t>Outcome: a time-aware comparison between the pilot sensor and a defensible reference, with uncertainty visible in the dashboard. No model-validation badge should appear before these gates pass.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52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244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096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GO / NO-GO GATE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Confirm site, permissions, inlet height and reference access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Site dossier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No installation without owner + safety approval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2–3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Co-locate and synchronize timestamps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Paired raw dataset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≥90% uptime target; no silent gaps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Screen humidity, drift and outliers; freeze QA rules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QA log + exclusions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Exclusions documented before scoring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5–6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Fit calibration on training window only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Versioned calibration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No test-window leakage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7–8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Evaluate untouched test window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MAE, RMSE, R², bias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Publish failure as clearly as success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Estimate bootstrap confidence intervals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95% intervals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Interval method and sample count shown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Deploy to recommended civic site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Field uptime + drift check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Recalibrate if drift threshold fails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11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Run one intervention observation window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Before / during / after record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Label as observation—not causal proof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6"/>
              </w:rPr>
              <w:t>12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Public review with school, clinic and civic users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Pilot report + next decision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  <w:t>Approve scale-up, repeat or stop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Metrics to publish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376"/>
            <w:shd w:fill="E8EEF5"/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MAE</w:t>
            </w:r>
          </w:p>
        </w:tc>
        <w:tc>
          <w:tcPr>
            <w:tcW w:type="dxa" w:w="2376"/>
            <w:shd w:fill="E8EEF5"/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RMSE</w:t>
            </w:r>
          </w:p>
        </w:tc>
        <w:tc>
          <w:tcPr>
            <w:tcW w:type="dxa" w:w="2376"/>
            <w:shd w:fill="E8EEF5"/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R²</w:t>
            </w:r>
          </w:p>
        </w:tc>
        <w:tc>
          <w:tcPr>
            <w:tcW w:type="dxa" w:w="2376"/>
            <w:shd w:fill="E8EEF5"/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MEAN BIAS</w:t>
            </w:r>
          </w:p>
        </w:tc>
      </w:tr>
      <w:tr>
        <w:tc>
          <w:tcPr>
            <w:tcW w:type="dxa" w:w="2376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20"/>
              </w:rPr>
              <w:t>_______ µg/m³</w:t>
            </w:r>
          </w:p>
        </w:tc>
        <w:tc>
          <w:tcPr>
            <w:tcW w:type="dxa" w:w="2376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20"/>
              </w:rPr>
              <w:t>_______ µg/m³</w:t>
            </w:r>
          </w:p>
        </w:tc>
        <w:tc>
          <w:tcPr>
            <w:tcW w:type="dxa" w:w="2376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20"/>
              </w:rPr>
              <w:t>_______</w:t>
            </w:r>
          </w:p>
        </w:tc>
        <w:tc>
          <w:tcPr>
            <w:tcW w:type="dxa" w:w="2376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20"/>
              </w:rPr>
              <w:t>_______ µg/m³</w:t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Calibri" w:hAnsi="Calibri"/>
          <w:b/>
          <w:color w:val="18211E"/>
          <w:sz w:val="22"/>
        </w:rPr>
        <w:t>Confidence interval:</w:t>
      </w:r>
      <w:r>
        <w:rPr>
          <w:rFonts w:ascii="Calibri" w:hAnsi="Calibri"/>
          <w:b w:val="0"/>
          <w:color w:val="18211E"/>
          <w:sz w:val="22"/>
        </w:rPr>
        <w:t xml:space="preserve"> calculate 95% bootstrap intervals on the untouched test window and show sample count, test dates and missing-data rate beside every score.</w:t>
      </w:r>
    </w:p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FIELD TEMPLATE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Validation data log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color w:val="18211E"/>
          <w:sz w:val="22"/>
        </w:rPr>
        <w:t>Use one row per synchronized timestamp or aggregation interval. Keep the raw file immutable; perform cleaning in a versioned copy.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24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1152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LAT/LON</w:t>
            </w:r>
          </w:p>
        </w:tc>
        <w:tc>
          <w:tcPr>
            <w:tcW w:type="dxa" w:w="1440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SENSOR PM₂.₅</w:t>
            </w:r>
          </w:p>
        </w:tc>
        <w:tc>
          <w:tcPr>
            <w:tcW w:type="dxa" w:w="1368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REF PM₂.₅</w:t>
            </w:r>
          </w:p>
        </w:tc>
        <w:tc>
          <w:tcPr>
            <w:tcW w:type="dxa" w:w="864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TEMP</w:t>
            </w:r>
          </w:p>
        </w:tc>
        <w:tc>
          <w:tcPr>
            <w:tcW w:type="dxa" w:w="792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RH</w:t>
            </w:r>
          </w:p>
        </w:tc>
        <w:tc>
          <w:tcPr>
            <w:tcW w:type="dxa" w:w="1080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QA FLAG</w:t>
            </w:r>
          </w:p>
        </w:tc>
        <w:tc>
          <w:tcPr>
            <w:tcW w:type="dxa" w:w="1584"/>
            <w:shd w:fill="111816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15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44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368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86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792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080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  <w:tc>
          <w:tcPr>
            <w:tcW w:type="dxa" w:w="1584"/>
            <w:tcMar>
              <w:top w:w="145" w:type="dxa"/>
              <w:start w:w="60" w:type="dxa"/>
              <w:bottom w:w="14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6"/>
              </w:rPr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Evidence checklist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Raw CSV/JSON file saved with timezone and units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Reference identity and calibration status recorded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Missing periods and maintenance events listed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Training and test dates frozen before evaluation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MAE, RMSE, R², bias and 95% confidence intervals published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Dashboard text distinguishes observed, modeled and simulated values</w:t>
      </w:r>
    </w:p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PRESENTATION MODE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90-second demo run-of-show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color w:val="18211E"/>
          <w:sz w:val="22"/>
        </w:rPr>
        <w:t>Keep the live dashboard as the main experience. One speaker drives; the others handle evidence and feasibility questions.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936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152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88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SCREEN / ACTION</w:t>
            </w:r>
          </w:p>
        </w:tc>
        <w:tc>
          <w:tcPr>
            <w:tcW w:type="dxa" w:w="5400"/>
            <w:shd w:fill="111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ONE SENTENCE TO SAY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0–12s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Khushi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Situation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Malegaon has regional atmospheric context but no verified local ground observations connected today.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12–30s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Sumit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Live map + HCHO/NO₂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The map is real; CAMS values are live model context, clearly separated from sensor evidence.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30–48s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Vaishnavi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Best sensor site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Our transparent 87/100 heuristic chooses the first place that maximizes learning, not a fake hotspot claim.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48–63s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Sumit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Intervention sandbox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Participants can test one traffic action; outputs are illustrative and labeled as such.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63–78s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Khushi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Feasibility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A 12-week, ₹1.86 lakh pilot produces the first defensible local dataset.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7C65"/>
                <w:sz w:val="17"/>
              </w:rPr>
              <w:t>78–90s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211E"/>
                <w:sz w:val="17"/>
              </w:rPr>
              <w:t>All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Ask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7"/>
              </w:rPr>
              <w:t>Approve one calibrated sensor, one reference comparison and one public review.</w:t>
            </w:r>
          </w:p>
        </w:tc>
      </w:tr>
    </w:tbl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Team hand-off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Khushi — problem, domain need, community impact and final ask.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Vaishnavi — data pipeline, calibration logic, validation metrics and confidence intervals.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• </w:t>
      </w:r>
      <w:r>
        <w:rPr>
          <w:rFonts w:ascii="Calibri" w:hAnsi="Calibri"/>
          <w:b w:val="0"/>
          <w:color w:val="18211E"/>
          <w:sz w:val="22"/>
        </w:rPr>
        <w:t>Sumit — live dashboard, map layers, integration, report download and backup video.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2" w:space="0" w:color="FFF2E8"/>
          <w:left w:val="single" w:sz="2" w:space="0" w:color="FFF2E8"/>
          <w:bottom w:val="single" w:sz="2" w:space="0" w:color="FFF2E8"/>
          <w:right w:val="single" w:sz="2" w:space="0" w:color="FFF2E8"/>
          <w:insideH w:val="single" w:sz="2" w:space="0" w:color="FFF2E8"/>
          <w:insideV w:val="single" w:sz="2" w:space="0" w:color="FFF2E8"/>
        </w:tblBorders>
      </w:tblPr>
      <w:tblGrid>
        <w:gridCol w:w="9878"/>
      </w:tblGrid>
      <w:tr>
        <w:tc>
          <w:tcPr>
            <w:tcW w:type="dxa" w:w="9878"/>
            <w:shd w:fill="FFF2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E66B32"/>
                <w:sz w:val="16"/>
              </w:rPr>
              <w:t>RECOVERY LINE</w:t>
            </w:r>
          </w:p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color w:val="111816"/>
                <w:sz w:val="26"/>
              </w:rPr>
              <w:t>If live data or internet fails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color w:val="66726D"/>
                <w:sz w:val="20"/>
              </w:rPr>
              <w:t>Say: “We have preserved the same six-slide, 90-second offline evidence path. The values shown are timestamped model context; no local reading is being claimed.”</w:t>
            </w:r>
          </w:p>
        </w:tc>
      </w:tr>
    </w:tbl>
    <w:p>
      <w:r>
        <w:br w:type="page"/>
      </w:r>
    </w:p>
    <w:p>
      <w:pPr>
        <w:keepNext/>
        <w:spacing w:before="0" w:after="140" w:line="300" w:lineRule="auto"/>
      </w:pPr>
      <w:r>
        <w:rPr>
          <w:rFonts w:ascii="Calibri" w:hAnsi="Calibri"/>
          <w:b/>
          <w:color w:val="E66B32"/>
          <w:sz w:val="18"/>
        </w:rPr>
        <w:t>REHEARSAL</w:t>
      </w:r>
    </w:p>
    <w:p>
      <w:pPr>
        <w:keepNext/>
        <w:spacing w:before="0" w:after="200" w:line="252" w:lineRule="auto"/>
      </w:pPr>
      <w:r>
        <w:rPr>
          <w:rFonts w:ascii="Calibri" w:hAnsi="Calibri"/>
          <w:b/>
          <w:color w:val="111816"/>
          <w:sz w:val="44"/>
        </w:rPr>
        <w:t>Judge questions + strong answers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01  Is this real data?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Yes for the satellite basemap and current CAMS/Open-Meteo model context. No local ground sensor is connected yet, and the dashboard says so.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02  Why should we trust the 87/100 sensor site?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It is a documented planning heuristic using access, sensitive-site coverage, proximity and the monitoring gap. The pilot verifies the decision in the field.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03  Are the intervention reductions forecasts?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No. They are adjustable illustrative scenarios for discussion. Measured before/during/after evidence comes in the pilot.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04  Why not claim Sentinel-5P HCHO on the map?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Sentinel-5P HCHO is a separate atmospheric column product. We do not relabel near-surface CAMS output as satellite HCHO.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05  How will you prove accuracy?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Co-locate, freeze QA rules, separate training from test time, then publish MAE, RMSE, R², bias, sample count and 95% intervals.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06  Can this scale?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Yes after validation: repeat the site-selection method, standardize the sensor package and add nodes only where each new sensor reduces uncertainty.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07  What is the community benefit?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Schools, clinics and civic teams receive a five-minute local brief and evidence for choosing a targeted, reviewable intervention.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6DDD8"/>
          <w:left w:val="single" w:sz="6" w:space="0" w:color="D6DDD8"/>
          <w:bottom w:val="single" w:sz="6" w:space="0" w:color="D6DDD8"/>
          <w:right w:val="single" w:sz="6" w:space="0" w:color="D6DDD8"/>
          <w:insideH w:val="single" w:sz="6" w:space="0" w:color="D6DDD8"/>
          <w:insideV w:val="single" w:sz="6" w:space="0" w:color="D6DDD8"/>
        </w:tblBorders>
      </w:tblPr>
      <w:tblGrid>
        <w:gridCol w:w="4939"/>
        <w:gridCol w:w="4939"/>
      </w:tblGrid>
      <w:tr>
        <w:tc>
          <w:tcPr>
            <w:tcW w:type="dxa" w:w="32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47FAA"/>
                <w:sz w:val="18"/>
              </w:rPr>
              <w:t>08  What do you need now?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8211E"/>
                <w:sz w:val="18"/>
              </w:rPr>
              <w:t>Approval and site access for one 12-week calibrated validation pilot with a ₹1.86 lakh editable planning envelope.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keepNext/>
        <w:spacing w:before="280" w:after="140" w:line="276" w:lineRule="auto"/>
      </w:pPr>
      <w:r>
        <w:rPr>
          <w:rFonts w:ascii="Calibri" w:hAnsi="Calibri"/>
          <w:b/>
          <w:color w:val="0F7C65"/>
          <w:sz w:val="26"/>
        </w:rPr>
        <w:t>Final pre-stage check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Live GitHub Pages link opens on a phone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Pitch deck and field pack download successfully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Offline 90-second MP4 is copied to two devices</w:t>
      </w:r>
    </w:p>
    <w:p>
      <w:pPr>
        <w:keepNext w:val="0"/>
        <w:spacing w:before="0" w:after="80" w:line="300" w:lineRule="auto"/>
        <w:ind w:left="540" w:hanging="271"/>
      </w:pPr>
      <w:r>
        <w:rPr>
          <w:rFonts w:ascii="Calibri" w:hAnsi="Calibri"/>
          <w:b/>
          <w:color w:val="0F7C65"/>
          <w:sz w:val="22"/>
        </w:rPr>
        <w:t xml:space="preserve">☐ </w:t>
      </w:r>
      <w:r>
        <w:rPr>
          <w:rFonts w:ascii="Calibri" w:hAnsi="Calibri"/>
          <w:b w:val="0"/>
          <w:color w:val="18211E"/>
          <w:sz w:val="22"/>
        </w:rPr>
        <w:t>Presentation mode opens and all three speakers know the recovery 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26D"/>
        <w:sz w:val="16"/>
      </w:rPr>
      <w:t>Ideathon participant prototype • Malegaon, Maharashtra • 08 Aug 2026</w:t>
    </w:r>
    <w:r>
      <w:rPr>
        <w:rFonts w:ascii="Calibri" w:hAnsi="Calibri"/>
        <w:b w:val="0"/>
        <w:color w:val="D6DDD8"/>
        <w:sz w:val="16"/>
      </w:rPr>
      <w:t xml:space="preserve">   |   </w:t>
    </w:r>
    <w:r>
      <w:rPr>
        <w:rFonts w:ascii="Calibri" w:hAnsi="Calibri"/>
        <w:b w:val="0"/>
        <w:color w:val="66726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F7C65"/>
        <w:sz w:val="16"/>
      </w:rPr>
      <w:t>AEROCHEM SENTINEL  /  FIELD + JUDGE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1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