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C0511A"/>
          <w:sz w:val="22"/>
          <w:szCs w:val="22"/>
        </w:rPr>
        <w:t xml:space="preserve">WEEK 2 TASK</w:t>
      </w:r>
    </w:p>
    <w:p>
      <w:pPr>
        <w:spacing w:after="120"/>
      </w:pPr>
      <w:r>
        <w:rPr>
          <w:b/>
          <w:bCs/>
          <w:color w:val="1F2937"/>
          <w:sz w:val="36"/>
          <w:szCs w:val="36"/>
        </w:rPr>
        <w:t xml:space="preserve">Data Collection, Cleaning, and Preprocessing for Logistics Analysis</w:t>
      </w:r>
    </w:p>
    <w:p>
      <w:pPr>
        <w:spacing w:after="60"/>
      </w:pPr>
      <w:r>
        <w:rPr>
          <w:i/>
          <w:iCs/>
          <w:color w:val="6B7280"/>
          <w:sz w:val="22"/>
          <w:szCs w:val="22"/>
        </w:rPr>
        <w:t xml:space="preserve">Preparing the DataCo Smart Supply Chain Dataset for QuickRoute Logistics Analytics</w:t>
      </w:r>
    </w:p>
    <w:p>
      <w:pPr>
        <w:pBdr>
          <w:bottom w:val="single" w:color="D9D9D9" w:sz="6" w:space="6"/>
        </w:pBdr>
        <w:spacing w:after="300"/>
      </w:pPr>
      <w:r>
        <w:rPr>
          <w:color w:val="6B7280"/>
          <w:sz w:val="20"/>
          <w:szCs w:val="20"/>
        </w:rPr>
        <w:t xml:space="preserve">Prepared by: Sumeet Rai  |  Data Analyst</w:t>
      </w:r>
    </w:p>
    <w:p>
      <w:pPr>
        <w:pStyle w:val="Heading1"/>
        <w:pBdr>
          <w:bottom w:val="single" w:color="C0511A" w:sz="8" w:space="4"/>
        </w:pBdr>
        <w:spacing w:after="180" w:before="380"/>
      </w:pPr>
      <w:r>
        <w:rPr>
          <w:b/>
          <w:bCs/>
          <w:color w:val="C0511A"/>
          <w:sz w:val="30"/>
          <w:szCs w:val="30"/>
        </w:rPr>
        <w:t xml:space="preserve">1. Objective</w:t>
      </w:r>
    </w:p>
    <w:p>
      <w:pPr>
        <w:spacing w:after="160" w:line="300"/>
      </w:pPr>
      <w:r>
        <w:rPr>
          <w:color w:val="1F2937"/>
          <w:sz w:val="22"/>
          <w:szCs w:val="22"/>
        </w:rPr>
        <w:t xml:space="preserve">Building on the Week 1 strategic plan for QuickRoute Logistics, this task focuses on the data collection and preparation stage of the analytics pipeline. Since QuickRoute's own hub systems are illustrative, a real, publicly available logistics dataset — the DataCo Smart Supply Chain dataset — is used as a working proxy to simulate collection and to practice the cleaning and preprocessing techniques the eventual internal pipeline will need. The task demonstrates handling of missing values, outliers, inconsistent formatting, and normalization, and documents why each technique is appropriate before the dataset moves into EDA and modeling (Week 1's regression, clustering, and classification steps).</w:t>
      </w:r>
    </w:p>
    <w:p>
      <w:pPr>
        <w:pStyle w:val="Heading1"/>
        <w:pBdr>
          <w:bottom w:val="single" w:color="C0511A" w:sz="8" w:space="4"/>
        </w:pBdr>
        <w:spacing w:after="180" w:before="380"/>
      </w:pPr>
      <w:r>
        <w:rPr>
          <w:b/>
          <w:bCs/>
          <w:color w:val="C0511A"/>
          <w:sz w:val="30"/>
          <w:szCs w:val="30"/>
        </w:rPr>
        <w:t xml:space="preserve">2. Data Collection Simulation</w:t>
      </w:r>
    </w:p>
    <w:p>
      <w:pPr>
        <w:pStyle w:val="Heading2"/>
        <w:spacing w:after="120" w:before="260"/>
      </w:pPr>
      <w:r>
        <w:rPr>
          <w:b/>
          <w:bCs/>
          <w:color w:val="1F2937"/>
          <w:sz w:val="24"/>
          <w:szCs w:val="24"/>
        </w:rPr>
        <w:t xml:space="preserve">2.1 Dataset Selected</w:t>
      </w:r>
    </w:p>
    <w:p>
      <w:pPr>
        <w:spacing w:after="160" w:line="300"/>
      </w:pPr>
      <w:r>
        <w:rPr>
          <w:color w:val="1F2937"/>
          <w:sz w:val="22"/>
          <w:szCs w:val="22"/>
        </w:rPr>
        <w:t xml:space="preserve">Dataset: DataCo Smart Supply Chain for Big Data Analysis (Kaggle, published by DataCo Global). This dataset was already identified as a candidate data source in the Week 1 literature review, which makes it a natural choice to simulate real collection: it captures order, shipping, customer, and product-level records comparable to what QuickRoute's own hub and dispatch systems would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shd w:fill="C0511A" w:val="clear"/>
            <w:tcMar>
              <w:top w:type="dxa" w:w="100"/>
              <w:left w:type="dxa" w:w="120"/>
              <w:bottom w:type="dxa" w:w="100"/>
              <w:right w:type="dxa" w:w="120"/>
            </w:tcMar>
          </w:tcPr>
          <w:p>
            <w:r>
              <w:rPr>
                <w:b/>
                <w:bCs/>
                <w:color w:val="FFFFFF"/>
                <w:sz w:val="20"/>
                <w:szCs w:val="20"/>
              </w:rPr>
              <w:t xml:space="preserve">Attribute</w:t>
            </w:r>
          </w:p>
        </w:tc>
        <w:tc>
          <w:tcPr>
            <w:shd w:fill="C0511A" w:val="clear"/>
            <w:tcMar>
              <w:top w:type="dxa" w:w="100"/>
              <w:left w:type="dxa" w:w="120"/>
              <w:bottom w:type="dxa" w:w="100"/>
              <w:right w:type="dxa" w:w="120"/>
            </w:tcMar>
          </w:tcPr>
          <w:p>
            <w:r>
              <w:rPr>
                <w:b/>
                <w:bCs/>
                <w:color w:val="FFFFFF"/>
                <w:sz w:val="20"/>
                <w:szCs w:val="20"/>
              </w:rPr>
              <w:t xml:space="preserve">Detail</w:t>
            </w:r>
          </w:p>
        </w:tc>
      </w:tr>
      <w:tr>
        <w:tc>
          <w:tcPr>
            <w:shd w:fill="FFFFFF" w:val="clear"/>
            <w:tcMar>
              <w:top w:type="dxa" w:w="100"/>
              <w:left w:type="dxa" w:w="120"/>
              <w:bottom w:type="dxa" w:w="100"/>
              <w:right w:type="dxa" w:w="120"/>
            </w:tcMar>
          </w:tcPr>
          <w:p>
            <w:r>
              <w:rPr>
                <w:color w:val="1F2937"/>
                <w:sz w:val="20"/>
                <w:szCs w:val="20"/>
              </w:rPr>
              <w:t xml:space="preserve">Source</w:t>
            </w:r>
          </w:p>
        </w:tc>
        <w:tc>
          <w:tcPr>
            <w:shd w:fill="FFFFFF" w:val="clear"/>
            <w:tcMar>
              <w:top w:type="dxa" w:w="100"/>
              <w:left w:type="dxa" w:w="120"/>
              <w:bottom w:type="dxa" w:w="100"/>
              <w:right w:type="dxa" w:w="120"/>
            </w:tcMar>
          </w:tcPr>
          <w:p>
            <w:r>
              <w:rPr>
                <w:color w:val="1F2937"/>
                <w:sz w:val="20"/>
                <w:szCs w:val="20"/>
              </w:rPr>
              <w:t xml:space="preserve">Kaggle — DataCo Smart Supply Chain for Big Data Analysis</w:t>
            </w:r>
          </w:p>
        </w:tc>
      </w:tr>
      <w:tr>
        <w:tc>
          <w:tcPr>
            <w:shd w:fill="F3EFE9" w:val="clear"/>
            <w:tcMar>
              <w:top w:type="dxa" w:w="100"/>
              <w:left w:type="dxa" w:w="120"/>
              <w:bottom w:type="dxa" w:w="100"/>
              <w:right w:type="dxa" w:w="120"/>
            </w:tcMar>
          </w:tcPr>
          <w:p>
            <w:r>
              <w:rPr>
                <w:color w:val="1F2937"/>
                <w:sz w:val="20"/>
                <w:szCs w:val="20"/>
              </w:rPr>
              <w:t xml:space="preserve">Time span</w:t>
            </w:r>
          </w:p>
        </w:tc>
        <w:tc>
          <w:tcPr>
            <w:shd w:fill="F3EFE9" w:val="clear"/>
            <w:tcMar>
              <w:top w:type="dxa" w:w="100"/>
              <w:left w:type="dxa" w:w="120"/>
              <w:bottom w:type="dxa" w:w="100"/>
              <w:right w:type="dxa" w:w="120"/>
            </w:tcMar>
          </w:tcPr>
          <w:p>
            <w:r>
              <w:rPr>
                <w:color w:val="1F2937"/>
                <w:sz w:val="20"/>
                <w:szCs w:val="20"/>
              </w:rPr>
              <w:t xml:space="preserve">2015–2018 transaction records</w:t>
            </w:r>
          </w:p>
        </w:tc>
      </w:tr>
      <w:tr>
        <w:tc>
          <w:tcPr>
            <w:shd w:fill="FFFFFF" w:val="clear"/>
            <w:tcMar>
              <w:top w:type="dxa" w:w="100"/>
              <w:left w:type="dxa" w:w="120"/>
              <w:bottom w:type="dxa" w:w="100"/>
              <w:right w:type="dxa" w:w="120"/>
            </w:tcMar>
          </w:tcPr>
          <w:p>
            <w:r>
              <w:rPr>
                <w:color w:val="1F2937"/>
                <w:sz w:val="20"/>
                <w:szCs w:val="20"/>
              </w:rPr>
              <w:t xml:space="preserve">Volume</w:t>
            </w:r>
          </w:p>
        </w:tc>
        <w:tc>
          <w:tcPr>
            <w:shd w:fill="FFFFFF" w:val="clear"/>
            <w:tcMar>
              <w:top w:type="dxa" w:w="100"/>
              <w:left w:type="dxa" w:w="120"/>
              <w:bottom w:type="dxa" w:w="100"/>
              <w:right w:type="dxa" w:w="120"/>
            </w:tcMar>
          </w:tcPr>
          <w:p>
            <w:r>
              <w:rPr>
                <w:color w:val="1F2937"/>
                <w:sz w:val="20"/>
                <w:szCs w:val="20"/>
              </w:rPr>
              <w:t xml:space="preserve">~180,519 order-line records across 53 raw columns</w:t>
            </w:r>
          </w:p>
        </w:tc>
      </w:tr>
      <w:tr>
        <w:tc>
          <w:tcPr>
            <w:shd w:fill="F3EFE9" w:val="clear"/>
            <w:tcMar>
              <w:top w:type="dxa" w:w="100"/>
              <w:left w:type="dxa" w:w="120"/>
              <w:bottom w:type="dxa" w:w="100"/>
              <w:right w:type="dxa" w:w="120"/>
            </w:tcMar>
          </w:tcPr>
          <w:p>
            <w:r>
              <w:rPr>
                <w:color w:val="1F2937"/>
                <w:sz w:val="20"/>
                <w:szCs w:val="20"/>
              </w:rPr>
              <w:t xml:space="preserve">Grain</w:t>
            </w:r>
          </w:p>
        </w:tc>
        <w:tc>
          <w:tcPr>
            <w:shd w:fill="F3EFE9" w:val="clear"/>
            <w:tcMar>
              <w:top w:type="dxa" w:w="100"/>
              <w:left w:type="dxa" w:w="120"/>
              <w:bottom w:type="dxa" w:w="100"/>
              <w:right w:type="dxa" w:w="120"/>
            </w:tcMar>
          </w:tcPr>
          <w:p>
            <w:r>
              <w:rPr>
                <w:color w:val="1F2937"/>
                <w:sz w:val="20"/>
                <w:szCs w:val="20"/>
              </w:rPr>
              <w:t xml:space="preserve">One row per order item (an order can span multiple rows)</w:t>
            </w:r>
          </w:p>
        </w:tc>
      </w:tr>
      <w:tr>
        <w:tc>
          <w:tcPr>
            <w:shd w:fill="FFFFFF" w:val="clear"/>
            <w:tcMar>
              <w:top w:type="dxa" w:w="100"/>
              <w:left w:type="dxa" w:w="120"/>
              <w:bottom w:type="dxa" w:w="100"/>
              <w:right w:type="dxa" w:w="120"/>
            </w:tcMar>
          </w:tcPr>
          <w:p>
            <w:r>
              <w:rPr>
                <w:color w:val="1F2937"/>
                <w:sz w:val="20"/>
                <w:szCs w:val="20"/>
              </w:rPr>
              <w:t xml:space="preserve">Coverage</w:t>
            </w:r>
          </w:p>
        </w:tc>
        <w:tc>
          <w:tcPr>
            <w:shd w:fill="FFFFFF" w:val="clear"/>
            <w:tcMar>
              <w:top w:type="dxa" w:w="100"/>
              <w:left w:type="dxa" w:w="120"/>
              <w:bottom w:type="dxa" w:w="100"/>
              <w:right w:type="dxa" w:w="120"/>
            </w:tcMar>
          </w:tcPr>
          <w:p>
            <w:r>
              <w:rPr>
                <w:color w:val="1F2937"/>
                <w:sz w:val="20"/>
                <w:szCs w:val="20"/>
              </w:rPr>
              <w:t xml:space="preserve">Multiple countries/regions, mapped conceptually to QuickRoute's Delhi NCR hub-and-zone structure</w:t>
            </w:r>
          </w:p>
        </w:tc>
      </w:tr>
    </w:tbl>
    <w:p>
      <w:pPr>
        <w:pStyle w:val="Heading2"/>
        <w:spacing w:after="120" w:before="260"/>
      </w:pPr>
      <w:r>
        <w:rPr>
          <w:b/>
          <w:bCs/>
          <w:color w:val="1F2937"/>
          <w:sz w:val="24"/>
          <w:szCs w:val="24"/>
        </w:rPr>
        <w:t xml:space="preserve">2.2 Key Columns Relevant to QuickRoute's KPIs</w:t>
      </w:r>
    </w:p>
    <w:p>
      <w:pPr>
        <w:spacing w:after="160" w:line="300"/>
      </w:pPr>
      <w:r>
        <w:rPr>
          <w:color w:val="1F2937"/>
          <w:sz w:val="22"/>
          <w:szCs w:val="22"/>
        </w:rPr>
        <w:t xml:space="preserve">Not all 53 raw columns are needed. The subset below is what feeds the Week 1 KPIs and models directly: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shd w:fill="C0511A" w:val="clear"/>
            <w:tcMar>
              <w:top w:type="dxa" w:w="100"/>
              <w:left w:type="dxa" w:w="120"/>
              <w:bottom w:type="dxa" w:w="100"/>
              <w:right w:type="dxa" w:w="120"/>
            </w:tcMar>
          </w:tcPr>
          <w:p>
            <w:r>
              <w:rPr>
                <w:b/>
                <w:bCs/>
                <w:color w:val="FFFFFF"/>
                <w:sz w:val="20"/>
                <w:szCs w:val="20"/>
              </w:rPr>
              <w:t xml:space="preserve">Column</w:t>
            </w:r>
          </w:p>
        </w:tc>
        <w:tc>
          <w:tcPr>
            <w:shd w:fill="C0511A" w:val="clear"/>
            <w:tcMar>
              <w:top w:type="dxa" w:w="100"/>
              <w:left w:type="dxa" w:w="120"/>
              <w:bottom w:type="dxa" w:w="100"/>
              <w:right w:type="dxa" w:w="120"/>
            </w:tcMar>
          </w:tcPr>
          <w:p>
            <w:r>
              <w:rPr>
                <w:b/>
                <w:bCs/>
                <w:color w:val="FFFFFF"/>
                <w:sz w:val="20"/>
                <w:szCs w:val="20"/>
              </w:rPr>
              <w:t xml:space="preserve">Maps to</w:t>
            </w:r>
          </w:p>
        </w:tc>
      </w:tr>
      <w:tr>
        <w:tc>
          <w:tcPr>
            <w:shd w:fill="FFFFFF" w:val="clear"/>
            <w:tcMar>
              <w:top w:type="dxa" w:w="100"/>
              <w:left w:type="dxa" w:w="120"/>
              <w:bottom w:type="dxa" w:w="100"/>
              <w:right w:type="dxa" w:w="120"/>
            </w:tcMar>
          </w:tcPr>
          <w:p>
            <w:r>
              <w:rPr>
                <w:color w:val="1F2937"/>
                <w:sz w:val="20"/>
                <w:szCs w:val="20"/>
              </w:rPr>
              <w:t xml:space="preserve">order date (DateOrders) / shipping date (DateOrders)</w:t>
            </w:r>
          </w:p>
        </w:tc>
        <w:tc>
          <w:tcPr>
            <w:shd w:fill="FFFFFF" w:val="clear"/>
            <w:tcMar>
              <w:top w:type="dxa" w:w="100"/>
              <w:left w:type="dxa" w:w="120"/>
              <w:bottom w:type="dxa" w:w="100"/>
              <w:right w:type="dxa" w:w="120"/>
            </w:tcMar>
          </w:tcPr>
          <w:p>
            <w:r>
              <w:rPr>
                <w:color w:val="1F2937"/>
                <w:sz w:val="20"/>
                <w:szCs w:val="20"/>
              </w:rPr>
              <w:t xml:space="preserve">Order Fulfillment Cycle Time</w:t>
            </w:r>
          </w:p>
        </w:tc>
      </w:tr>
      <w:tr>
        <w:tc>
          <w:tcPr>
            <w:shd w:fill="F3EFE9" w:val="clear"/>
            <w:tcMar>
              <w:top w:type="dxa" w:w="100"/>
              <w:left w:type="dxa" w:w="120"/>
              <w:bottom w:type="dxa" w:w="100"/>
              <w:right w:type="dxa" w:w="120"/>
            </w:tcMar>
          </w:tcPr>
          <w:p>
            <w:r>
              <w:rPr>
                <w:color w:val="1F2937"/>
                <w:sz w:val="20"/>
                <w:szCs w:val="20"/>
              </w:rPr>
              <w:t xml:space="preserve">Days for shipping (real) / Days for shipment (scheduled)</w:t>
            </w:r>
          </w:p>
        </w:tc>
        <w:tc>
          <w:tcPr>
            <w:shd w:fill="F3EFE9" w:val="clear"/>
            <w:tcMar>
              <w:top w:type="dxa" w:w="100"/>
              <w:left w:type="dxa" w:w="120"/>
              <w:bottom w:type="dxa" w:w="100"/>
              <w:right w:type="dxa" w:w="120"/>
            </w:tcMar>
          </w:tcPr>
          <w:p>
            <w:r>
              <w:rPr>
                <w:color w:val="1F2937"/>
                <w:sz w:val="20"/>
                <w:szCs w:val="20"/>
              </w:rPr>
              <w:t xml:space="preserve">On-Time Delivery Rate, delivery-time regression target</w:t>
            </w:r>
          </w:p>
        </w:tc>
      </w:tr>
      <w:tr>
        <w:tc>
          <w:tcPr>
            <w:shd w:fill="FFFFFF" w:val="clear"/>
            <w:tcMar>
              <w:top w:type="dxa" w:w="100"/>
              <w:left w:type="dxa" w:w="120"/>
              <w:bottom w:type="dxa" w:w="100"/>
              <w:right w:type="dxa" w:w="120"/>
            </w:tcMar>
          </w:tcPr>
          <w:p>
            <w:r>
              <w:rPr>
                <w:color w:val="1F2937"/>
                <w:sz w:val="20"/>
                <w:szCs w:val="20"/>
              </w:rPr>
              <w:t xml:space="preserve">Late_delivery_risk, Delivery Status</w:t>
            </w:r>
          </w:p>
        </w:tc>
        <w:tc>
          <w:tcPr>
            <w:shd w:fill="FFFFFF" w:val="clear"/>
            <w:tcMar>
              <w:top w:type="dxa" w:w="100"/>
              <w:left w:type="dxa" w:w="120"/>
              <w:bottom w:type="dxa" w:w="100"/>
              <w:right w:type="dxa" w:w="120"/>
            </w:tcMar>
          </w:tcPr>
          <w:p>
            <w:r>
              <w:rPr>
                <w:color w:val="1F2937"/>
                <w:sz w:val="20"/>
                <w:szCs w:val="20"/>
              </w:rPr>
              <w:t xml:space="preserve">OTDR baseline, classification-style label</w:t>
            </w:r>
          </w:p>
        </w:tc>
      </w:tr>
      <w:tr>
        <w:tc>
          <w:tcPr>
            <w:shd w:fill="F3EFE9" w:val="clear"/>
            <w:tcMar>
              <w:top w:type="dxa" w:w="100"/>
              <w:left w:type="dxa" w:w="120"/>
              <w:bottom w:type="dxa" w:w="100"/>
              <w:right w:type="dxa" w:w="120"/>
            </w:tcMar>
          </w:tcPr>
          <w:p>
            <w:r>
              <w:rPr>
                <w:color w:val="1F2937"/>
                <w:sz w:val="20"/>
                <w:szCs w:val="20"/>
              </w:rPr>
              <w:t xml:space="preserve">Order Item Quantity, Order Item Product Price</w:t>
            </w:r>
          </w:p>
        </w:tc>
        <w:tc>
          <w:tcPr>
            <w:shd w:fill="F3EFE9" w:val="clear"/>
            <w:tcMar>
              <w:top w:type="dxa" w:w="100"/>
              <w:left w:type="dxa" w:w="120"/>
              <w:bottom w:type="dxa" w:w="100"/>
              <w:right w:type="dxa" w:w="120"/>
            </w:tcMar>
          </w:tcPr>
          <w:p>
            <w:r>
              <w:rPr>
                <w:color w:val="1F2937"/>
                <w:sz w:val="20"/>
                <w:szCs w:val="20"/>
              </w:rPr>
              <w:t xml:space="preserve">Inventory Turnover Ratio, Average Cost per Delivery</w:t>
            </w:r>
          </w:p>
        </w:tc>
      </w:tr>
      <w:tr>
        <w:tc>
          <w:tcPr>
            <w:shd w:fill="FFFFFF" w:val="clear"/>
            <w:tcMar>
              <w:top w:type="dxa" w:w="100"/>
              <w:left w:type="dxa" w:w="120"/>
              <w:bottom w:type="dxa" w:w="100"/>
              <w:right w:type="dxa" w:w="120"/>
            </w:tcMar>
          </w:tcPr>
          <w:p>
            <w:r>
              <w:rPr>
                <w:color w:val="1F2937"/>
                <w:sz w:val="20"/>
                <w:szCs w:val="20"/>
              </w:rPr>
              <w:t xml:space="preserve">Customer City/State/Country, Latitude, Longitude</w:t>
            </w:r>
          </w:p>
        </w:tc>
        <w:tc>
          <w:tcPr>
            <w:shd w:fill="FFFFFF" w:val="clear"/>
            <w:tcMar>
              <w:top w:type="dxa" w:w="100"/>
              <w:left w:type="dxa" w:w="120"/>
              <w:bottom w:type="dxa" w:w="100"/>
              <w:right w:type="dxa" w:w="120"/>
            </w:tcMar>
          </w:tcPr>
          <w:p>
            <w:r>
              <w:rPr>
                <w:color w:val="1F2937"/>
                <w:sz w:val="20"/>
                <w:szCs w:val="20"/>
              </w:rPr>
              <w:t xml:space="preserve">Delivery-zone clustering (K-Means)</w:t>
            </w:r>
          </w:p>
        </w:tc>
      </w:tr>
      <w:tr>
        <w:tc>
          <w:tcPr>
            <w:shd w:fill="F3EFE9" w:val="clear"/>
            <w:tcMar>
              <w:top w:type="dxa" w:w="100"/>
              <w:left w:type="dxa" w:w="120"/>
              <w:bottom w:type="dxa" w:w="100"/>
              <w:right w:type="dxa" w:w="120"/>
            </w:tcMar>
          </w:tcPr>
          <w:p>
            <w:r>
              <w:rPr>
                <w:color w:val="1F2937"/>
                <w:sz w:val="20"/>
                <w:szCs w:val="20"/>
              </w:rPr>
              <w:t xml:space="preserve">Order Region, Order Country, Market</w:t>
            </w:r>
          </w:p>
        </w:tc>
        <w:tc>
          <w:tcPr>
            <w:shd w:fill="F3EFE9" w:val="clear"/>
            <w:tcMar>
              <w:top w:type="dxa" w:w="100"/>
              <w:left w:type="dxa" w:w="120"/>
              <w:bottom w:type="dxa" w:w="100"/>
              <w:right w:type="dxa" w:w="120"/>
            </w:tcMar>
          </w:tcPr>
          <w:p>
            <w:r>
              <w:rPr>
                <w:color w:val="1F2937"/>
                <w:sz w:val="20"/>
                <w:szCs w:val="20"/>
              </w:rPr>
              <w:t xml:space="preserve">Hub/region grouping, analogous to QuickRoute's hub_id</w:t>
            </w:r>
          </w:p>
        </w:tc>
      </w:tr>
      <w:tr>
        <w:tc>
          <w:tcPr>
            <w:shd w:fill="FFFFFF" w:val="clear"/>
            <w:tcMar>
              <w:top w:type="dxa" w:w="100"/>
              <w:left w:type="dxa" w:w="120"/>
              <w:bottom w:type="dxa" w:w="100"/>
              <w:right w:type="dxa" w:w="120"/>
            </w:tcMar>
          </w:tcPr>
          <w:p>
            <w:r>
              <w:rPr>
                <w:color w:val="1F2937"/>
                <w:sz w:val="20"/>
                <w:szCs w:val="20"/>
              </w:rPr>
              <w:t xml:space="preserve">Category Name, Product Name</w:t>
            </w:r>
          </w:p>
        </w:tc>
        <w:tc>
          <w:tcPr>
            <w:shd w:fill="FFFFFF" w:val="clear"/>
            <w:tcMar>
              <w:top w:type="dxa" w:w="100"/>
              <w:left w:type="dxa" w:w="120"/>
              <w:bottom w:type="dxa" w:w="100"/>
              <w:right w:type="dxa" w:w="120"/>
            </w:tcMar>
          </w:tcPr>
          <w:p>
            <w:r>
              <w:rPr>
                <w:color w:val="1F2937"/>
                <w:sz w:val="20"/>
                <w:szCs w:val="20"/>
              </w:rPr>
              <w:t xml:space="preserve">SKU-level demand profile, stockout-risk features</w:t>
            </w:r>
          </w:p>
        </w:tc>
      </w:tr>
    </w:tbl>
    <w:p>
      <w:pPr>
        <w:pStyle w:val="Heading2"/>
        <w:spacing w:after="120" w:before="260"/>
      </w:pPr>
      <w:r>
        <w:rPr>
          <w:b/>
          <w:bCs/>
          <w:color w:val="1F2937"/>
          <w:sz w:val="24"/>
          <w:szCs w:val="24"/>
        </w:rPr>
        <w:t xml:space="preserve">2.3 Simulated Collection Process</w:t>
      </w:r>
    </w:p>
    <w:p>
      <w:pPr>
        <w:spacing w:after="160" w:line="300"/>
      </w:pPr>
      <w:r>
        <w:rPr>
          <w:color w:val="1F2937"/>
          <w:sz w:val="22"/>
          <w:szCs w:val="22"/>
        </w:rPr>
        <w:t xml:space="preserve">In a live QuickRoute deployment, this stage would pull directly from the order-management system (OMS), the warehouse management system (WMS), and GPS/telematics feeds via scheduled exports or API pulls. For this simulation, collection is represented as a single bulk CSV ingestion — mirroring how the DataCo dataset itself is distributed — followed by a load into a pandas DataFrame for inspection.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200"/>
              <w:left w:type="dxa" w:w="220"/>
              <w:bottom w:type="dxa" w:w="200"/>
              <w:right w:type="dxa" w:w="220"/>
            </w:tcMar>
          </w:tcPr>
          <w:p>
            <w:pPr>
              <w:spacing w:after="20"/>
            </w:pPr>
            <w:r>
              <w:rPr>
                <w:rFonts w:ascii="Consolas" w:cs="Consolas" w:eastAsia="Consolas" w:hAnsi="Consolas"/>
                <w:color w:val="D4D4D4"/>
                <w:sz w:val="18"/>
                <w:szCs w:val="18"/>
              </w:rPr>
              <w:t xml:space="preserve">import pandas as pd</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Simulated collection: bulk export from OMS/WMS, loaded for inspection</w:t>
            </w:r>
          </w:p>
          <w:p>
            <w:pPr>
              <w:spacing w:after="20"/>
            </w:pPr>
            <w:r>
              <w:rPr>
                <w:rFonts w:ascii="Consolas" w:cs="Consolas" w:eastAsia="Consolas" w:hAnsi="Consolas"/>
                <w:color w:val="D4D4D4"/>
                <w:sz w:val="18"/>
                <w:szCs w:val="18"/>
              </w:rPr>
              <w:t xml:space="preserve">raw = pd.read_csv(</w:t>
            </w:r>
          </w:p>
          <w:p>
            <w:pPr>
              <w:spacing w:after="20"/>
            </w:pPr>
            <w:r>
              <w:rPr>
                <w:rFonts w:ascii="Consolas" w:cs="Consolas" w:eastAsia="Consolas" w:hAnsi="Consolas"/>
                <w:color w:val="D4D4D4"/>
                <w:sz w:val="18"/>
                <w:szCs w:val="18"/>
              </w:rPr>
              <w:t xml:space="preserve">    'DataCoSupplyChainDataset.csv',</w:t>
            </w:r>
          </w:p>
          <w:p>
            <w:pPr>
              <w:spacing w:after="20"/>
            </w:pPr>
            <w:r>
              <w:rPr>
                <w:rFonts w:ascii="Consolas" w:cs="Consolas" w:eastAsia="Consolas" w:hAnsi="Consolas"/>
                <w:color w:val="D4D4D4"/>
                <w:sz w:val="18"/>
                <w:szCs w:val="18"/>
              </w:rPr>
              <w:t xml:space="preserve">    encoding='latin-1'   # source file uses Latin-1, not UTF-8</w:t>
            </w:r>
          </w:p>
          <w:p>
            <w:pPr>
              <w:spacing w:after="20"/>
            </w:pPr>
            <w:r>
              <w:rPr>
                <w:rFonts w:ascii="Consolas" w:cs="Consolas" w:eastAsia="Consolas" w:hAnsi="Consolas"/>
                <w:color w:val="D4D4D4"/>
                <w:sz w:val="18"/>
                <w:szCs w:val="18"/>
              </w:rPr>
              <w:t xml:space="preserv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print(raw.shape)          # (180519, 53)</w:t>
            </w:r>
          </w:p>
          <w:p>
            <w:pPr>
              <w:spacing w:after="20"/>
            </w:pPr>
            <w:r>
              <w:rPr>
                <w:rFonts w:ascii="Consolas" w:cs="Consolas" w:eastAsia="Consolas" w:hAnsi="Consolas"/>
                <w:color w:val="D4D4D4"/>
                <w:sz w:val="18"/>
                <w:szCs w:val="18"/>
              </w:rPr>
              <w:t xml:space="preserve">print(raw.dtypes.value_counts())</w:t>
            </w:r>
          </w:p>
          <w:p>
            <w:pPr>
              <w:spacing w:after="20"/>
            </w:pPr>
            <w:r>
              <w:rPr>
                <w:rFonts w:ascii="Consolas" w:cs="Consolas" w:eastAsia="Consolas" w:hAnsi="Consolas"/>
                <w:color w:val="D4D4D4"/>
                <w:sz w:val="18"/>
                <w:szCs w:val="18"/>
              </w:rPr>
              <w:t xml:space="preserve">print(raw.isna().sum().sort_values(ascending=False).head(10))</w:t>
            </w:r>
          </w:p>
        </w:tc>
      </w:tr>
    </w:tbl>
    <w:p>
      <w:pPr>
        <w:pStyle w:val="Heading1"/>
        <w:pBdr>
          <w:bottom w:val="single" w:color="C0511A" w:sz="8" w:space="4"/>
        </w:pBdr>
        <w:spacing w:after="180" w:before="380"/>
      </w:pPr>
      <w:r>
        <w:rPr>
          <w:b/>
          <w:bCs/>
          <w:color w:val="C0511A"/>
          <w:sz w:val="30"/>
          <w:szCs w:val="30"/>
        </w:rPr>
        <w:t xml:space="preserve">3. Data Cleaning</w:t>
      </w:r>
    </w:p>
    <w:p>
      <w:pPr>
        <w:pStyle w:val="Heading2"/>
        <w:spacing w:after="120" w:before="260"/>
      </w:pPr>
      <w:r>
        <w:rPr>
          <w:b/>
          <w:bCs/>
          <w:color w:val="1F2937"/>
          <w:sz w:val="24"/>
          <w:szCs w:val="24"/>
        </w:rPr>
        <w:t xml:space="preserve">3.1 Data Quality Issues Identified</w:t>
      </w:r>
    </w:p>
    <w:p>
      <w:pPr>
        <w:spacing w:after="160" w:line="300"/>
      </w:pPr>
      <w:r>
        <w:rPr>
          <w:color w:val="1F2937"/>
          <w:sz w:val="22"/>
          <w:szCs w:val="22"/>
        </w:rPr>
        <w:t xml:space="preserve">An initial inspection (`.info()`, `.isna().sum()`, `.describe()`) surfaces five recurring issue types, consistent with what a real hub-level export would also contain: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550"/>
        <w:gridCol w:w="3400"/>
      </w:tblGrid>
      <w:tr>
        <w:trPr>
          <w:tblHeader/>
        </w:trPr>
        <w:tc>
          <w:tcPr>
            <w:shd w:fill="C0511A" w:val="clear"/>
            <w:tcMar>
              <w:top w:type="dxa" w:w="100"/>
              <w:left w:type="dxa" w:w="120"/>
              <w:bottom w:type="dxa" w:w="100"/>
              <w:right w:type="dxa" w:w="120"/>
            </w:tcMar>
          </w:tcPr>
          <w:p>
            <w:r>
              <w:rPr>
                <w:b/>
                <w:bCs/>
                <w:color w:val="FFFFFF"/>
                <w:sz w:val="20"/>
                <w:szCs w:val="20"/>
              </w:rPr>
              <w:t xml:space="preserve">Issue</w:t>
            </w:r>
          </w:p>
        </w:tc>
        <w:tc>
          <w:tcPr>
            <w:shd w:fill="C0511A" w:val="clear"/>
            <w:tcMar>
              <w:top w:type="dxa" w:w="100"/>
              <w:left w:type="dxa" w:w="120"/>
              <w:bottom w:type="dxa" w:w="100"/>
              <w:right w:type="dxa" w:w="120"/>
            </w:tcMar>
          </w:tcPr>
          <w:p>
            <w:r>
              <w:rPr>
                <w:b/>
                <w:bCs/>
                <w:color w:val="FFFFFF"/>
                <w:sz w:val="20"/>
                <w:szCs w:val="20"/>
              </w:rPr>
              <w:t xml:space="preserve">Where It Appears</w:t>
            </w:r>
          </w:p>
        </w:tc>
        <w:tc>
          <w:tcPr>
            <w:shd w:fill="C0511A" w:val="clear"/>
            <w:tcMar>
              <w:top w:type="dxa" w:w="100"/>
              <w:left w:type="dxa" w:w="120"/>
              <w:bottom w:type="dxa" w:w="100"/>
              <w:right w:type="dxa" w:w="120"/>
            </w:tcMar>
          </w:tcPr>
          <w:p>
            <w:r>
              <w:rPr>
                <w:b/>
                <w:bCs/>
                <w:color w:val="FFFFFF"/>
                <w:sz w:val="20"/>
                <w:szCs w:val="20"/>
              </w:rPr>
              <w:t xml:space="preserve">Resolution</w:t>
            </w:r>
          </w:p>
        </w:tc>
      </w:tr>
      <w:tr>
        <w:tc>
          <w:tcPr>
            <w:shd w:fill="FFFFFF" w:val="clear"/>
            <w:tcMar>
              <w:top w:type="dxa" w:w="100"/>
              <w:left w:type="dxa" w:w="120"/>
              <w:bottom w:type="dxa" w:w="100"/>
              <w:right w:type="dxa" w:w="120"/>
            </w:tcMar>
          </w:tcPr>
          <w:p>
            <w:r>
              <w:rPr>
                <w:color w:val="1F2937"/>
                <w:sz w:val="20"/>
                <w:szCs w:val="20"/>
              </w:rPr>
              <w:t xml:space="preserve">Missing values</w:t>
            </w:r>
          </w:p>
        </w:tc>
        <w:tc>
          <w:tcPr>
            <w:shd w:fill="FFFFFF" w:val="clear"/>
            <w:tcMar>
              <w:top w:type="dxa" w:w="100"/>
              <w:left w:type="dxa" w:w="120"/>
              <w:bottom w:type="dxa" w:w="100"/>
              <w:right w:type="dxa" w:w="120"/>
            </w:tcMar>
          </w:tcPr>
          <w:p>
            <w:r>
              <w:rPr>
                <w:color w:val="1F2937"/>
                <w:sz w:val="20"/>
                <w:szCs w:val="20"/>
              </w:rPr>
              <w:t xml:space="preserve">Customer Zipcode, Order Zipcode, Product Description (near-empty)</w:t>
            </w:r>
          </w:p>
        </w:tc>
        <w:tc>
          <w:tcPr>
            <w:shd w:fill="FFFFFF" w:val="clear"/>
            <w:tcMar>
              <w:top w:type="dxa" w:w="100"/>
              <w:left w:type="dxa" w:w="120"/>
              <w:bottom w:type="dxa" w:w="100"/>
              <w:right w:type="dxa" w:w="120"/>
            </w:tcMar>
          </w:tcPr>
          <w:p>
            <w:r>
              <w:rPr>
                <w:color w:val="1F2937"/>
                <w:sz w:val="20"/>
                <w:szCs w:val="20"/>
              </w:rPr>
              <w:t xml:space="preserve">Impute Zipcode from City/State; drop columns that are &gt;90% empty</w:t>
            </w:r>
          </w:p>
        </w:tc>
      </w:tr>
      <w:tr>
        <w:tc>
          <w:tcPr>
            <w:shd w:fill="F3EFE9" w:val="clear"/>
            <w:tcMar>
              <w:top w:type="dxa" w:w="100"/>
              <w:left w:type="dxa" w:w="120"/>
              <w:bottom w:type="dxa" w:w="100"/>
              <w:right w:type="dxa" w:w="120"/>
            </w:tcMar>
          </w:tcPr>
          <w:p>
            <w:r>
              <w:rPr>
                <w:color w:val="1F2937"/>
                <w:sz w:val="20"/>
                <w:szCs w:val="20"/>
              </w:rPr>
              <w:t xml:space="preserve">Duplicate records</w:t>
            </w:r>
          </w:p>
        </w:tc>
        <w:tc>
          <w:tcPr>
            <w:shd w:fill="F3EFE9" w:val="clear"/>
            <w:tcMar>
              <w:top w:type="dxa" w:w="100"/>
              <w:left w:type="dxa" w:w="120"/>
              <w:bottom w:type="dxa" w:w="100"/>
              <w:right w:type="dxa" w:w="120"/>
            </w:tcMar>
          </w:tcPr>
          <w:p>
            <w:r>
              <w:rPr>
                <w:color w:val="1F2937"/>
                <w:sz w:val="20"/>
                <w:szCs w:val="20"/>
              </w:rPr>
              <w:t xml:space="preserve">Repeated order-item rows from export re-runs</w:t>
            </w:r>
          </w:p>
        </w:tc>
        <w:tc>
          <w:tcPr>
            <w:shd w:fill="F3EFE9" w:val="clear"/>
            <w:tcMar>
              <w:top w:type="dxa" w:w="100"/>
              <w:left w:type="dxa" w:w="120"/>
              <w:bottom w:type="dxa" w:w="100"/>
              <w:right w:type="dxa" w:w="120"/>
            </w:tcMar>
          </w:tcPr>
          <w:p>
            <w:r>
              <w:rPr>
                <w:color w:val="1F2937"/>
                <w:sz w:val="20"/>
                <w:szCs w:val="20"/>
              </w:rPr>
              <w:t xml:space="preserve">Drop exact duplicates on Order Id + Product Card Id</w:t>
            </w:r>
          </w:p>
        </w:tc>
      </w:tr>
      <w:tr>
        <w:tc>
          <w:tcPr>
            <w:shd w:fill="FFFFFF" w:val="clear"/>
            <w:tcMar>
              <w:top w:type="dxa" w:w="100"/>
              <w:left w:type="dxa" w:w="120"/>
              <w:bottom w:type="dxa" w:w="100"/>
              <w:right w:type="dxa" w:w="120"/>
            </w:tcMar>
          </w:tcPr>
          <w:p>
            <w:r>
              <w:rPr>
                <w:color w:val="1F2937"/>
                <w:sz w:val="20"/>
                <w:szCs w:val="20"/>
              </w:rPr>
              <w:t xml:space="preserve">Outliers</w:t>
            </w:r>
          </w:p>
        </w:tc>
        <w:tc>
          <w:tcPr>
            <w:shd w:fill="FFFFFF" w:val="clear"/>
            <w:tcMar>
              <w:top w:type="dxa" w:w="100"/>
              <w:left w:type="dxa" w:w="120"/>
              <w:bottom w:type="dxa" w:w="100"/>
              <w:right w:type="dxa" w:w="120"/>
            </w:tcMar>
          </w:tcPr>
          <w:p>
            <w:r>
              <w:rPr>
                <w:color w:val="1F2937"/>
                <w:sz w:val="20"/>
                <w:szCs w:val="20"/>
              </w:rPr>
              <w:t xml:space="preserve">Days for shipping (real), Order Item Quantity</w:t>
            </w:r>
          </w:p>
        </w:tc>
        <w:tc>
          <w:tcPr>
            <w:shd w:fill="FFFFFF" w:val="clear"/>
            <w:tcMar>
              <w:top w:type="dxa" w:w="100"/>
              <w:left w:type="dxa" w:w="120"/>
              <w:bottom w:type="dxa" w:w="100"/>
              <w:right w:type="dxa" w:w="120"/>
            </w:tcMar>
          </w:tcPr>
          <w:p>
            <w:r>
              <w:rPr>
                <w:color w:val="1F2937"/>
                <w:sz w:val="20"/>
                <w:szCs w:val="20"/>
              </w:rPr>
              <w:t xml:space="preserve">IQR-based capping; flag rather than delete, since extreme shipping times are operationally meaningful</w:t>
            </w:r>
          </w:p>
        </w:tc>
      </w:tr>
      <w:tr>
        <w:tc>
          <w:tcPr>
            <w:shd w:fill="F3EFE9" w:val="clear"/>
            <w:tcMar>
              <w:top w:type="dxa" w:w="100"/>
              <w:left w:type="dxa" w:w="120"/>
              <w:bottom w:type="dxa" w:w="100"/>
              <w:right w:type="dxa" w:w="120"/>
            </w:tcMar>
          </w:tcPr>
          <w:p>
            <w:r>
              <w:rPr>
                <w:color w:val="1F2937"/>
                <w:sz w:val="20"/>
                <w:szCs w:val="20"/>
              </w:rPr>
              <w:t xml:space="preserve">Inconsistent categorical labels</w:t>
            </w:r>
          </w:p>
        </w:tc>
        <w:tc>
          <w:tcPr>
            <w:shd w:fill="F3EFE9" w:val="clear"/>
            <w:tcMar>
              <w:top w:type="dxa" w:w="100"/>
              <w:left w:type="dxa" w:w="120"/>
              <w:bottom w:type="dxa" w:w="100"/>
              <w:right w:type="dxa" w:w="120"/>
            </w:tcMar>
          </w:tcPr>
          <w:p>
            <w:r>
              <w:rPr>
                <w:color w:val="1F2937"/>
                <w:sz w:val="20"/>
                <w:szCs w:val="20"/>
              </w:rPr>
              <w:t xml:space="preserve">Customer City names in mixed English/Spanish spellings</w:t>
            </w:r>
          </w:p>
        </w:tc>
        <w:tc>
          <w:tcPr>
            <w:shd w:fill="F3EFE9" w:val="clear"/>
            <w:tcMar>
              <w:top w:type="dxa" w:w="100"/>
              <w:left w:type="dxa" w:w="120"/>
              <w:bottom w:type="dxa" w:w="100"/>
              <w:right w:type="dxa" w:w="120"/>
            </w:tcMar>
          </w:tcPr>
          <w:p>
            <w:r>
              <w:rPr>
                <w:color w:val="1F2937"/>
                <w:sz w:val="20"/>
                <w:szCs w:val="20"/>
              </w:rPr>
              <w:t xml:space="preserve">Standardize via mapping table / string normalization</w:t>
            </w:r>
          </w:p>
        </w:tc>
      </w:tr>
      <w:tr>
        <w:tc>
          <w:tcPr>
            <w:shd w:fill="FFFFFF" w:val="clear"/>
            <w:tcMar>
              <w:top w:type="dxa" w:w="100"/>
              <w:left w:type="dxa" w:w="120"/>
              <w:bottom w:type="dxa" w:w="100"/>
              <w:right w:type="dxa" w:w="120"/>
            </w:tcMar>
          </w:tcPr>
          <w:p>
            <w:r>
              <w:rPr>
                <w:color w:val="1F2937"/>
                <w:sz w:val="20"/>
                <w:szCs w:val="20"/>
              </w:rPr>
              <w:t xml:space="preserve">Inconsistent formats</w:t>
            </w:r>
          </w:p>
        </w:tc>
        <w:tc>
          <w:tcPr>
            <w:shd w:fill="FFFFFF" w:val="clear"/>
            <w:tcMar>
              <w:top w:type="dxa" w:w="100"/>
              <w:left w:type="dxa" w:w="120"/>
              <w:bottom w:type="dxa" w:w="100"/>
              <w:right w:type="dxa" w:w="120"/>
            </w:tcMar>
          </w:tcPr>
          <w:p>
            <w:r>
              <w:rPr>
                <w:color w:val="1F2937"/>
                <w:sz w:val="20"/>
                <w:szCs w:val="20"/>
              </w:rPr>
              <w:t xml:space="preserve">Order date / Shipping date as free-text strings</w:t>
            </w:r>
          </w:p>
        </w:tc>
        <w:tc>
          <w:tcPr>
            <w:shd w:fill="FFFFFF" w:val="clear"/>
            <w:tcMar>
              <w:top w:type="dxa" w:w="100"/>
              <w:left w:type="dxa" w:w="120"/>
              <w:bottom w:type="dxa" w:w="100"/>
              <w:right w:type="dxa" w:w="120"/>
            </w:tcMar>
          </w:tcPr>
          <w:p>
            <w:r>
              <w:rPr>
                <w:color w:val="1F2937"/>
                <w:sz w:val="20"/>
                <w:szCs w:val="20"/>
              </w:rPr>
              <w:t xml:space="preserve">Parse to pandas datetime with explicit format</w:t>
            </w:r>
          </w:p>
        </w:tc>
      </w:tr>
    </w:tbl>
    <w:p>
      <w:pPr>
        <w:pStyle w:val="Heading2"/>
        <w:spacing w:after="120" w:before="260"/>
      </w:pPr>
      <w:r>
        <w:rPr>
          <w:b/>
          <w:bCs/>
          <w:color w:val="1F2937"/>
          <w:sz w:val="24"/>
          <w:szCs w:val="24"/>
        </w:rPr>
        <w:t xml:space="preserve">3.2 Handling Missing Values</w:t>
      </w:r>
    </w:p>
    <w:p>
      <w:pPr>
        <w:spacing w:after="160" w:line="300"/>
      </w:pPr>
      <w:r>
        <w:rPr>
          <w:color w:val="1F2937"/>
          <w:sz w:val="22"/>
          <w:szCs w:val="22"/>
        </w:rPr>
        <w:t xml:space="preserve">Missing-value strategy depends on the column's role: identifiers and near-empty columns are dropped, while operationally useful fields are imputed rather than discarded, since dropping full rows would bias delivery-time and demand statistics.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200"/>
              <w:left w:type="dxa" w:w="220"/>
              <w:bottom w:type="dxa" w:w="200"/>
              <w:right w:type="dxa" w:w="220"/>
            </w:tcMar>
          </w:tcPr>
          <w:p>
            <w:pPr>
              <w:spacing w:after="20"/>
            </w:pPr>
            <w:r>
              <w:rPr>
                <w:rFonts w:ascii="Consolas" w:cs="Consolas" w:eastAsia="Consolas" w:hAnsi="Consolas"/>
                <w:color w:val="D4D4D4"/>
                <w:sz w:val="18"/>
                <w:szCs w:val="18"/>
              </w:rPr>
              <w:t xml:space="preserve"># Drop columns that are almost entirely empty (not useful for modeling)</w:t>
            </w:r>
          </w:p>
          <w:p>
            <w:pPr>
              <w:spacing w:after="20"/>
            </w:pPr>
            <w:r>
              <w:rPr>
                <w:rFonts w:ascii="Consolas" w:cs="Consolas" w:eastAsia="Consolas" w:hAnsi="Consolas"/>
                <w:color w:val="D4D4D4"/>
                <w:sz w:val="18"/>
                <w:szCs w:val="18"/>
              </w:rPr>
              <w:t xml:space="preserve">empty_share = raw.isna().mean()</w:t>
            </w:r>
          </w:p>
          <w:p>
            <w:pPr>
              <w:spacing w:after="20"/>
            </w:pPr>
            <w:r>
              <w:rPr>
                <w:rFonts w:ascii="Consolas" w:cs="Consolas" w:eastAsia="Consolas" w:hAnsi="Consolas"/>
                <w:color w:val="D4D4D4"/>
                <w:sz w:val="18"/>
                <w:szCs w:val="18"/>
              </w:rPr>
              <w:t xml:space="preserve">cols_to_drop = empty_share[empty_share &gt; 0.90].index</w:t>
            </w:r>
          </w:p>
          <w:p>
            <w:pPr>
              <w:spacing w:after="20"/>
            </w:pPr>
            <w:r>
              <w:rPr>
                <w:rFonts w:ascii="Consolas" w:cs="Consolas" w:eastAsia="Consolas" w:hAnsi="Consolas"/>
                <w:color w:val="D4D4D4"/>
                <w:sz w:val="18"/>
                <w:szCs w:val="18"/>
              </w:rPr>
              <w:t xml:space="preserve">df = raw.drop(columns=cols_to_drop)</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Impute Customer Zipcode using the most common zipcode for that city</w:t>
            </w:r>
          </w:p>
          <w:p>
            <w:pPr>
              <w:spacing w:after="20"/>
            </w:pPr>
            <w:r>
              <w:rPr>
                <w:rFonts w:ascii="Consolas" w:cs="Consolas" w:eastAsia="Consolas" w:hAnsi="Consolas"/>
                <w:color w:val="D4D4D4"/>
                <w:sz w:val="18"/>
                <w:szCs w:val="18"/>
              </w:rPr>
              <w:t xml:space="preserve">df['Customer Zipcode'] = df.groupby('Customer City')['Customer Zipcode']\</w:t>
            </w:r>
          </w:p>
          <w:p>
            <w:pPr>
              <w:spacing w:after="20"/>
            </w:pPr>
            <w:r>
              <w:rPr>
                <w:rFonts w:ascii="Consolas" w:cs="Consolas" w:eastAsia="Consolas" w:hAnsi="Consolas"/>
                <w:color w:val="D4D4D4"/>
                <w:sz w:val="18"/>
                <w:szCs w:val="18"/>
              </w:rPr>
              <w:t xml:space="preserve">    .transform(lambda s: s.fillna(s.mode().iloc[0] if not s.mode().empty else s))</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For remaining non-critical missing values, flag rather than silently fill</w:t>
            </w:r>
          </w:p>
          <w:p>
            <w:pPr>
              <w:spacing w:after="20"/>
            </w:pPr>
            <w:r>
              <w:rPr>
                <w:rFonts w:ascii="Consolas" w:cs="Consolas" w:eastAsia="Consolas" w:hAnsi="Consolas"/>
                <w:color w:val="D4D4D4"/>
                <w:sz w:val="18"/>
                <w:szCs w:val="18"/>
              </w:rPr>
              <w:t xml:space="preserve">df['zipcode_was_missing'] = df['Customer Zipcode'].isna()</w:t>
            </w:r>
          </w:p>
        </w:tc>
      </w:tr>
    </w:tbl>
    <w:p>
      <w:pPr>
        <w:pStyle w:val="Heading2"/>
        <w:spacing w:after="120" w:before="260"/>
      </w:pPr>
      <w:r>
        <w:rPr>
          <w:b/>
          <w:bCs/>
          <w:color w:val="1F2937"/>
          <w:sz w:val="24"/>
          <w:szCs w:val="24"/>
        </w:rPr>
        <w:t xml:space="preserve">3.3 Removing Duplicates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200"/>
              <w:left w:type="dxa" w:w="220"/>
              <w:bottom w:type="dxa" w:w="200"/>
              <w:right w:type="dxa" w:w="220"/>
            </w:tcMar>
          </w:tcPr>
          <w:p>
            <w:pPr>
              <w:spacing w:after="20"/>
            </w:pPr>
            <w:r>
              <w:rPr>
                <w:rFonts w:ascii="Consolas" w:cs="Consolas" w:eastAsia="Consolas" w:hAnsi="Consolas"/>
                <w:color w:val="D4D4D4"/>
                <w:sz w:val="18"/>
                <w:szCs w:val="18"/>
              </w:rPr>
              <w:t xml:space="preserve">before = len(df)</w:t>
            </w:r>
          </w:p>
          <w:p>
            <w:pPr>
              <w:spacing w:after="20"/>
            </w:pPr>
            <w:r>
              <w:rPr>
                <w:rFonts w:ascii="Consolas" w:cs="Consolas" w:eastAsia="Consolas" w:hAnsi="Consolas"/>
                <w:color w:val="D4D4D4"/>
                <w:sz w:val="18"/>
                <w:szCs w:val="18"/>
              </w:rPr>
              <w:t xml:space="preserve">df = df.drop_duplicates(subset=['Order Id', 'Product Card Id'])</w:t>
            </w:r>
          </w:p>
          <w:p>
            <w:pPr>
              <w:spacing w:after="20"/>
            </w:pPr>
            <w:r>
              <w:rPr>
                <w:rFonts w:ascii="Consolas" w:cs="Consolas" w:eastAsia="Consolas" w:hAnsi="Consolas"/>
                <w:color w:val="D4D4D4"/>
                <w:sz w:val="18"/>
                <w:szCs w:val="18"/>
              </w:rPr>
              <w:t xml:space="preserve">print(f'Removed {before - len(df)} duplicate order-item rows')</w:t>
            </w:r>
          </w:p>
        </w:tc>
      </w:tr>
    </w:tbl>
    <w:p>
      <w:pPr>
        <w:pStyle w:val="Heading2"/>
        <w:spacing w:after="120" w:before="260"/>
      </w:pPr>
      <w:r>
        <w:rPr>
          <w:b/>
          <w:bCs/>
          <w:color w:val="1F2937"/>
          <w:sz w:val="24"/>
          <w:szCs w:val="24"/>
        </w:rPr>
        <w:t xml:space="preserve">3.4 Outlier Detection</w:t>
      </w:r>
    </w:p>
    <w:p>
      <w:pPr>
        <w:spacing w:after="160" w:line="300"/>
      </w:pPr>
      <w:r>
        <w:rPr>
          <w:color w:val="1F2937"/>
          <w:sz w:val="22"/>
          <w:szCs w:val="22"/>
        </w:rPr>
        <w:t xml:space="preserve">Shipping-time and order-quantity outliers are detected using the IQR method. Rather than deleting them outright, extreme values are capped (winsorized) because unusually long shipping times are often a genuine operational signal — exactly the kind of case QuickRoute's OTDR monitoring needs to catch, not discard.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200"/>
              <w:left w:type="dxa" w:w="220"/>
              <w:bottom w:type="dxa" w:w="200"/>
              <w:right w:type="dxa" w:w="220"/>
            </w:tcMar>
          </w:tcPr>
          <w:p>
            <w:pPr>
              <w:spacing w:after="20"/>
            </w:pPr>
            <w:r>
              <w:rPr>
                <w:rFonts w:ascii="Consolas" w:cs="Consolas" w:eastAsia="Consolas" w:hAnsi="Consolas"/>
                <w:color w:val="D4D4D4"/>
                <w:sz w:val="18"/>
                <w:szCs w:val="18"/>
              </w:rPr>
              <w:t xml:space="preserve">def cap_outliers_iqr(series, k=1.5):</w:t>
            </w:r>
          </w:p>
          <w:p>
            <w:pPr>
              <w:spacing w:after="20"/>
            </w:pPr>
            <w:r>
              <w:rPr>
                <w:rFonts w:ascii="Consolas" w:cs="Consolas" w:eastAsia="Consolas" w:hAnsi="Consolas"/>
                <w:color w:val="D4D4D4"/>
                <w:sz w:val="18"/>
                <w:szCs w:val="18"/>
              </w:rPr>
              <w:t xml:space="preserve">    q1, q3 = series.quantile(0.25), series.quantile(0.75)</w:t>
            </w:r>
          </w:p>
          <w:p>
            <w:pPr>
              <w:spacing w:after="20"/>
            </w:pPr>
            <w:r>
              <w:rPr>
                <w:rFonts w:ascii="Consolas" w:cs="Consolas" w:eastAsia="Consolas" w:hAnsi="Consolas"/>
                <w:color w:val="D4D4D4"/>
                <w:sz w:val="18"/>
                <w:szCs w:val="18"/>
              </w:rPr>
              <w:t xml:space="preserve">    iqr = q3 - q1</w:t>
            </w:r>
          </w:p>
          <w:p>
            <w:pPr>
              <w:spacing w:after="20"/>
            </w:pPr>
            <w:r>
              <w:rPr>
                <w:rFonts w:ascii="Consolas" w:cs="Consolas" w:eastAsia="Consolas" w:hAnsi="Consolas"/>
                <w:color w:val="D4D4D4"/>
                <w:sz w:val="18"/>
                <w:szCs w:val="18"/>
              </w:rPr>
              <w:t xml:space="preserve">    lower, upper = q1 - k * iqr, q3 + k * iqr</w:t>
            </w:r>
          </w:p>
          <w:p>
            <w:pPr>
              <w:spacing w:after="20"/>
            </w:pPr>
            <w:r>
              <w:rPr>
                <w:rFonts w:ascii="Consolas" w:cs="Consolas" w:eastAsia="Consolas" w:hAnsi="Consolas"/>
                <w:color w:val="D4D4D4"/>
                <w:sz w:val="18"/>
                <w:szCs w:val="18"/>
              </w:rPr>
              <w:t xml:space="preserve">    return series.clip(lower=lower, upper=upper)</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df['days_for_shipping_capped'] = cap_outliers_iqr(df['Days for shipping (real)'])</w:t>
            </w:r>
          </w:p>
          <w:p>
            <w:pPr>
              <w:spacing w:after="20"/>
            </w:pPr>
            <w:r>
              <w:rPr>
                <w:rFonts w:ascii="Consolas" w:cs="Consolas" w:eastAsia="Consolas" w:hAnsi="Consolas"/>
                <w:color w:val="D4D4D4"/>
                <w:sz w:val="18"/>
                <w:szCs w:val="18"/>
              </w:rPr>
              <w:t xml:space="preserve">df['order_qty_capped'] = cap_outliers_iqr(df['Order Item Quantity'])</w:t>
            </w:r>
          </w:p>
        </w:tc>
      </w:tr>
    </w:tbl>
    <w:p>
      <w:pPr>
        <w:pStyle w:val="Heading2"/>
        <w:spacing w:after="120" w:before="260"/>
      </w:pPr>
      <w:r>
        <w:rPr>
          <w:b/>
          <w:bCs/>
          <w:color w:val="1F2937"/>
          <w:sz w:val="24"/>
          <w:szCs w:val="24"/>
        </w:rPr>
        <w:t xml:space="preserve">3.5 Standardizing Categorical Values and Date Formats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200"/>
              <w:left w:type="dxa" w:w="220"/>
              <w:bottom w:type="dxa" w:w="200"/>
              <w:right w:type="dxa" w:w="220"/>
            </w:tcMar>
          </w:tcPr>
          <w:p>
            <w:pPr>
              <w:spacing w:after="20"/>
            </w:pPr>
            <w:r>
              <w:rPr>
                <w:rFonts w:ascii="Consolas" w:cs="Consolas" w:eastAsia="Consolas" w:hAnsi="Consolas"/>
                <w:color w:val="D4D4D4"/>
                <w:sz w:val="18"/>
                <w:szCs w:val="18"/>
              </w:rPr>
              <w:t xml:space="preserve"># Normalize city name spelling inconsistencies (e.g., mixed Spanish/English)</w:t>
            </w:r>
          </w:p>
          <w:p>
            <w:pPr>
              <w:spacing w:after="20"/>
            </w:pPr>
            <w:r>
              <w:rPr>
                <w:rFonts w:ascii="Consolas" w:cs="Consolas" w:eastAsia="Consolas" w:hAnsi="Consolas"/>
                <w:color w:val="D4D4D4"/>
                <w:sz w:val="18"/>
                <w:szCs w:val="18"/>
              </w:rPr>
              <w:t xml:space="preserve">df['Customer City'] = df['Customer City'].str.strip().str.title()</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 Parse date columns to proper datetime, not free-text strings</w:t>
            </w:r>
          </w:p>
          <w:p>
            <w:pPr>
              <w:spacing w:after="20"/>
            </w:pPr>
            <w:r>
              <w:rPr>
                <w:rFonts w:ascii="Consolas" w:cs="Consolas" w:eastAsia="Consolas" w:hAnsi="Consolas"/>
                <w:color w:val="D4D4D4"/>
                <w:sz w:val="18"/>
                <w:szCs w:val="18"/>
              </w:rPr>
              <w:t xml:space="preserve">df['order date (DateOrders)'] = pd.to_datetime(</w:t>
            </w:r>
          </w:p>
          <w:p>
            <w:pPr>
              <w:spacing w:after="20"/>
            </w:pPr>
            <w:r>
              <w:rPr>
                <w:rFonts w:ascii="Consolas" w:cs="Consolas" w:eastAsia="Consolas" w:hAnsi="Consolas"/>
                <w:color w:val="D4D4D4"/>
                <w:sz w:val="18"/>
                <w:szCs w:val="18"/>
              </w:rPr>
              <w:t xml:space="preserve">    df['order date (DateOrders)'], errors='coerce')</w:t>
            </w:r>
          </w:p>
          <w:p>
            <w:pPr>
              <w:spacing w:after="20"/>
            </w:pPr>
            <w:r>
              <w:rPr>
                <w:rFonts w:ascii="Consolas" w:cs="Consolas" w:eastAsia="Consolas" w:hAnsi="Consolas"/>
                <w:color w:val="D4D4D4"/>
                <w:sz w:val="18"/>
                <w:szCs w:val="18"/>
              </w:rPr>
              <w:t xml:space="preserve">df['shipping date (DateOrders)'] = pd.to_datetime(</w:t>
            </w:r>
          </w:p>
          <w:p>
            <w:pPr>
              <w:spacing w:after="20"/>
            </w:pPr>
            <w:r>
              <w:rPr>
                <w:rFonts w:ascii="Consolas" w:cs="Consolas" w:eastAsia="Consolas" w:hAnsi="Consolas"/>
                <w:color w:val="D4D4D4"/>
                <w:sz w:val="18"/>
                <w:szCs w:val="18"/>
              </w:rPr>
              <w:t xml:space="preserve">    df['shipping date (DateOrders)'], errors='coerce')</w:t>
            </w:r>
          </w:p>
        </w:tc>
      </w:tr>
    </w:tbl>
    <w:p>
      <w:pPr>
        <w:pStyle w:val="Heading2"/>
        <w:spacing w:after="120" w:before="260"/>
      </w:pPr>
      <w:r>
        <w:rPr>
          <w:b/>
          <w:bCs/>
          <w:color w:val="1F2937"/>
          <w:sz w:val="24"/>
          <w:szCs w:val="24"/>
        </w:rPr>
        <w:t xml:space="preserve">3.6 Normalization / Scaling</w:t>
      </w:r>
    </w:p>
    <w:p>
      <w:pPr>
        <w:spacing w:after="160" w:line="300"/>
      </w:pPr>
      <w:r>
        <w:rPr>
          <w:color w:val="1F2937"/>
          <w:sz w:val="22"/>
          <w:szCs w:val="22"/>
        </w:rPr>
        <w:t xml:space="preserve">Numeric fields feeding the Week 1 regression and clustering models (delivery time, order value, quantity) are scaled to comparable ranges, since K-Means and gradient-boosted regressors are sensitive to features on very different scales.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200"/>
              <w:left w:type="dxa" w:w="220"/>
              <w:bottom w:type="dxa" w:w="200"/>
              <w:right w:type="dxa" w:w="220"/>
            </w:tcMar>
          </w:tcPr>
          <w:p>
            <w:pPr>
              <w:spacing w:after="20"/>
            </w:pPr>
            <w:r>
              <w:rPr>
                <w:rFonts w:ascii="Consolas" w:cs="Consolas" w:eastAsia="Consolas" w:hAnsi="Consolas"/>
                <w:color w:val="D4D4D4"/>
                <w:sz w:val="18"/>
                <w:szCs w:val="18"/>
              </w:rPr>
              <w:t xml:space="preserve">from sklearn.preprocessing import MinMaxScaler</w:t>
            </w:r>
          </w:p>
          <w:p>
            <w:pPr>
              <w:spacing w:after="20"/>
            </w:pPr>
            <w:r>
              <w:rPr>
                <w:rFonts w:ascii="Consolas" w:cs="Consolas" w:eastAsia="Consolas" w:hAnsi="Consolas"/>
                <w:color w:val="D4D4D4"/>
                <w:sz w:val="18"/>
                <w:szCs w:val="18"/>
              </w:rPr>
              <w:t xml:space="preserve"> </w:t>
            </w:r>
          </w:p>
          <w:p>
            <w:pPr>
              <w:spacing w:after="20"/>
            </w:pPr>
            <w:r>
              <w:rPr>
                <w:rFonts w:ascii="Consolas" w:cs="Consolas" w:eastAsia="Consolas" w:hAnsi="Consolas"/>
                <w:color w:val="D4D4D4"/>
                <w:sz w:val="18"/>
                <w:szCs w:val="18"/>
              </w:rPr>
              <w:t xml:space="preserve">scale_cols = ['days_for_shipping_capped', 'order_qty_capped', 'Order Item Product Price']</w:t>
            </w:r>
          </w:p>
          <w:p>
            <w:pPr>
              <w:spacing w:after="20"/>
            </w:pPr>
            <w:r>
              <w:rPr>
                <w:rFonts w:ascii="Consolas" w:cs="Consolas" w:eastAsia="Consolas" w:hAnsi="Consolas"/>
                <w:color w:val="D4D4D4"/>
                <w:sz w:val="18"/>
                <w:szCs w:val="18"/>
              </w:rPr>
              <w:t xml:space="preserve">scaler = MinMaxScaler()</w:t>
            </w:r>
          </w:p>
          <w:p>
            <w:pPr>
              <w:spacing w:after="20"/>
            </w:pPr>
            <w:r>
              <w:rPr>
                <w:rFonts w:ascii="Consolas" w:cs="Consolas" w:eastAsia="Consolas" w:hAnsi="Consolas"/>
                <w:color w:val="D4D4D4"/>
                <w:sz w:val="18"/>
                <w:szCs w:val="18"/>
              </w:rPr>
              <w:t xml:space="preserve">df[[c + '_scaled' for c in scale_cols]] = scaler.fit_transform(df[scale_cols])</w:t>
            </w:r>
          </w:p>
        </w:tc>
      </w:tr>
    </w:tbl>
    <w:p>
      <w:pPr>
        <w:pStyle w:val="Heading1"/>
        <w:pBdr>
          <w:bottom w:val="single" w:color="C0511A" w:sz="8" w:space="4"/>
        </w:pBdr>
        <w:spacing w:after="180" w:before="380"/>
      </w:pPr>
      <w:r>
        <w:rPr>
          <w:b/>
          <w:bCs/>
          <w:color w:val="C0511A"/>
          <w:sz w:val="30"/>
          <w:szCs w:val="30"/>
        </w:rPr>
        <w:t xml:space="preserve">4. Methodological Explanation</w:t>
      </w:r>
    </w:p>
    <w:p>
      <w:pPr>
        <w:pStyle w:val="ListParagraph"/>
        <w:numPr>
          <w:ilvl w:val="0"/>
          <w:numId w:val="2"/>
        </w:numPr>
        <w:spacing w:after="140" w:line="290"/>
      </w:pPr>
      <w:r>
        <w:rPr>
          <w:b w:val="false"/>
          <w:bCs w:val="false"/>
          <w:color w:val="1F2937"/>
          <w:sz w:val="22"/>
          <w:szCs w:val="22"/>
        </w:rPr>
        <w:t xml:space="preserve"/>
      </w:r>
      <w:r>
        <w:rPr>
          <w:b/>
          <w:bCs/>
          <w:color w:val="1F2937"/>
          <w:sz w:val="22"/>
          <w:szCs w:val="22"/>
        </w:rPr>
        <w:t xml:space="preserve">Impute over delete for operationally relevant fields</w:t>
      </w:r>
      <w:r>
        <w:rPr>
          <w:b w:val="false"/>
          <w:bCs w:val="false"/>
          <w:color w:val="1F2937"/>
          <w:sz w:val="22"/>
          <w:szCs w:val="22"/>
        </w:rPr>
        <w:t xml:space="preserve"> — Dropping every row with a missing Zipcode would remove a meaningful share of orders and bias zone-clustering geography. Imputing from a related column (City) preserves sample size while keeping the field usable.</w:t>
      </w:r>
    </w:p>
    <w:p>
      <w:pPr>
        <w:pStyle w:val="ListParagraph"/>
        <w:numPr>
          <w:ilvl w:val="0"/>
          <w:numId w:val="2"/>
        </w:numPr>
        <w:spacing w:after="140" w:line="290"/>
      </w:pPr>
      <w:r>
        <w:rPr>
          <w:b w:val="false"/>
          <w:bCs w:val="false"/>
          <w:color w:val="1F2937"/>
          <w:sz w:val="22"/>
          <w:szCs w:val="22"/>
        </w:rPr>
        <w:t xml:space="preserve"/>
      </w:r>
      <w:r>
        <w:rPr>
          <w:b/>
          <w:bCs/>
          <w:color w:val="1F2937"/>
          <w:sz w:val="22"/>
          <w:szCs w:val="22"/>
        </w:rPr>
        <w:t xml:space="preserve">Cap rather than drop outliers in shipping time</w:t>
      </w:r>
      <w:r>
        <w:rPr>
          <w:b w:val="false"/>
          <w:bCs w:val="false"/>
          <w:color w:val="1F2937"/>
          <w:sz w:val="22"/>
          <w:szCs w:val="22"/>
        </w:rPr>
        <w:t xml:space="preserve"> — A 20-day shipment isn't necessarily bad data; it may be exactly the kind of SLA breach the OTDR KPI exists to catch. Capping keeps the signal (it was long) without letting one extreme value distort the mean used for the KPI baseline.</w:t>
      </w:r>
    </w:p>
    <w:p>
      <w:pPr>
        <w:pStyle w:val="ListParagraph"/>
        <w:numPr>
          <w:ilvl w:val="0"/>
          <w:numId w:val="2"/>
        </w:numPr>
        <w:spacing w:after="140" w:line="290"/>
      </w:pPr>
      <w:r>
        <w:rPr>
          <w:b w:val="false"/>
          <w:bCs w:val="false"/>
          <w:color w:val="1F2937"/>
          <w:sz w:val="22"/>
          <w:szCs w:val="22"/>
        </w:rPr>
        <w:t xml:space="preserve"/>
      </w:r>
      <w:r>
        <w:rPr>
          <w:b/>
          <w:bCs/>
          <w:color w:val="1F2937"/>
          <w:sz w:val="22"/>
          <w:szCs w:val="22"/>
        </w:rPr>
        <w:t xml:space="preserve">Standardize categorical text before grouping</w:t>
      </w:r>
      <w:r>
        <w:rPr>
          <w:b w:val="false"/>
          <w:bCs w:val="false"/>
          <w:color w:val="1F2937"/>
          <w:sz w:val="22"/>
          <w:szCs w:val="22"/>
        </w:rPr>
        <w:t xml:space="preserve"> — Any groupby on Customer City silently under-counts a city if spellings vary. Fixing this before aggregation is a precondition for correct hub/zone-level KPI rollups.</w:t>
      </w:r>
    </w:p>
    <w:p>
      <w:pPr>
        <w:pStyle w:val="ListParagraph"/>
        <w:numPr>
          <w:ilvl w:val="0"/>
          <w:numId w:val="2"/>
        </w:numPr>
        <w:spacing w:after="140" w:line="290"/>
      </w:pPr>
      <w:r>
        <w:rPr>
          <w:b w:val="false"/>
          <w:bCs w:val="false"/>
          <w:color w:val="1F2937"/>
          <w:sz w:val="22"/>
          <w:szCs w:val="22"/>
        </w:rPr>
        <w:t xml:space="preserve"/>
      </w:r>
      <w:r>
        <w:rPr>
          <w:b/>
          <w:bCs/>
          <w:color w:val="1F2937"/>
          <w:sz w:val="22"/>
          <w:szCs w:val="22"/>
        </w:rPr>
        <w:t xml:space="preserve">Explicit datetime parsing before duration math</w:t>
      </w:r>
      <w:r>
        <w:rPr>
          <w:b w:val="false"/>
          <w:bCs w:val="false"/>
          <w:color w:val="1F2937"/>
          <w:sz w:val="22"/>
          <w:szCs w:val="22"/>
        </w:rPr>
        <w:t xml:space="preserve"> — Delivery-cycle time (used for the Fulfillment Cycle Time KPI) is a date subtraction. Left as text, that subtraction either fails or silently produces wrong values, so parsing is done immediately after load, before any other step touches those columns.</w:t>
      </w:r>
    </w:p>
    <w:p>
      <w:pPr>
        <w:pStyle w:val="ListParagraph"/>
        <w:numPr>
          <w:ilvl w:val="0"/>
          <w:numId w:val="2"/>
        </w:numPr>
        <w:spacing w:after="140" w:line="290"/>
      </w:pPr>
      <w:r>
        <w:rPr>
          <w:b w:val="false"/>
          <w:bCs w:val="false"/>
          <w:color w:val="1F2937"/>
          <w:sz w:val="22"/>
          <w:szCs w:val="22"/>
        </w:rPr>
        <w:t xml:space="preserve"/>
      </w:r>
      <w:r>
        <w:rPr>
          <w:b/>
          <w:bCs/>
          <w:color w:val="1F2937"/>
          <w:sz w:val="22"/>
          <w:szCs w:val="22"/>
        </w:rPr>
        <w:t xml:space="preserve">Scale only for distance/gradient-based models</w:t>
      </w:r>
      <w:r>
        <w:rPr>
          <w:b w:val="false"/>
          <w:bCs w:val="false"/>
          <w:color w:val="1F2937"/>
          <w:sz w:val="22"/>
          <w:szCs w:val="22"/>
        </w:rPr>
        <w:t xml:space="preserve"> — Min-Max scaling is applied to the columns that feed K-Means and gradient boosting (Week 1, sections 5.3–5.4), since those algorithms are scale-sensitive. Tree-based classification (stockout risk) does not require this step, so raw values are kept there to preserve interpretability.</w:t>
      </w:r>
    </w:p>
    <w:p>
      <w:pPr>
        <w:pStyle w:val="Heading1"/>
        <w:pBdr>
          <w:bottom w:val="single" w:color="C0511A" w:sz="8" w:space="4"/>
        </w:pBdr>
        <w:spacing w:after="180" w:before="380"/>
      </w:pPr>
      <w:r>
        <w:rPr>
          <w:b/>
          <w:bCs/>
          <w:color w:val="C0511A"/>
          <w:sz w:val="30"/>
          <w:szCs w:val="30"/>
        </w:rPr>
        <w:t xml:space="preserve">5. Reflection: Data Quality and Downstream Decision-Making</w:t>
      </w:r>
    </w:p>
    <w:p>
      <w:pPr>
        <w:spacing w:after="160" w:line="300"/>
      </w:pPr>
      <w:r>
        <w:rPr>
          <w:color w:val="1F2937"/>
          <w:sz w:val="22"/>
          <w:szCs w:val="22"/>
        </w:rPr>
        <w:t xml:space="preserve">The quality of this cleaning stage directly determines whether the Week 1 models are trustworthy. An uncapped outlier in shipping time would pull the average delivery-time estimate upward, making the delivery-time regression overestimate risk for ordinary orders and under-flag genuinely late ones. Unstandardized city names would fragment a single delivery zone into several smaller, noisier clusters, weakening the K-Means zone assignments that route optimization depends on. Missing zipcodes left unhandled would silently shrink the dataset used for geographic analysis, biasing it toward better-documented regions.</w:t>
      </w:r>
    </w:p>
    <w:p>
      <w:pPr>
        <w:spacing w:after="160" w:line="300"/>
      </w:pPr>
      <w:r>
        <w:rPr>
          <w:color w:val="1F2937"/>
          <w:sz w:val="22"/>
          <w:szCs w:val="22"/>
        </w:rPr>
        <w:t xml:space="preserve">For QuickRoute specifically, this means the cost of skipping preprocessing is not abstract: a biased OTDR baseline could lead a hub manager to under-invest in a genuinely underperforming zone, and a distorted stockout-risk model could trigger unnecessary stock transfers between hubs. Treating data cleaning as a first-class step — rather than a quick pass before modeling — is what makes the KPI dashboard and predictive models from Week 1 something operations can actually act 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color w:val="6B7280"/>
        <w:sz w:val="16"/>
        <w:szCs w:val="16"/>
      </w:rPr>
      <w:t xml:space="preserve">Week 2 Task — Data Collection, Cleaning &amp; Preprocessing for Logistics</w:t>
    </w:r>
    <w:r>
      <w:rPr>
        <w:color w:val="6B7280"/>
        <w:sz w:val="16"/>
        <w:szCs w:val="16"/>
      </w:rPr>
      <w:t xml:space="preserve">	Sumeet Rai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2026-08-23T09:20:11.308Z</dcterms:created>
  <dcterms:modified xsi:type="dcterms:W3CDTF">2026-08-23T09:20:11.320Z</dcterms:modified>
</cp:coreProperties>
</file>

<file path=docProps/custom.xml><?xml version="1.0" encoding="utf-8"?>
<Properties xmlns="http://schemas.openxmlformats.org/officeDocument/2006/custom-properties" xmlns:vt="http://schemas.openxmlformats.org/officeDocument/2006/docPropsVTypes"/>
</file>