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0511A"/>
          <w:sz w:val="22"/>
          <w:szCs w:val="22"/>
        </w:rPr>
        <w:t xml:space="preserve">WEEK 4 TASK</w:t>
      </w:r>
    </w:p>
    <w:p>
      <w:pPr>
        <w:spacing w:after="120"/>
      </w:pPr>
      <w:r>
        <w:rPr>
          <w:b/>
          <w:bCs/>
          <w:color w:val="1F2937"/>
          <w:sz w:val="34"/>
          <w:szCs w:val="34"/>
        </w:rPr>
        <w:t xml:space="preserve">Predictive Modeling and Optimization in Logistics Systems</w:t>
      </w:r>
    </w:p>
    <w:p>
      <w:pPr>
        <w:spacing w:after="60"/>
      </w:pPr>
      <w:r>
        <w:rPr>
          <w:i/>
          <w:iCs/>
          <w:color w:val="6B7280"/>
          <w:sz w:val="22"/>
          <w:szCs w:val="22"/>
        </w:rPr>
        <w:t xml:space="preserve">Forecasting Delivery Time and Recommending Optimization Actions for QuickRoute Logistics</w:t>
      </w:r>
    </w:p>
    <w:p>
      <w:pPr>
        <w:pBdr>
          <w:bottom w:val="single" w:color="D9D9D9" w:sz="6" w:space="6"/>
        </w:pBdr>
        <w:spacing w:after="300"/>
      </w:pPr>
      <w:r>
        <w:rPr>
          <w:color w:val="6B7280"/>
          <w:sz w:val="20"/>
          <w:szCs w:val="20"/>
        </w:rPr>
        <w:t xml:space="preserve">Prepared by: Sumeet Rai  |  Data Analyst</w:t>
      </w:r>
    </w:p>
    <w:p>
      <w:pPr>
        <w:pStyle w:val="Heading1"/>
        <w:pBdr>
          <w:bottom w:val="single" w:color="C0511A" w:sz="8" w:space="4"/>
        </w:pBdr>
        <w:spacing w:after="180" w:before="380"/>
      </w:pPr>
      <w:r>
        <w:rPr>
          <w:b/>
          <w:bCs/>
          <w:color w:val="C0511A"/>
          <w:sz w:val="30"/>
          <w:szCs w:val="30"/>
        </w:rPr>
        <w:t xml:space="preserve">1. Objective</w:t>
      </w:r>
    </w:p>
    <w:p>
      <w:pPr>
        <w:spacing w:after="160" w:line="300"/>
      </w:pPr>
      <w:r>
        <w:rPr>
          <w:color w:val="1F2937"/>
          <w:sz w:val="22"/>
          <w:szCs w:val="22"/>
        </w:rPr>
        <w:t xml:space="preserve">This task applies predictive modeling and optimization to QuickRoute Logistics, building on the simulated shipment dataset from Week 3. A regression model is trained to forecast delivery time at the point of dispatch — the same problem framed conceptually in Week 1's roadmap — and the resulting model insights are translated into concrete optimization recommendations for routing, resource allocation, and cost control.</w:t>
      </w:r>
    </w:p>
    <w:p>
      <w:pPr>
        <w:pStyle w:val="Heading1"/>
        <w:pBdr>
          <w:bottom w:val="single" w:color="C0511A" w:sz="8" w:space="4"/>
        </w:pBdr>
        <w:spacing w:after="180" w:before="380"/>
      </w:pPr>
      <w:r>
        <w:rPr>
          <w:b/>
          <w:bCs/>
          <w:color w:val="C0511A"/>
          <w:sz w:val="30"/>
          <w:szCs w:val="30"/>
        </w:rPr>
        <w:t xml:space="preserve">2. Problem Definition and Data Simulation</w:t>
      </w:r>
    </w:p>
    <w:p>
      <w:pPr>
        <w:pStyle w:val="Heading2"/>
        <w:spacing w:after="120" w:before="260"/>
      </w:pPr>
      <w:r>
        <w:rPr>
          <w:b/>
          <w:bCs/>
          <w:color w:val="1F2937"/>
          <w:sz w:val="24"/>
          <w:szCs w:val="24"/>
        </w:rPr>
        <w:t xml:space="preserve">2.1 Prediction Problem</w:t>
      </w:r>
    </w:p>
    <w:p>
      <w:pPr>
        <w:spacing w:after="160" w:line="300"/>
      </w:pPr>
      <w:r>
        <w:rPr>
          <w:color w:val="1F2937"/>
          <w:sz w:val="22"/>
          <w:szCs w:val="22"/>
        </w:rPr>
        <w:t xml:space="preserve">Target variable: delivery_time_hours — the actual time (in hours) between order placement and delivery. Forecasting this at dispatch lets QuickRoute flag shipments at risk of breaching their SLA window before they leave the hub, directly supporting the On-Time Delivery Rate (OTDR) KPI defined in Week 1.</w:t>
      </w:r>
    </w:p>
    <w:p>
      <w:pPr>
        <w:pStyle w:val="Heading2"/>
        <w:spacing w:after="120" w:before="260"/>
      </w:pPr>
      <w:r>
        <w:rPr>
          <w:b/>
          <w:bCs/>
          <w:color w:val="1F2937"/>
          <w:sz w:val="24"/>
          <w:szCs w:val="24"/>
        </w:rPr>
        <w:t xml:space="preserve">2.2 Dataset</w:t>
      </w:r>
    </w:p>
    <w:p>
      <w:pPr>
        <w:spacing w:after="160" w:line="300"/>
      </w:pPr>
      <w:r>
        <w:rPr>
          <w:color w:val="1F2937"/>
          <w:sz w:val="22"/>
          <w:szCs w:val="22"/>
        </w:rPr>
        <w:t xml:space="preserve">The Week 3 simulated dataset (3,000 shipments, 90-day window) is reused here. Two additional calendar features are engineered from order_date to test for day-of-week effects.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850"/>
      </w:tblGrid>
      <w:tr>
        <w:trPr>
          <w:tblHeader/>
        </w:trPr>
        <w:tc>
          <w:tcPr>
            <w:shd w:fill="C0511A" w:val="clear"/>
            <w:tcMar>
              <w:top w:type="dxa" w:w="100"/>
              <w:left w:type="dxa" w:w="120"/>
              <w:bottom w:type="dxa" w:w="100"/>
              <w:right w:type="dxa" w:w="120"/>
            </w:tcMar>
          </w:tcPr>
          <w:p>
            <w:r>
              <w:rPr>
                <w:b/>
                <w:bCs/>
                <w:color w:val="FFFFFF"/>
                <w:sz w:val="20"/>
                <w:szCs w:val="20"/>
              </w:rPr>
              <w:t xml:space="preserve">Feature</w:t>
            </w:r>
          </w:p>
        </w:tc>
        <w:tc>
          <w:tcPr>
            <w:shd w:fill="C0511A" w:val="clear"/>
            <w:tcMar>
              <w:top w:type="dxa" w:w="100"/>
              <w:left w:type="dxa" w:w="120"/>
              <w:bottom w:type="dxa" w:w="100"/>
              <w:right w:type="dxa" w:w="120"/>
            </w:tcMar>
          </w:tcPr>
          <w:p>
            <w:r>
              <w:rPr>
                <w:b/>
                <w:bCs/>
                <w:color w:val="FFFFFF"/>
                <w:sz w:val="20"/>
                <w:szCs w:val="20"/>
              </w:rPr>
              <w:t xml:space="preserve">Type</w:t>
            </w:r>
          </w:p>
        </w:tc>
        <w:tc>
          <w:tcPr>
            <w:shd w:fill="C0511A" w:val="clear"/>
            <w:tcMar>
              <w:top w:type="dxa" w:w="100"/>
              <w:left w:type="dxa" w:w="120"/>
              <w:bottom w:type="dxa" w:w="100"/>
              <w:right w:type="dxa" w:w="120"/>
            </w:tcMar>
          </w:tcPr>
          <w:p>
            <w:r>
              <w:rPr>
                <w:b/>
                <w:bCs/>
                <w:color w:val="FFFFFF"/>
                <w:sz w:val="20"/>
                <w:szCs w:val="20"/>
              </w:rPr>
              <w:t xml:space="preserve">Role</w:t>
            </w:r>
          </w:p>
        </w:tc>
      </w:tr>
      <w:tr>
        <w:tc>
          <w:tcPr>
            <w:shd w:fill="FFFFFF" w:val="clear"/>
            <w:tcMar>
              <w:top w:type="dxa" w:w="100"/>
              <w:left w:type="dxa" w:w="120"/>
              <w:bottom w:type="dxa" w:w="100"/>
              <w:right w:type="dxa" w:w="120"/>
            </w:tcMar>
          </w:tcPr>
          <w:p>
            <w:r>
              <w:rPr>
                <w:color w:val="1F2937"/>
                <w:sz w:val="20"/>
                <w:szCs w:val="20"/>
              </w:rPr>
              <w:t xml:space="preserve">distance_km</w:t>
            </w:r>
          </w:p>
        </w:tc>
        <w:tc>
          <w:tcPr>
            <w:shd w:fill="FFFFFF" w:val="clear"/>
            <w:tcMar>
              <w:top w:type="dxa" w:w="100"/>
              <w:left w:type="dxa" w:w="120"/>
              <w:bottom w:type="dxa" w:w="100"/>
              <w:right w:type="dxa" w:w="120"/>
            </w:tcMar>
          </w:tcPr>
          <w:p>
            <w:r>
              <w:rPr>
                <w:color w:val="1F2937"/>
                <w:sz w:val="20"/>
                <w:szCs w:val="20"/>
              </w:rPr>
              <w:t xml:space="preserve">Numeric</w:t>
            </w:r>
          </w:p>
        </w:tc>
        <w:tc>
          <w:tcPr>
            <w:shd w:fill="FFFFFF" w:val="clear"/>
            <w:tcMar>
              <w:top w:type="dxa" w:w="100"/>
              <w:left w:type="dxa" w:w="120"/>
              <w:bottom w:type="dxa" w:w="100"/>
              <w:right w:type="dxa" w:w="120"/>
            </w:tcMar>
          </w:tcPr>
          <w:p>
            <w:r>
              <w:rPr>
                <w:color w:val="1F2937"/>
                <w:sz w:val="20"/>
                <w:szCs w:val="20"/>
              </w:rPr>
              <w:t xml:space="preserve">Predictor</w:t>
            </w:r>
          </w:p>
        </w:tc>
      </w:tr>
      <w:tr>
        <w:tc>
          <w:tcPr>
            <w:shd w:fill="F3EFE9" w:val="clear"/>
            <w:tcMar>
              <w:top w:type="dxa" w:w="100"/>
              <w:left w:type="dxa" w:w="120"/>
              <w:bottom w:type="dxa" w:w="100"/>
              <w:right w:type="dxa" w:w="120"/>
            </w:tcMar>
          </w:tcPr>
          <w:p>
            <w:r>
              <w:rPr>
                <w:color w:val="1F2937"/>
                <w:sz w:val="20"/>
                <w:szCs w:val="20"/>
              </w:rPr>
              <w:t xml:space="preserve">shipment_volume</w:t>
            </w:r>
          </w:p>
        </w:tc>
        <w:tc>
          <w:tcPr>
            <w:shd w:fill="F3EFE9" w:val="clear"/>
            <w:tcMar>
              <w:top w:type="dxa" w:w="100"/>
              <w:left w:type="dxa" w:w="120"/>
              <w:bottom w:type="dxa" w:w="100"/>
              <w:right w:type="dxa" w:w="120"/>
            </w:tcMar>
          </w:tcPr>
          <w:p>
            <w:r>
              <w:rPr>
                <w:color w:val="1F2937"/>
                <w:sz w:val="20"/>
                <w:szCs w:val="20"/>
              </w:rPr>
              <w:t xml:space="preserve">Numeric</w:t>
            </w:r>
          </w:p>
        </w:tc>
        <w:tc>
          <w:tcPr>
            <w:shd w:fill="F3EFE9" w:val="clear"/>
            <w:tcMar>
              <w:top w:type="dxa" w:w="100"/>
              <w:left w:type="dxa" w:w="120"/>
              <w:bottom w:type="dxa" w:w="100"/>
              <w:right w:type="dxa" w:w="120"/>
            </w:tcMar>
          </w:tcPr>
          <w:p>
            <w:r>
              <w:rPr>
                <w:color w:val="1F2937"/>
                <w:sz w:val="20"/>
                <w:szCs w:val="20"/>
              </w:rPr>
              <w:t xml:space="preserve">Predictor</w:t>
            </w:r>
          </w:p>
        </w:tc>
      </w:tr>
      <w:tr>
        <w:tc>
          <w:tcPr>
            <w:shd w:fill="FFFFFF" w:val="clear"/>
            <w:tcMar>
              <w:top w:type="dxa" w:w="100"/>
              <w:left w:type="dxa" w:w="120"/>
              <w:bottom w:type="dxa" w:w="100"/>
              <w:right w:type="dxa" w:w="120"/>
            </w:tcMar>
          </w:tcPr>
          <w:p>
            <w:r>
              <w:rPr>
                <w:color w:val="1F2937"/>
                <w:sz w:val="20"/>
                <w:szCs w:val="20"/>
              </w:rPr>
              <w:t xml:space="preserve">hub_id</w:t>
            </w:r>
          </w:p>
        </w:tc>
        <w:tc>
          <w:tcPr>
            <w:shd w:fill="FFFFFF" w:val="clear"/>
            <w:tcMar>
              <w:top w:type="dxa" w:w="100"/>
              <w:left w:type="dxa" w:w="120"/>
              <w:bottom w:type="dxa" w:w="100"/>
              <w:right w:type="dxa" w:w="120"/>
            </w:tcMar>
          </w:tcPr>
          <w:p>
            <w:r>
              <w:rPr>
                <w:color w:val="1F2937"/>
                <w:sz w:val="20"/>
                <w:szCs w:val="20"/>
              </w:rPr>
              <w:t xml:space="preserve">Categorical (one-hot)</w:t>
            </w:r>
          </w:p>
        </w:tc>
        <w:tc>
          <w:tcPr>
            <w:shd w:fill="FFFFFF" w:val="clear"/>
            <w:tcMar>
              <w:top w:type="dxa" w:w="100"/>
              <w:left w:type="dxa" w:w="120"/>
              <w:bottom w:type="dxa" w:w="100"/>
              <w:right w:type="dxa" w:w="120"/>
            </w:tcMar>
          </w:tcPr>
          <w:p>
            <w:r>
              <w:rPr>
                <w:color w:val="1F2937"/>
                <w:sz w:val="20"/>
                <w:szCs w:val="20"/>
              </w:rPr>
              <w:t xml:space="preserve">Predictor</w:t>
            </w:r>
          </w:p>
        </w:tc>
      </w:tr>
      <w:tr>
        <w:tc>
          <w:tcPr>
            <w:shd w:fill="F3EFE9" w:val="clear"/>
            <w:tcMar>
              <w:top w:type="dxa" w:w="100"/>
              <w:left w:type="dxa" w:w="120"/>
              <w:bottom w:type="dxa" w:w="100"/>
              <w:right w:type="dxa" w:w="120"/>
            </w:tcMar>
          </w:tcPr>
          <w:p>
            <w:r>
              <w:rPr>
                <w:color w:val="1F2937"/>
                <w:sz w:val="20"/>
                <w:szCs w:val="20"/>
              </w:rPr>
              <w:t xml:space="preserve">is_weekend</w:t>
            </w:r>
          </w:p>
        </w:tc>
        <w:tc>
          <w:tcPr>
            <w:shd w:fill="F3EFE9" w:val="clear"/>
            <w:tcMar>
              <w:top w:type="dxa" w:w="100"/>
              <w:left w:type="dxa" w:w="120"/>
              <w:bottom w:type="dxa" w:w="100"/>
              <w:right w:type="dxa" w:w="120"/>
            </w:tcMar>
          </w:tcPr>
          <w:p>
            <w:r>
              <w:rPr>
                <w:color w:val="1F2937"/>
                <w:sz w:val="20"/>
                <w:szCs w:val="20"/>
              </w:rPr>
              <w:t xml:space="preserve">Binary (engineered)</w:t>
            </w:r>
          </w:p>
        </w:tc>
        <w:tc>
          <w:tcPr>
            <w:shd w:fill="F3EFE9" w:val="clear"/>
            <w:tcMar>
              <w:top w:type="dxa" w:w="100"/>
              <w:left w:type="dxa" w:w="120"/>
              <w:bottom w:type="dxa" w:w="100"/>
              <w:right w:type="dxa" w:w="120"/>
            </w:tcMar>
          </w:tcPr>
          <w:p>
            <w:r>
              <w:rPr>
                <w:color w:val="1F2937"/>
                <w:sz w:val="20"/>
                <w:szCs w:val="20"/>
              </w:rPr>
              <w:t xml:space="preserve">Predictor</w:t>
            </w:r>
          </w:p>
        </w:tc>
      </w:tr>
      <w:tr>
        <w:tc>
          <w:tcPr>
            <w:shd w:fill="FFFFFF" w:val="clear"/>
            <w:tcMar>
              <w:top w:type="dxa" w:w="100"/>
              <w:left w:type="dxa" w:w="120"/>
              <w:bottom w:type="dxa" w:w="100"/>
              <w:right w:type="dxa" w:w="120"/>
            </w:tcMar>
          </w:tcPr>
          <w:p>
            <w:r>
              <w:rPr>
                <w:color w:val="1F2937"/>
                <w:sz w:val="20"/>
                <w:szCs w:val="20"/>
              </w:rPr>
              <w:t xml:space="preserve">delivery_time_hours</w:t>
            </w:r>
          </w:p>
        </w:tc>
        <w:tc>
          <w:tcPr>
            <w:shd w:fill="FFFFFF" w:val="clear"/>
            <w:tcMar>
              <w:top w:type="dxa" w:w="100"/>
              <w:left w:type="dxa" w:w="120"/>
              <w:bottom w:type="dxa" w:w="100"/>
              <w:right w:type="dxa" w:w="120"/>
            </w:tcMar>
          </w:tcPr>
          <w:p>
            <w:r>
              <w:rPr>
                <w:color w:val="1F2937"/>
                <w:sz w:val="20"/>
                <w:szCs w:val="20"/>
              </w:rPr>
              <w:t xml:space="preserve">Numeric</w:t>
            </w:r>
          </w:p>
        </w:tc>
        <w:tc>
          <w:tcPr>
            <w:shd w:fill="FFFFFF" w:val="clear"/>
            <w:tcMar>
              <w:top w:type="dxa" w:w="100"/>
              <w:left w:type="dxa" w:w="120"/>
              <w:bottom w:type="dxa" w:w="100"/>
              <w:right w:type="dxa" w:w="120"/>
            </w:tcMar>
          </w:tcPr>
          <w:p>
            <w:r>
              <w:rPr>
                <w:color w:val="1F2937"/>
                <w:sz w:val="20"/>
                <w:szCs w:val="20"/>
              </w:rPr>
              <w:t xml:space="preserve">Target</w:t>
            </w:r>
          </w:p>
        </w:tc>
      </w:tr>
    </w:tbl>
    <w:p>
      <w:pPr>
        <w:spacing w:after="160" w:line="300"/>
      </w:pPr>
      <w:r>
        <w:rPr>
          <w:color w:val="1F2937"/>
          <w:sz w:val="22"/>
          <w:szCs w:val="22"/>
        </w:rPr>
        <w:t xml:space="preserve">transportation_cost was deliberately excluded as a predictor. Although it correlates with delivery time (Week 3 found r = 0.76), it is generated in parallel with delivery time from the same underlying distance variable rather than causing it, and in a live system it may not even be finalized at dispatch time. Including it would risk target leakage and overstate real-world model performance.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200"/>
              <w:left w:type="dxa" w:w="220"/>
              <w:bottom w:type="dxa" w:w="200"/>
              <w:right w:type="dxa" w:w="220"/>
            </w:tcMar>
          </w:tcPr>
          <w:p>
            <w:pPr>
              <w:spacing w:after="20"/>
            </w:pPr>
            <w:r>
              <w:rPr>
                <w:rFonts w:ascii="Consolas" w:cs="Consolas" w:eastAsia="Consolas" w:hAnsi="Consolas"/>
                <w:color w:val="D4D4D4"/>
                <w:sz w:val="18"/>
                <w:szCs w:val="18"/>
              </w:rPr>
              <w:t xml:space="preserve">df['day_of_week'] = df['order_date'].dt.dayofweek</w:t>
            </w:r>
          </w:p>
          <w:p>
            <w:pPr>
              <w:spacing w:after="20"/>
            </w:pPr>
            <w:r>
              <w:rPr>
                <w:rFonts w:ascii="Consolas" w:cs="Consolas" w:eastAsia="Consolas" w:hAnsi="Consolas"/>
                <w:color w:val="D4D4D4"/>
                <w:sz w:val="18"/>
                <w:szCs w:val="18"/>
              </w:rPr>
              <w:t xml:space="preserve">df['is_weekend'] = (df['day_of_week'] &gt;= 5).astype(int)</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FEATURES_NUM = ['distance_km', 'shipment_volume', 'is_weekend']</w:t>
            </w:r>
          </w:p>
          <w:p>
            <w:pPr>
              <w:spacing w:after="20"/>
            </w:pPr>
            <w:r>
              <w:rPr>
                <w:rFonts w:ascii="Consolas" w:cs="Consolas" w:eastAsia="Consolas" w:hAnsi="Consolas"/>
                <w:color w:val="D4D4D4"/>
                <w:sz w:val="18"/>
                <w:szCs w:val="18"/>
              </w:rPr>
              <w:t xml:space="preserve">FEATURES_CAT = ['hub_id']</w:t>
            </w:r>
          </w:p>
          <w:p>
            <w:pPr>
              <w:spacing w:after="20"/>
            </w:pPr>
            <w:r>
              <w:rPr>
                <w:rFonts w:ascii="Consolas" w:cs="Consolas" w:eastAsia="Consolas" w:hAnsi="Consolas"/>
                <w:color w:val="D4D4D4"/>
                <w:sz w:val="18"/>
                <w:szCs w:val="18"/>
              </w:rPr>
              <w:t xml:space="preserve">TARGET = 'delivery_time_hours'</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X = df[FEATURES_NUM + FEATURES_CAT]</w:t>
            </w:r>
          </w:p>
          <w:p>
            <w:pPr>
              <w:spacing w:after="20"/>
            </w:pPr>
            <w:r>
              <w:rPr>
                <w:rFonts w:ascii="Consolas" w:cs="Consolas" w:eastAsia="Consolas" w:hAnsi="Consolas"/>
                <w:color w:val="D4D4D4"/>
                <w:sz w:val="18"/>
                <w:szCs w:val="18"/>
              </w:rPr>
              <w:t xml:space="preserve">y = df[TARGET]</w:t>
            </w:r>
          </w:p>
          <w:p>
            <w:pPr>
              <w:spacing w:after="20"/>
            </w:pPr>
            <w:r>
              <w:rPr>
                <w:rFonts w:ascii="Consolas" w:cs="Consolas" w:eastAsia="Consolas" w:hAnsi="Consolas"/>
                <w:color w:val="D4D4D4"/>
                <w:sz w:val="18"/>
                <w:szCs w:val="18"/>
              </w:rPr>
              <w:t xml:space="preserve">X_train, X_test, y_train, y_test = train_test_split(</w:t>
            </w:r>
          </w:p>
          <w:p>
            <w:pPr>
              <w:spacing w:after="20"/>
            </w:pPr>
            <w:r>
              <w:rPr>
                <w:rFonts w:ascii="Consolas" w:cs="Consolas" w:eastAsia="Consolas" w:hAnsi="Consolas"/>
                <w:color w:val="D4D4D4"/>
                <w:sz w:val="18"/>
                <w:szCs w:val="18"/>
              </w:rPr>
              <w:t xml:space="preserve">    X, y, test_size=0.2, random_state=42)</w:t>
            </w:r>
          </w:p>
        </w:tc>
      </w:tr>
    </w:tbl>
    <w:p>
      <w:pPr>
        <w:pStyle w:val="Heading1"/>
        <w:pBdr>
          <w:bottom w:val="single" w:color="C0511A" w:sz="8" w:space="4"/>
        </w:pBdr>
        <w:spacing w:after="180" w:before="380"/>
      </w:pPr>
      <w:r>
        <w:rPr>
          <w:b/>
          <w:bCs/>
          <w:color w:val="C0511A"/>
          <w:sz w:val="30"/>
          <w:szCs w:val="30"/>
        </w:rPr>
        <w:t xml:space="preserve">3. Model Selection and Implementation</w:t>
      </w:r>
    </w:p>
    <w:p>
      <w:pPr>
        <w:spacing w:after="160" w:line="300"/>
      </w:pPr>
      <w:r>
        <w:rPr>
          <w:color w:val="1F2937"/>
          <w:sz w:val="22"/>
          <w:szCs w:val="22"/>
        </w:rPr>
        <w:t xml:space="preserve">Three model families were compared, chosen to span a spectrum of interpretability vs. flexibility: Linear Regression (fully interpretable, assumes linear relationships — a reasonable prior given Week 3's finding that distance and delivery time are strongly, near-linearly correlated), a single Decision Tree (captures non-linear splits, easy to explain to non-technical hub managers), and Random Forest (an ensemble expected to generalize better and provide robust feature-importance estimates).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200"/>
              <w:left w:type="dxa" w:w="220"/>
              <w:bottom w:type="dxa" w:w="200"/>
              <w:right w:type="dxa" w:w="220"/>
            </w:tcMar>
          </w:tcPr>
          <w:p>
            <w:pPr>
              <w:spacing w:after="20"/>
            </w:pPr>
            <w:r>
              <w:rPr>
                <w:rFonts w:ascii="Consolas" w:cs="Consolas" w:eastAsia="Consolas" w:hAnsi="Consolas"/>
                <w:color w:val="D4D4D4"/>
                <w:sz w:val="18"/>
                <w:szCs w:val="18"/>
              </w:rPr>
              <w:t xml:space="preserve">preprocess = ColumnTransformer([</w:t>
            </w:r>
          </w:p>
          <w:p>
            <w:pPr>
              <w:spacing w:after="20"/>
            </w:pPr>
            <w:r>
              <w:rPr>
                <w:rFonts w:ascii="Consolas" w:cs="Consolas" w:eastAsia="Consolas" w:hAnsi="Consolas"/>
                <w:color w:val="D4D4D4"/>
                <w:sz w:val="18"/>
                <w:szCs w:val="18"/>
              </w:rPr>
              <w:t xml:space="preserve">    ('cat', OneHotEncoder(drop='first'), FEATURES_CAT),</w:t>
            </w:r>
          </w:p>
          <w:p>
            <w:pPr>
              <w:spacing w:after="20"/>
            </w:pPr>
            <w:r>
              <w:rPr>
                <w:rFonts w:ascii="Consolas" w:cs="Consolas" w:eastAsia="Consolas" w:hAnsi="Consolas"/>
                <w:color w:val="D4D4D4"/>
                <w:sz w:val="18"/>
                <w:szCs w:val="18"/>
              </w:rPr>
              <w:t xml:space="preserve">], remainder='passthrough')</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models = {</w:t>
            </w:r>
          </w:p>
          <w:p>
            <w:pPr>
              <w:spacing w:after="20"/>
            </w:pPr>
            <w:r>
              <w:rPr>
                <w:rFonts w:ascii="Consolas" w:cs="Consolas" w:eastAsia="Consolas" w:hAnsi="Consolas"/>
                <w:color w:val="D4D4D4"/>
                <w:sz w:val="18"/>
                <w:szCs w:val="18"/>
              </w:rPr>
              <w:t xml:space="preserve">    'Linear Regression': LinearRegression(),</w:t>
            </w:r>
          </w:p>
          <w:p>
            <w:pPr>
              <w:spacing w:after="20"/>
            </w:pPr>
            <w:r>
              <w:rPr>
                <w:rFonts w:ascii="Consolas" w:cs="Consolas" w:eastAsia="Consolas" w:hAnsi="Consolas"/>
                <w:color w:val="D4D4D4"/>
                <w:sz w:val="18"/>
                <w:szCs w:val="18"/>
              </w:rPr>
              <w:t xml:space="preserve">    'Decision Tree': DecisionTreeRegressor(max_depth=6, random_state=42),</w:t>
            </w:r>
          </w:p>
          <w:p>
            <w:pPr>
              <w:spacing w:after="20"/>
            </w:pPr>
            <w:r>
              <w:rPr>
                <w:rFonts w:ascii="Consolas" w:cs="Consolas" w:eastAsia="Consolas" w:hAnsi="Consolas"/>
                <w:color w:val="D4D4D4"/>
                <w:sz w:val="18"/>
                <w:szCs w:val="18"/>
              </w:rPr>
              <w:t xml:space="preserve">    'Random Forest': RandomForestRegressor(</w:t>
            </w:r>
          </w:p>
          <w:p>
            <w:pPr>
              <w:spacing w:after="20"/>
            </w:pPr>
            <w:r>
              <w:rPr>
                <w:rFonts w:ascii="Consolas" w:cs="Consolas" w:eastAsia="Consolas" w:hAnsi="Consolas"/>
                <w:color w:val="D4D4D4"/>
                <w:sz w:val="18"/>
                <w:szCs w:val="18"/>
              </w:rPr>
              <w:t xml:space="preserve">        n_estimators=200, max_depth=8, random_state=42),</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for name, model in models.items():</w:t>
            </w:r>
          </w:p>
          <w:p>
            <w:pPr>
              <w:spacing w:after="20"/>
            </w:pPr>
            <w:r>
              <w:rPr>
                <w:rFonts w:ascii="Consolas" w:cs="Consolas" w:eastAsia="Consolas" w:hAnsi="Consolas"/>
                <w:color w:val="D4D4D4"/>
                <w:sz w:val="18"/>
                <w:szCs w:val="18"/>
              </w:rPr>
              <w:t xml:space="preserve">    pipe = Pipeline([('prep', preprocess), ('model', model)])</w:t>
            </w:r>
          </w:p>
          <w:p>
            <w:pPr>
              <w:spacing w:after="20"/>
            </w:pPr>
            <w:r>
              <w:rPr>
                <w:rFonts w:ascii="Consolas" w:cs="Consolas" w:eastAsia="Consolas" w:hAnsi="Consolas"/>
                <w:color w:val="D4D4D4"/>
                <w:sz w:val="18"/>
                <w:szCs w:val="18"/>
              </w:rPr>
              <w:t xml:space="preserve">    pipe.fit(X_train, y_train)</w:t>
            </w:r>
          </w:p>
          <w:p>
            <w:pPr>
              <w:spacing w:after="20"/>
            </w:pPr>
            <w:r>
              <w:rPr>
                <w:rFonts w:ascii="Consolas" w:cs="Consolas" w:eastAsia="Consolas" w:hAnsi="Consolas"/>
                <w:color w:val="D4D4D4"/>
                <w:sz w:val="18"/>
                <w:szCs w:val="18"/>
              </w:rPr>
              <w:t xml:space="preserve">    preds = pipe.predict(X_test)</w:t>
            </w:r>
          </w:p>
          <w:p>
            <w:pPr>
              <w:spacing w:after="20"/>
            </w:pPr>
            <w:r>
              <w:rPr>
                <w:rFonts w:ascii="Consolas" w:cs="Consolas" w:eastAsia="Consolas" w:hAnsi="Consolas"/>
                <w:color w:val="D4D4D4"/>
                <w:sz w:val="18"/>
                <w:szCs w:val="18"/>
              </w:rPr>
              <w:t xml:space="preserve">    # ... compute RMSE, MAE, R2 (see Section 4) ...</w:t>
            </w:r>
          </w:p>
        </w:tc>
      </w:tr>
    </w:tbl>
    <w:p>
      <w:pPr>
        <w:pStyle w:val="Heading1"/>
        <w:pBdr>
          <w:bottom w:val="single" w:color="C0511A" w:sz="8" w:space="4"/>
        </w:pBdr>
        <w:spacing w:after="180" w:before="380"/>
      </w:pPr>
      <w:r>
        <w:rPr>
          <w:b/>
          <w:bCs/>
          <w:color w:val="C0511A"/>
          <w:sz w:val="30"/>
          <w:szCs w:val="30"/>
        </w:rPr>
        <w:t xml:space="preserve">4. Evaluation and Validation</w:t>
      </w:r>
    </w:p>
    <w:p>
      <w:pPr>
        <w:pStyle w:val="Heading2"/>
        <w:spacing w:after="120" w:before="260"/>
      </w:pPr>
      <w:r>
        <w:rPr>
          <w:b/>
          <w:bCs/>
          <w:color w:val="1F2937"/>
          <w:sz w:val="24"/>
          <w:szCs w:val="24"/>
        </w:rPr>
        <w:t xml:space="preserve">4.1 Metrics Used</w:t>
      </w:r>
    </w:p>
    <w:p>
      <w:pPr>
        <w:pStyle w:val="ListParagraph"/>
        <w:numPr>
          <w:ilvl w:val="0"/>
          <w:numId w:val="2"/>
        </w:numPr>
        <w:spacing w:after="100" w:line="290"/>
      </w:pPr>
      <w:r>
        <w:rPr>
          <w:b w:val="false"/>
          <w:bCs w:val="false"/>
          <w:color w:val="1F2937"/>
          <w:sz w:val="22"/>
          <w:szCs w:val="22"/>
        </w:rPr>
        <w:t xml:space="preserve"/>
      </w:r>
      <w:r>
        <w:rPr>
          <w:b/>
          <w:bCs/>
          <w:color w:val="1F2937"/>
          <w:sz w:val="22"/>
          <w:szCs w:val="22"/>
        </w:rPr>
        <w:t xml:space="preserve">RMSE (Root Mean Squared Error)</w:t>
      </w:r>
      <w:r>
        <w:rPr>
          <w:b w:val="false"/>
          <w:bCs w:val="false"/>
          <w:color w:val="1F2937"/>
          <w:sz w:val="22"/>
          <w:szCs w:val="22"/>
        </w:rPr>
        <w:t xml:space="preserve"> — in the same unit as the target (hours); penalizes large errors more heavily, relevant since large delivery-time misses are operationally the most costly to get wrong.</w:t>
      </w:r>
    </w:p>
    <w:p>
      <w:pPr>
        <w:pStyle w:val="ListParagraph"/>
        <w:numPr>
          <w:ilvl w:val="0"/>
          <w:numId w:val="2"/>
        </w:numPr>
        <w:spacing w:after="100" w:line="290"/>
      </w:pPr>
      <w:r>
        <w:rPr>
          <w:b w:val="false"/>
          <w:bCs w:val="false"/>
          <w:color w:val="1F2937"/>
          <w:sz w:val="22"/>
          <w:szCs w:val="22"/>
        </w:rPr>
        <w:t xml:space="preserve"/>
      </w:r>
      <w:r>
        <w:rPr>
          <w:b/>
          <w:bCs/>
          <w:color w:val="1F2937"/>
          <w:sz w:val="22"/>
          <w:szCs w:val="22"/>
        </w:rPr>
        <w:t xml:space="preserve">MAE (Mean Absolute Error)</w:t>
      </w:r>
      <w:r>
        <w:rPr>
          <w:b w:val="false"/>
          <w:bCs w:val="false"/>
          <w:color w:val="1F2937"/>
          <w:sz w:val="22"/>
          <w:szCs w:val="22"/>
        </w:rPr>
        <w:t xml:space="preserve"> — average absolute error in hours; more robust to the small number of extreme outliers identified in Week 3's EDA.</w:t>
      </w:r>
    </w:p>
    <w:p>
      <w:pPr>
        <w:pStyle w:val="ListParagraph"/>
        <w:numPr>
          <w:ilvl w:val="0"/>
          <w:numId w:val="2"/>
        </w:numPr>
        <w:spacing w:after="100" w:line="290"/>
      </w:pPr>
      <w:r>
        <w:rPr>
          <w:b w:val="false"/>
          <w:bCs w:val="false"/>
          <w:color w:val="1F2937"/>
          <w:sz w:val="22"/>
          <w:szCs w:val="22"/>
        </w:rPr>
        <w:t xml:space="preserve"/>
      </w:r>
      <w:r>
        <w:rPr>
          <w:b/>
          <w:bCs/>
          <w:color w:val="1F2937"/>
          <w:sz w:val="22"/>
          <w:szCs w:val="22"/>
        </w:rPr>
        <w:t xml:space="preserve">R² (Coefficient of Determination)</w:t>
      </w:r>
      <w:r>
        <w:rPr>
          <w:b w:val="false"/>
          <w:bCs w:val="false"/>
          <w:color w:val="1F2937"/>
          <w:sz w:val="22"/>
          <w:szCs w:val="22"/>
        </w:rPr>
        <w:t xml:space="preserve"> — proportion of variance in delivery time explained by the model, used to compare models on a common scale.</w:t>
      </w:r>
    </w:p>
    <w:p>
      <w:pPr>
        <w:pStyle w:val="Heading2"/>
        <w:spacing w:after="120" w:before="260"/>
      </w:pPr>
      <w:r>
        <w:rPr>
          <w:b/>
          <w:bCs/>
          <w:color w:val="1F2937"/>
          <w:sz w:val="24"/>
          <w:szCs w:val="24"/>
        </w:rPr>
        <w:t xml:space="preserve">4.2 Baseline Model Comparison (held-out test 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750"/>
        <w:gridCol w:w="1750"/>
        <w:gridCol w:w="1350"/>
        <w:gridCol w:w="1500"/>
      </w:tblGrid>
      <w:tr>
        <w:trPr>
          <w:tblHeader/>
        </w:trPr>
        <w:tc>
          <w:tcPr>
            <w:shd w:fill="C0511A" w:val="clear"/>
            <w:tcMar>
              <w:top w:type="dxa" w:w="100"/>
              <w:left w:type="dxa" w:w="120"/>
              <w:bottom w:type="dxa" w:w="100"/>
              <w:right w:type="dxa" w:w="120"/>
            </w:tcMar>
          </w:tcPr>
          <w:p>
            <w:r>
              <w:rPr>
                <w:b/>
                <w:bCs/>
                <w:color w:val="FFFFFF"/>
                <w:sz w:val="20"/>
                <w:szCs w:val="20"/>
              </w:rPr>
              <w:t xml:space="preserve">Model</w:t>
            </w:r>
          </w:p>
        </w:tc>
        <w:tc>
          <w:tcPr>
            <w:shd w:fill="C0511A" w:val="clear"/>
            <w:tcMar>
              <w:top w:type="dxa" w:w="100"/>
              <w:left w:type="dxa" w:w="120"/>
              <w:bottom w:type="dxa" w:w="100"/>
              <w:right w:type="dxa" w:w="120"/>
            </w:tcMar>
          </w:tcPr>
          <w:p>
            <w:r>
              <w:rPr>
                <w:b/>
                <w:bCs/>
                <w:color w:val="FFFFFF"/>
                <w:sz w:val="20"/>
                <w:szCs w:val="20"/>
              </w:rPr>
              <w:t xml:space="preserve">Test RMSE (hrs)</w:t>
            </w:r>
          </w:p>
        </w:tc>
        <w:tc>
          <w:tcPr>
            <w:shd w:fill="C0511A" w:val="clear"/>
            <w:tcMar>
              <w:top w:type="dxa" w:w="100"/>
              <w:left w:type="dxa" w:w="120"/>
              <w:bottom w:type="dxa" w:w="100"/>
              <w:right w:type="dxa" w:w="120"/>
            </w:tcMar>
          </w:tcPr>
          <w:p>
            <w:r>
              <w:rPr>
                <w:b/>
                <w:bCs/>
                <w:color w:val="FFFFFF"/>
                <w:sz w:val="20"/>
                <w:szCs w:val="20"/>
              </w:rPr>
              <w:t xml:space="preserve">Test MAE (hrs)</w:t>
            </w:r>
          </w:p>
        </w:tc>
        <w:tc>
          <w:tcPr>
            <w:shd w:fill="C0511A" w:val="clear"/>
            <w:tcMar>
              <w:top w:type="dxa" w:w="100"/>
              <w:left w:type="dxa" w:w="120"/>
              <w:bottom w:type="dxa" w:w="100"/>
              <w:right w:type="dxa" w:w="120"/>
            </w:tcMar>
          </w:tcPr>
          <w:p>
            <w:r>
              <w:rPr>
                <w:b/>
                <w:bCs/>
                <w:color w:val="FFFFFF"/>
                <w:sz w:val="20"/>
                <w:szCs w:val="20"/>
              </w:rPr>
              <w:t xml:space="preserve">Test R²</w:t>
            </w:r>
          </w:p>
        </w:tc>
        <w:tc>
          <w:tcPr>
            <w:shd w:fill="C0511A" w:val="clear"/>
            <w:tcMar>
              <w:top w:type="dxa" w:w="100"/>
              <w:left w:type="dxa" w:w="120"/>
              <w:bottom w:type="dxa" w:w="100"/>
              <w:right w:type="dxa" w:w="120"/>
            </w:tcMar>
          </w:tcPr>
          <w:p>
            <w:r>
              <w:rPr>
                <w:b/>
                <w:bCs/>
                <w:color w:val="FFFFFF"/>
                <w:sz w:val="20"/>
                <w:szCs w:val="20"/>
              </w:rPr>
              <w:t xml:space="preserve">5-Fold CV RMSE</w:t>
            </w:r>
          </w:p>
        </w:tc>
      </w:tr>
      <w:tr>
        <w:tc>
          <w:tcPr>
            <w:shd w:fill="FFFFFF" w:val="clear"/>
            <w:tcMar>
              <w:top w:type="dxa" w:w="100"/>
              <w:left w:type="dxa" w:w="120"/>
              <w:bottom w:type="dxa" w:w="100"/>
              <w:right w:type="dxa" w:w="120"/>
            </w:tcMar>
          </w:tcPr>
          <w:p>
            <w:r>
              <w:rPr>
                <w:color w:val="1F2937"/>
                <w:sz w:val="20"/>
                <w:szCs w:val="20"/>
              </w:rPr>
              <w:t xml:space="preserve">Linear Regression</w:t>
            </w:r>
          </w:p>
        </w:tc>
        <w:tc>
          <w:tcPr>
            <w:shd w:fill="FFFFFF" w:val="clear"/>
            <w:tcMar>
              <w:top w:type="dxa" w:w="100"/>
              <w:left w:type="dxa" w:w="120"/>
              <w:bottom w:type="dxa" w:w="100"/>
              <w:right w:type="dxa" w:w="120"/>
            </w:tcMar>
          </w:tcPr>
          <w:p>
            <w:r>
              <w:rPr>
                <w:color w:val="1F2937"/>
                <w:sz w:val="20"/>
                <w:szCs w:val="20"/>
              </w:rPr>
              <w:t xml:space="preserve">1.942</w:t>
            </w:r>
          </w:p>
        </w:tc>
        <w:tc>
          <w:tcPr>
            <w:shd w:fill="FFFFFF" w:val="clear"/>
            <w:tcMar>
              <w:top w:type="dxa" w:w="100"/>
              <w:left w:type="dxa" w:w="120"/>
              <w:bottom w:type="dxa" w:w="100"/>
              <w:right w:type="dxa" w:w="120"/>
            </w:tcMar>
          </w:tcPr>
          <w:p>
            <w:r>
              <w:rPr>
                <w:color w:val="1F2937"/>
                <w:sz w:val="20"/>
                <w:szCs w:val="20"/>
              </w:rPr>
              <w:t xml:space="preserve">1.564</w:t>
            </w:r>
          </w:p>
        </w:tc>
        <w:tc>
          <w:tcPr>
            <w:shd w:fill="FFFFFF" w:val="clear"/>
            <w:tcMar>
              <w:top w:type="dxa" w:w="100"/>
              <w:left w:type="dxa" w:w="120"/>
              <w:bottom w:type="dxa" w:w="100"/>
              <w:right w:type="dxa" w:w="120"/>
            </w:tcMar>
          </w:tcPr>
          <w:p>
            <w:r>
              <w:rPr>
                <w:color w:val="1F2937"/>
                <w:sz w:val="20"/>
                <w:szCs w:val="20"/>
              </w:rPr>
              <w:t xml:space="preserve">0.753</w:t>
            </w:r>
          </w:p>
        </w:tc>
        <w:tc>
          <w:tcPr>
            <w:shd w:fill="FFFFFF" w:val="clear"/>
            <w:tcMar>
              <w:top w:type="dxa" w:w="100"/>
              <w:left w:type="dxa" w:w="120"/>
              <w:bottom w:type="dxa" w:w="100"/>
              <w:right w:type="dxa" w:w="120"/>
            </w:tcMar>
          </w:tcPr>
          <w:p>
            <w:r>
              <w:rPr>
                <w:color w:val="1F2937"/>
                <w:sz w:val="20"/>
                <w:szCs w:val="20"/>
              </w:rPr>
              <w:t xml:space="preserve">1.834 ± 0.055</w:t>
            </w:r>
          </w:p>
        </w:tc>
      </w:tr>
      <w:tr>
        <w:tc>
          <w:tcPr>
            <w:shd w:fill="F3EFE9" w:val="clear"/>
            <w:tcMar>
              <w:top w:type="dxa" w:w="100"/>
              <w:left w:type="dxa" w:w="120"/>
              <w:bottom w:type="dxa" w:w="100"/>
              <w:right w:type="dxa" w:w="120"/>
            </w:tcMar>
          </w:tcPr>
          <w:p>
            <w:r>
              <w:rPr>
                <w:color w:val="1F2937"/>
                <w:sz w:val="20"/>
                <w:szCs w:val="20"/>
              </w:rPr>
              <w:t xml:space="preserve">Random Forest (default)</w:t>
            </w:r>
          </w:p>
        </w:tc>
        <w:tc>
          <w:tcPr>
            <w:shd w:fill="F3EFE9" w:val="clear"/>
            <w:tcMar>
              <w:top w:type="dxa" w:w="100"/>
              <w:left w:type="dxa" w:w="120"/>
              <w:bottom w:type="dxa" w:w="100"/>
              <w:right w:type="dxa" w:w="120"/>
            </w:tcMar>
          </w:tcPr>
          <w:p>
            <w:r>
              <w:rPr>
                <w:color w:val="1F2937"/>
                <w:sz w:val="20"/>
                <w:szCs w:val="20"/>
              </w:rPr>
              <w:t xml:space="preserve">1.944</w:t>
            </w:r>
          </w:p>
        </w:tc>
        <w:tc>
          <w:tcPr>
            <w:shd w:fill="F3EFE9" w:val="clear"/>
            <w:tcMar>
              <w:top w:type="dxa" w:w="100"/>
              <w:left w:type="dxa" w:w="120"/>
              <w:bottom w:type="dxa" w:w="100"/>
              <w:right w:type="dxa" w:w="120"/>
            </w:tcMar>
          </w:tcPr>
          <w:p>
            <w:r>
              <w:rPr>
                <w:color w:val="1F2937"/>
                <w:sz w:val="20"/>
                <w:szCs w:val="20"/>
              </w:rPr>
              <w:t xml:space="preserve">1.572</w:t>
            </w:r>
          </w:p>
        </w:tc>
        <w:tc>
          <w:tcPr>
            <w:shd w:fill="F3EFE9" w:val="clear"/>
            <w:tcMar>
              <w:top w:type="dxa" w:w="100"/>
              <w:left w:type="dxa" w:w="120"/>
              <w:bottom w:type="dxa" w:w="100"/>
              <w:right w:type="dxa" w:w="120"/>
            </w:tcMar>
          </w:tcPr>
          <w:p>
            <w:r>
              <w:rPr>
                <w:color w:val="1F2937"/>
                <w:sz w:val="20"/>
                <w:szCs w:val="20"/>
              </w:rPr>
              <w:t xml:space="preserve">0.752</w:t>
            </w:r>
          </w:p>
        </w:tc>
        <w:tc>
          <w:tcPr>
            <w:shd w:fill="F3EFE9" w:val="clear"/>
            <w:tcMar>
              <w:top w:type="dxa" w:w="100"/>
              <w:left w:type="dxa" w:w="120"/>
              <w:bottom w:type="dxa" w:w="100"/>
              <w:right w:type="dxa" w:w="120"/>
            </w:tcMar>
          </w:tcPr>
          <w:p>
            <w:r>
              <w:rPr>
                <w:color w:val="1F2937"/>
                <w:sz w:val="20"/>
                <w:szCs w:val="20"/>
              </w:rPr>
              <w:t xml:space="preserve">1.881 ± 0.052</w:t>
            </w:r>
          </w:p>
        </w:tc>
      </w:tr>
      <w:tr>
        <w:tc>
          <w:tcPr>
            <w:shd w:fill="FFFFFF" w:val="clear"/>
            <w:tcMar>
              <w:top w:type="dxa" w:w="100"/>
              <w:left w:type="dxa" w:w="120"/>
              <w:bottom w:type="dxa" w:w="100"/>
              <w:right w:type="dxa" w:w="120"/>
            </w:tcMar>
          </w:tcPr>
          <w:p>
            <w:r>
              <w:rPr>
                <w:color w:val="1F2937"/>
                <w:sz w:val="20"/>
                <w:szCs w:val="20"/>
              </w:rPr>
              <w:t xml:space="preserve">Decision Tree</w:t>
            </w:r>
          </w:p>
        </w:tc>
        <w:tc>
          <w:tcPr>
            <w:shd w:fill="FFFFFF" w:val="clear"/>
            <w:tcMar>
              <w:top w:type="dxa" w:w="100"/>
              <w:left w:type="dxa" w:w="120"/>
              <w:bottom w:type="dxa" w:w="100"/>
              <w:right w:type="dxa" w:w="120"/>
            </w:tcMar>
          </w:tcPr>
          <w:p>
            <w:r>
              <w:rPr>
                <w:color w:val="1F2937"/>
                <w:sz w:val="20"/>
                <w:szCs w:val="20"/>
              </w:rPr>
              <w:t xml:space="preserve">1.949</w:t>
            </w:r>
          </w:p>
        </w:tc>
        <w:tc>
          <w:tcPr>
            <w:shd w:fill="FFFFFF" w:val="clear"/>
            <w:tcMar>
              <w:top w:type="dxa" w:w="100"/>
              <w:left w:type="dxa" w:w="120"/>
              <w:bottom w:type="dxa" w:w="100"/>
              <w:right w:type="dxa" w:w="120"/>
            </w:tcMar>
          </w:tcPr>
          <w:p>
            <w:r>
              <w:rPr>
                <w:color w:val="1F2937"/>
                <w:sz w:val="20"/>
                <w:szCs w:val="20"/>
              </w:rPr>
              <w:t xml:space="preserve">1.570</w:t>
            </w:r>
          </w:p>
        </w:tc>
        <w:tc>
          <w:tcPr>
            <w:shd w:fill="FFFFFF" w:val="clear"/>
            <w:tcMar>
              <w:top w:type="dxa" w:w="100"/>
              <w:left w:type="dxa" w:w="120"/>
              <w:bottom w:type="dxa" w:w="100"/>
              <w:right w:type="dxa" w:w="120"/>
            </w:tcMar>
          </w:tcPr>
          <w:p>
            <w:r>
              <w:rPr>
                <w:color w:val="1F2937"/>
                <w:sz w:val="20"/>
                <w:szCs w:val="20"/>
              </w:rPr>
              <w:t xml:space="preserve">0.751</w:t>
            </w:r>
          </w:p>
        </w:tc>
        <w:tc>
          <w:tcPr>
            <w:shd w:fill="FFFFFF" w:val="clear"/>
            <w:tcMar>
              <w:top w:type="dxa" w:w="100"/>
              <w:left w:type="dxa" w:w="120"/>
              <w:bottom w:type="dxa" w:w="100"/>
              <w:right w:type="dxa" w:w="120"/>
            </w:tcMar>
          </w:tcPr>
          <w:p>
            <w:r>
              <w:rPr>
                <w:color w:val="1F2937"/>
                <w:sz w:val="20"/>
                <w:szCs w:val="20"/>
              </w:rPr>
              <w:t xml:space="preserve">1.921 ± 0.078</w:t>
            </w:r>
          </w:p>
        </w:tc>
      </w:tr>
    </w:tbl>
    <w:p>
      <w:pPr>
        <w:spacing w:after="80" w:before="120"/>
        <w:jc w:val="center"/>
      </w:pPr>
      <w:r>
        <w:drawing>
          <wp:inline distT="0" distB="0" distL="0" distR="0">
            <wp:extent cx="3810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343150"/>
                    </a:xfrm>
                    <a:prstGeom prst="rect">
                      <a:avLst/>
                    </a:prstGeom>
                  </pic:spPr>
                </pic:pic>
              </a:graphicData>
            </a:graphic>
          </wp:inline>
        </w:drawing>
      </w:r>
    </w:p>
    <w:p>
      <w:pPr>
        <w:spacing w:after="200"/>
        <w:jc w:val="center"/>
      </w:pPr>
      <w:r>
        <w:rPr>
          <w:i/>
          <w:iCs/>
          <w:color w:val="6B7280"/>
          <w:sz w:val="18"/>
          <w:szCs w:val="18"/>
        </w:rPr>
        <w:t xml:space="preserve">Figure 1 — Test RMSE across the three candidate models.</w:t>
      </w:r>
    </w:p>
    <w:p>
      <w:pPr>
        <w:spacing w:after="160" w:line="300"/>
      </w:pPr>
      <w:r>
        <w:rPr>
          <w:color w:val="1F2937"/>
          <w:sz w:val="22"/>
          <w:szCs w:val="22"/>
        </w:rPr>
        <w:t xml:space="preserve">All three models perform almost identically on this dataset (RMSE within 0.01 hrs of each other). This is a meaningful finding, not a null result: it confirms Week 3's observation that delivery time is driven overwhelmingly by a single near-linear factor (distance × hub congestion), so more flexible models gain little over a simple linear fit. Linear Regression's tighter cross-validation spread (± 0.055 vs. Decision Tree's ± 0.078) also makes it the more stable choice if simplicity and interpretability are priorities.</w:t>
      </w:r>
    </w:p>
    <w:p>
      <w:pPr>
        <w:pStyle w:val="Heading2"/>
        <w:spacing w:after="120" w:before="260"/>
      </w:pPr>
      <w:r>
        <w:rPr>
          <w:b/>
          <w:bCs/>
          <w:color w:val="1F2937"/>
          <w:sz w:val="24"/>
          <w:szCs w:val="24"/>
        </w:rPr>
        <w:t xml:space="preserve">4.3 Hyperparameter Tuning (Random Forest)</w:t>
      </w:r>
    </w:p>
    <w:p>
      <w:pPr>
        <w:spacing w:after="160" w:line="300"/>
      </w:pPr>
      <w:r>
        <w:rPr>
          <w:color w:val="1F2937"/>
          <w:sz w:val="22"/>
          <w:szCs w:val="22"/>
        </w:rPr>
        <w:t xml:space="preserve">Since Random Forest offers the clearest path to feature-importance diagnostics for the optimization section, it was tuned via 5-fold grid search to see whether it could out-perform the untuned baseline.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200"/>
              <w:left w:type="dxa" w:w="220"/>
              <w:bottom w:type="dxa" w:w="200"/>
              <w:right w:type="dxa" w:w="220"/>
            </w:tcMar>
          </w:tcPr>
          <w:p>
            <w:pPr>
              <w:spacing w:after="20"/>
            </w:pPr>
            <w:r>
              <w:rPr>
                <w:rFonts w:ascii="Consolas" w:cs="Consolas" w:eastAsia="Consolas" w:hAnsi="Consolas"/>
                <w:color w:val="D4D4D4"/>
                <w:sz w:val="18"/>
                <w:szCs w:val="18"/>
              </w:rPr>
              <w:t xml:space="preserve">param_grid = {</w:t>
            </w:r>
          </w:p>
          <w:p>
            <w:pPr>
              <w:spacing w:after="20"/>
            </w:pPr>
            <w:r>
              <w:rPr>
                <w:rFonts w:ascii="Consolas" w:cs="Consolas" w:eastAsia="Consolas" w:hAnsi="Consolas"/>
                <w:color w:val="D4D4D4"/>
                <w:sz w:val="18"/>
                <w:szCs w:val="18"/>
              </w:rPr>
              <w:t xml:space="preserve">    'model__n_estimators': [100, 200, 300],</w:t>
            </w:r>
          </w:p>
          <w:p>
            <w:pPr>
              <w:spacing w:after="20"/>
            </w:pPr>
            <w:r>
              <w:rPr>
                <w:rFonts w:ascii="Consolas" w:cs="Consolas" w:eastAsia="Consolas" w:hAnsi="Consolas"/>
                <w:color w:val="D4D4D4"/>
                <w:sz w:val="18"/>
                <w:szCs w:val="18"/>
              </w:rPr>
              <w:t xml:space="preserve">    'model__max_depth': [4, 6, 8, None],</w:t>
            </w:r>
          </w:p>
          <w:p>
            <w:pPr>
              <w:spacing w:after="20"/>
            </w:pPr>
            <w:r>
              <w:rPr>
                <w:rFonts w:ascii="Consolas" w:cs="Consolas" w:eastAsia="Consolas" w:hAnsi="Consolas"/>
                <w:color w:val="D4D4D4"/>
                <w:sz w:val="18"/>
                <w:szCs w:val="18"/>
              </w:rPr>
              <w:t xml:space="preserve">    'model__min_samples_leaf': [1, 5, 10],</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grid = GridSearchCV(rf_pipe, param_grid, cv=kfold,</w:t>
            </w:r>
          </w:p>
          <w:p>
            <w:pPr>
              <w:spacing w:after="20"/>
            </w:pPr>
            <w:r>
              <w:rPr>
                <w:rFonts w:ascii="Consolas" w:cs="Consolas" w:eastAsia="Consolas" w:hAnsi="Consolas"/>
                <w:color w:val="D4D4D4"/>
                <w:sz w:val="18"/>
                <w:szCs w:val="18"/>
              </w:rPr>
              <w:t xml:space="preserve">                     scoring='neg_root_mean_squared_error', n_jobs=-1)</w:t>
            </w:r>
          </w:p>
          <w:p>
            <w:pPr>
              <w:spacing w:after="20"/>
            </w:pPr>
            <w:r>
              <w:rPr>
                <w:rFonts w:ascii="Consolas" w:cs="Consolas" w:eastAsia="Consolas" w:hAnsi="Consolas"/>
                <w:color w:val="D4D4D4"/>
                <w:sz w:val="18"/>
                <w:szCs w:val="18"/>
              </w:rPr>
              <w:t xml:space="preserve">grid.fit(X_train, y_train)</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Best params: {'max_depth': 6, 'min_samples_leaf': 1, 'n_estimators': 200}</w:t>
            </w:r>
          </w:p>
          <w:p>
            <w:pPr>
              <w:spacing w:after="20"/>
            </w:pPr>
            <w:r>
              <w:rPr>
                <w:rFonts w:ascii="Consolas" w:cs="Consolas" w:eastAsia="Consolas" w:hAnsi="Consolas"/>
                <w:color w:val="D4D4D4"/>
                <w:sz w:val="18"/>
                <w:szCs w:val="18"/>
              </w:rPr>
              <w:t xml:space="preserve"># Tuned RF -&gt; RMSE: 1.914 | MAE: 1.537 | R2: 0.760</w:t>
            </w:r>
          </w:p>
        </w:tc>
      </w:tr>
    </w:tbl>
    <w:p>
      <w:pPr>
        <w:spacing w:after="160" w:line="300"/>
      </w:pPr>
      <w:r>
        <w:rPr>
          <w:color w:val="1F2937"/>
          <w:sz w:val="22"/>
          <w:szCs w:val="22"/>
        </w:rPr>
        <w:t xml:space="preserve">Tuning improved Random Forest modestly (RMSE 1.944 → 1.914 hrs, R² 0.752 → 0.760) — a small but real gain, consistent with the earlier finding that there isn't much non-linear structure left for a more flexible model to capture.</w:t>
      </w:r>
    </w:p>
    <w:p>
      <w:pPr>
        <w:spacing w:after="80" w:before="120"/>
        <w:jc w:val="center"/>
      </w:pPr>
      <w:r>
        <w:drawing>
          <wp:inline distT="0" distB="0" distL="0" distR="0">
            <wp:extent cx="3619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543300"/>
                    </a:xfrm>
                    <a:prstGeom prst="rect">
                      <a:avLst/>
                    </a:prstGeom>
                  </pic:spPr>
                </pic:pic>
              </a:graphicData>
            </a:graphic>
          </wp:inline>
        </w:drawing>
      </w:r>
    </w:p>
    <w:p>
      <w:pPr>
        <w:spacing w:after="200"/>
        <w:jc w:val="center"/>
      </w:pPr>
      <w:r>
        <w:rPr>
          <w:i/>
          <w:iCs/>
          <w:color w:val="6B7280"/>
          <w:sz w:val="18"/>
          <w:szCs w:val="18"/>
        </w:rPr>
        <w:t xml:space="preserve">Figure 2 — Actual vs. predicted delivery time on the held-out test set (tuned Random Forest).</w:t>
      </w:r>
    </w:p>
    <w:p>
      <w:pPr>
        <w:spacing w:after="160" w:line="300"/>
      </w:pPr>
      <w:r>
        <w:rPr>
          <w:color w:val="1F2937"/>
          <w:sz w:val="22"/>
          <w:szCs w:val="22"/>
        </w:rPr>
        <w:t xml:space="preserve">Predictions track the diagonal well through the bulk of the distribution (roughly 3–15 hours) but the model systematically under-predicts the small number of very long deliveries (20+ hours) — the same long tail flagged in Week 3's EDA. This is an expected and important limitation: the model is reliable for routine SLA-risk flagging but should not be the sole safeguard against extreme delays, which likely stem from non-modeled events (traffic incidents, vehicle breakdowns) rather than the routine distance/hub pattern captured here.</w:t>
      </w:r>
    </w:p>
    <w:p>
      <w:pPr>
        <w:spacing w:after="80" w:before="120"/>
        <w:jc w:val="center"/>
      </w:pPr>
      <w:r>
        <w:drawing>
          <wp:inline distT="0" distB="0" distL="0" distR="0">
            <wp:extent cx="4381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514600"/>
                    </a:xfrm>
                    <a:prstGeom prst="rect">
                      <a:avLst/>
                    </a:prstGeom>
                  </pic:spPr>
                </pic:pic>
              </a:graphicData>
            </a:graphic>
          </wp:inline>
        </w:drawing>
      </w:r>
    </w:p>
    <w:p>
      <w:pPr>
        <w:spacing w:after="200"/>
        <w:jc w:val="center"/>
      </w:pPr>
      <w:r>
        <w:rPr>
          <w:i/>
          <w:iCs/>
          <w:color w:val="6B7280"/>
          <w:sz w:val="18"/>
          <w:szCs w:val="18"/>
        </w:rPr>
        <w:t xml:space="preserve">Figure 3 — Residuals vs. predicted values, tuned Random Forest.</w:t>
      </w:r>
    </w:p>
    <w:p>
      <w:pPr>
        <w:spacing w:after="160" w:line="300"/>
      </w:pPr>
      <w:r>
        <w:rPr>
          <w:color w:val="1F2937"/>
          <w:sz w:val="22"/>
          <w:szCs w:val="22"/>
        </w:rPr>
        <w:t xml:space="preserve">Residuals are centered near zero with no strong funnel or curve pattern through the main mass of predictions, which supports the model's validity for typical shipments; the handful of large positive residuals at the right again correspond to the long-tail deliveries noted above.</w:t>
      </w:r>
    </w:p>
    <w:p>
      <w:pPr>
        <w:pStyle w:val="Heading2"/>
        <w:spacing w:after="120" w:before="260"/>
      </w:pPr>
      <w:r>
        <w:rPr>
          <w:b/>
          <w:bCs/>
          <w:color w:val="1F2937"/>
          <w:sz w:val="24"/>
          <w:szCs w:val="24"/>
        </w:rPr>
        <w:t xml:space="preserve">4.4 Feature Importance</w:t>
      </w:r>
    </w:p>
    <w:p>
      <w:pPr>
        <w:spacing w:after="80" w:before="120"/>
        <w:jc w:val="center"/>
      </w:pPr>
      <w:r>
        <w:drawing>
          <wp:inline distT="0" distB="0" distL="0" distR="0">
            <wp:extent cx="4381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14600"/>
                    </a:xfrm>
                    <a:prstGeom prst="rect">
                      <a:avLst/>
                    </a:prstGeom>
                  </pic:spPr>
                </pic:pic>
              </a:graphicData>
            </a:graphic>
          </wp:inline>
        </w:drawing>
      </w:r>
    </w:p>
    <w:p>
      <w:pPr>
        <w:spacing w:after="200"/>
        <w:jc w:val="center"/>
      </w:pPr>
      <w:r>
        <w:rPr>
          <w:i/>
          <w:iCs/>
          <w:color w:val="6B7280"/>
          <w:sz w:val="18"/>
          <w:szCs w:val="18"/>
        </w:rPr>
        <w:t xml:space="preserve">Figure 4 — Feature importance from the tuned Random Forest.</w:t>
      </w:r>
    </w:p>
    <w:p>
      <w:pPr>
        <w:spacing w:after="160" w:line="300"/>
      </w:pPr>
      <w:r>
        <w:rPr>
          <w:color w:val="1F2937"/>
          <w:sz w:val="22"/>
          <w:szCs w:val="22"/>
        </w:rPr>
        <w:t xml:space="preserve">distance_km alone accounts for ~93% of the model's predictive signal, with hub identity contributing a further ~6% and shipment volume and weekend timing contributing almost nothing. This numerically confirms Week 3's correlation analysis and sharpens the operational conclusion: distance and hub-level congestion are the only two variables worth acting on.</w:t>
      </w:r>
    </w:p>
    <w:p>
      <w:pPr>
        <w:pStyle w:val="Heading1"/>
        <w:pBdr>
          <w:bottom w:val="single" w:color="C0511A" w:sz="8" w:space="4"/>
        </w:pBdr>
        <w:spacing w:after="180" w:before="380"/>
      </w:pPr>
      <w:r>
        <w:rPr>
          <w:b/>
          <w:bCs/>
          <w:color w:val="C0511A"/>
          <w:sz w:val="30"/>
          <w:szCs w:val="30"/>
        </w:rPr>
        <w:t xml:space="preserve">5. Optimization Strategies</w:t>
      </w:r>
    </w:p>
    <w:p>
      <w:pPr>
        <w:spacing w:after="160" w:line="300"/>
      </w:pPr>
      <w:r>
        <w:rPr>
          <w:color w:val="1F2937"/>
          <w:sz w:val="22"/>
          <w:szCs w:val="22"/>
        </w:rPr>
        <w:t xml:space="preserve">The model's findings translate into three concrete optimization levers, ranked by expected impact:</w:t>
      </w:r>
    </w:p>
    <w:p>
      <w:pPr>
        <w:pStyle w:val="ListParagraph"/>
        <w:numPr>
          <w:ilvl w:val="0"/>
          <w:numId w:val="3"/>
        </w:numPr>
        <w:spacing w:after="140" w:line="290"/>
      </w:pPr>
      <w:r>
        <w:rPr>
          <w:b w:val="false"/>
          <w:bCs w:val="false"/>
          <w:color w:val="1F2937"/>
          <w:sz w:val="22"/>
          <w:szCs w:val="22"/>
        </w:rPr>
        <w:t xml:space="preserve"/>
      </w:r>
      <w:r>
        <w:rPr>
          <w:b/>
          <w:bCs/>
          <w:color w:val="1F2937"/>
          <w:sz w:val="22"/>
          <w:szCs w:val="22"/>
        </w:rPr>
        <w:t xml:space="preserve">Route optimization (highest leverage).</w:t>
      </w:r>
      <w:r>
        <w:rPr>
          <w:b w:val="false"/>
          <w:bCs w:val="false"/>
          <w:color w:val="1F2937"/>
          <w:sz w:val="22"/>
          <w:szCs w:val="22"/>
        </w:rPr>
        <w:t xml:space="preserve"> Since distance is responsible for ~93% of delivery-time variance, the Week 1 zone-clustering + Vehicle Routing Problem (VRP) approach is the single highest-impact intervention available. Reducing average per-shipment distance by even 10–15% through better route sequencing should translate almost linearly into reduced delivery time, based on the near-1:1 relationship this model quantifies.</w:t>
      </w:r>
    </w:p>
    <w:p>
      <w:pPr>
        <w:pStyle w:val="ListParagraph"/>
        <w:numPr>
          <w:ilvl w:val="0"/>
          <w:numId w:val="3"/>
        </w:numPr>
        <w:spacing w:after="140" w:line="290"/>
      </w:pPr>
      <w:r>
        <w:rPr>
          <w:b w:val="false"/>
          <w:bCs w:val="false"/>
          <w:color w:val="1F2937"/>
          <w:sz w:val="22"/>
          <w:szCs w:val="22"/>
        </w:rPr>
        <w:t xml:space="preserve"/>
      </w:r>
      <w:r>
        <w:rPr>
          <w:b/>
          <w:bCs/>
          <w:color w:val="1F2937"/>
          <w:sz w:val="22"/>
          <w:szCs w:val="22"/>
        </w:rPr>
        <w:t xml:space="preserve">Resource (vehicle/staff) reallocation toward Delhi Hub.</w:t>
      </w:r>
      <w:r>
        <w:rPr>
          <w:b w:val="false"/>
          <w:bCs w:val="false"/>
          <w:color w:val="1F2937"/>
          <w:sz w:val="22"/>
          <w:szCs w:val="22"/>
        </w:rPr>
        <w:t xml:space="preserve"> The ~6% importance attributed to hub identity — concentrated in the gap between Delhi Hub and the other two hubs (Week 3: 27.5% vs. 57.2% OTDR) — indicates a congestion effect independent of distance. Reallocating additional delivery vehicles or staggering dispatch windows at Delhi Hub specifically, rather than a network-wide fleet increase, is the more cost-effective fix.</w:t>
      </w:r>
    </w:p>
    <w:p>
      <w:pPr>
        <w:pStyle w:val="ListParagraph"/>
        <w:numPr>
          <w:ilvl w:val="0"/>
          <w:numId w:val="3"/>
        </w:numPr>
        <w:spacing w:after="140" w:line="290"/>
      </w:pPr>
      <w:r>
        <w:rPr>
          <w:b w:val="false"/>
          <w:bCs w:val="false"/>
          <w:color w:val="1F2937"/>
          <w:sz w:val="22"/>
          <w:szCs w:val="22"/>
        </w:rPr>
        <w:t xml:space="preserve"/>
      </w:r>
      <w:r>
        <w:rPr>
          <w:b/>
          <w:bCs/>
          <w:color w:val="1F2937"/>
          <w:sz w:val="22"/>
          <w:szCs w:val="22"/>
        </w:rPr>
        <w:t xml:space="preserve">Predictive dispatch flagging.</w:t>
      </w:r>
      <w:r>
        <w:rPr>
          <w:b w:val="false"/>
          <w:bCs w:val="false"/>
          <w:color w:val="1F2937"/>
          <w:sz w:val="22"/>
          <w:szCs w:val="22"/>
        </w:rPr>
        <w:t xml:space="preserve"> Deploying this model (or the simpler, near-equally-accurate Linear Regression) at the point of dispatch lets QuickRoute flag any shipment with a predicted delivery time exceeding its promised window before the vehicle leaves the hub, enabling proactive re-routing or customer communication rather than a reactive apology after an SLA breach.</w:t>
      </w:r>
    </w:p>
    <w:p>
      <w:pPr>
        <w:pStyle w:val="ListParagraph"/>
        <w:numPr>
          <w:ilvl w:val="0"/>
          <w:numId w:val="3"/>
        </w:numPr>
        <w:spacing w:after="140" w:line="290"/>
      </w:pPr>
      <w:r>
        <w:rPr>
          <w:b w:val="false"/>
          <w:bCs w:val="false"/>
          <w:color w:val="1F2937"/>
          <w:sz w:val="22"/>
          <w:szCs w:val="22"/>
        </w:rPr>
        <w:t xml:space="preserve"/>
      </w:r>
      <w:r>
        <w:rPr>
          <w:b/>
          <w:bCs/>
          <w:color w:val="1F2937"/>
          <w:sz w:val="22"/>
          <w:szCs w:val="22"/>
        </w:rPr>
        <w:t xml:space="preserve">Cost minimization via distance-first routing, not volume consolidation.</w:t>
      </w:r>
      <w:r>
        <w:rPr>
          <w:b w:val="false"/>
          <w:bCs w:val="false"/>
          <w:color w:val="1F2937"/>
          <w:sz w:val="22"/>
          <w:szCs w:val="22"/>
        </w:rPr>
        <w:t xml:space="preserve"> Since shipment_volume has negligible importance for both delivery time (this report) and only weak importance for cost (Week 3: r = 0.27), consolidation-focused cost-cutting efforts (e.g., batching more items per shipment) will yield limited savings. Cost-reduction budget is better spent on the same route-distance optimization already prioritized above — a case where one intervention serves both the time and cost objectives simultaneously.</w:t>
      </w:r>
    </w:p>
    <w:p>
      <w:pPr>
        <w:pStyle w:val="Heading1"/>
        <w:pBdr>
          <w:bottom w:val="single" w:color="C0511A" w:sz="8" w:space="4"/>
        </w:pBdr>
        <w:spacing w:after="180" w:before="380"/>
      </w:pPr>
      <w:r>
        <w:rPr>
          <w:b/>
          <w:bCs/>
          <w:color w:val="C0511A"/>
          <w:sz w:val="30"/>
          <w:szCs w:val="30"/>
        </w:rPr>
        <w:t xml:space="preserve">6. Final Recommendations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00"/>
      </w:tblGrid>
      <w:tr>
        <w:trPr>
          <w:tblHeader/>
        </w:trPr>
        <w:tc>
          <w:tcPr>
            <w:shd w:fill="C0511A" w:val="clear"/>
            <w:tcMar>
              <w:top w:type="dxa" w:w="100"/>
              <w:left w:type="dxa" w:w="120"/>
              <w:bottom w:type="dxa" w:w="100"/>
              <w:right w:type="dxa" w:w="120"/>
            </w:tcMar>
          </w:tcPr>
          <w:p>
            <w:r>
              <w:rPr>
                <w:b/>
                <w:bCs/>
                <w:color w:val="FFFFFF"/>
                <w:sz w:val="20"/>
                <w:szCs w:val="20"/>
              </w:rPr>
              <w:t xml:space="preserve">Recommendation</w:t>
            </w:r>
          </w:p>
        </w:tc>
        <w:tc>
          <w:tcPr>
            <w:shd w:fill="C0511A" w:val="clear"/>
            <w:tcMar>
              <w:top w:type="dxa" w:w="100"/>
              <w:left w:type="dxa" w:w="120"/>
              <w:bottom w:type="dxa" w:w="100"/>
              <w:right w:type="dxa" w:w="120"/>
            </w:tcMar>
          </w:tcPr>
          <w:p>
            <w:r>
              <w:rPr>
                <w:b/>
                <w:bCs/>
                <w:color w:val="FFFFFF"/>
                <w:sz w:val="20"/>
                <w:szCs w:val="20"/>
              </w:rPr>
              <w:t xml:space="preserve">Expected Impact</w:t>
            </w:r>
          </w:p>
        </w:tc>
        <w:tc>
          <w:tcPr>
            <w:shd w:fill="C0511A" w:val="clear"/>
            <w:tcMar>
              <w:top w:type="dxa" w:w="100"/>
              <w:left w:type="dxa" w:w="120"/>
              <w:bottom w:type="dxa" w:w="100"/>
              <w:right w:type="dxa" w:w="120"/>
            </w:tcMar>
          </w:tcPr>
          <w:p>
            <w:r>
              <w:rPr>
                <w:b/>
                <w:bCs/>
                <w:color w:val="FFFFFF"/>
                <w:sz w:val="20"/>
                <w:szCs w:val="20"/>
              </w:rPr>
              <w:t xml:space="preserve">Owner</w:t>
            </w:r>
          </w:p>
        </w:tc>
      </w:tr>
      <w:tr>
        <w:tc>
          <w:tcPr>
            <w:shd w:fill="FFFFFF" w:val="clear"/>
            <w:tcMar>
              <w:top w:type="dxa" w:w="100"/>
              <w:left w:type="dxa" w:w="120"/>
              <w:bottom w:type="dxa" w:w="100"/>
              <w:right w:type="dxa" w:w="120"/>
            </w:tcMar>
          </w:tcPr>
          <w:p>
            <w:r>
              <w:rPr>
                <w:color w:val="1F2937"/>
                <w:sz w:val="20"/>
                <w:szCs w:val="20"/>
              </w:rPr>
              <w:t xml:space="preserve">Deploy zone-based VRP route optimization (Week 1)</w:t>
            </w:r>
          </w:p>
        </w:tc>
        <w:tc>
          <w:tcPr>
            <w:shd w:fill="FFFFFF" w:val="clear"/>
            <w:tcMar>
              <w:top w:type="dxa" w:w="100"/>
              <w:left w:type="dxa" w:w="120"/>
              <w:bottom w:type="dxa" w:w="100"/>
              <w:right w:type="dxa" w:w="120"/>
            </w:tcMar>
          </w:tcPr>
          <w:p>
            <w:r>
              <w:rPr>
                <w:color w:val="1F2937"/>
                <w:sz w:val="20"/>
                <w:szCs w:val="20"/>
              </w:rPr>
              <w:t xml:space="preserve">Largest lever on both delivery time and cost</w:t>
            </w:r>
          </w:p>
        </w:tc>
        <w:tc>
          <w:tcPr>
            <w:shd w:fill="FFFFFF" w:val="clear"/>
            <w:tcMar>
              <w:top w:type="dxa" w:w="100"/>
              <w:left w:type="dxa" w:w="120"/>
              <w:bottom w:type="dxa" w:w="100"/>
              <w:right w:type="dxa" w:w="120"/>
            </w:tcMar>
          </w:tcPr>
          <w:p>
            <w:r>
              <w:rPr>
                <w:color w:val="1F2937"/>
                <w:sz w:val="20"/>
                <w:szCs w:val="20"/>
              </w:rPr>
              <w:t xml:space="preserve">Dispatch / Ops planning</w:t>
            </w:r>
          </w:p>
        </w:tc>
      </w:tr>
      <w:tr>
        <w:tc>
          <w:tcPr>
            <w:shd w:fill="F3EFE9" w:val="clear"/>
            <w:tcMar>
              <w:top w:type="dxa" w:w="100"/>
              <w:left w:type="dxa" w:w="120"/>
              <w:bottom w:type="dxa" w:w="100"/>
              <w:right w:type="dxa" w:w="120"/>
            </w:tcMar>
          </w:tcPr>
          <w:p>
            <w:r>
              <w:rPr>
                <w:color w:val="1F2937"/>
                <w:sz w:val="20"/>
                <w:szCs w:val="20"/>
              </w:rPr>
              <w:t xml:space="preserve">Add dispatch capacity / stagger windows at Delhi Hub</w:t>
            </w:r>
          </w:p>
        </w:tc>
        <w:tc>
          <w:tcPr>
            <w:shd w:fill="F3EFE9" w:val="clear"/>
            <w:tcMar>
              <w:top w:type="dxa" w:w="100"/>
              <w:left w:type="dxa" w:w="120"/>
              <w:bottom w:type="dxa" w:w="100"/>
              <w:right w:type="dxa" w:w="120"/>
            </w:tcMar>
          </w:tcPr>
          <w:p>
            <w:r>
              <w:rPr>
                <w:color w:val="1F2937"/>
                <w:sz w:val="20"/>
                <w:szCs w:val="20"/>
              </w:rPr>
              <w:t xml:space="preserve">Closes ~30-point OTDR gap vs. Noida Hub</w:t>
            </w:r>
          </w:p>
        </w:tc>
        <w:tc>
          <w:tcPr>
            <w:shd w:fill="F3EFE9" w:val="clear"/>
            <w:tcMar>
              <w:top w:type="dxa" w:w="100"/>
              <w:left w:type="dxa" w:w="120"/>
              <w:bottom w:type="dxa" w:w="100"/>
              <w:right w:type="dxa" w:w="120"/>
            </w:tcMar>
          </w:tcPr>
          <w:p>
            <w:r>
              <w:rPr>
                <w:color w:val="1F2937"/>
                <w:sz w:val="20"/>
                <w:szCs w:val="20"/>
              </w:rPr>
              <w:t xml:space="preserve">Hub operations</w:t>
            </w:r>
          </w:p>
        </w:tc>
      </w:tr>
      <w:tr>
        <w:tc>
          <w:tcPr>
            <w:shd w:fill="FFFFFF" w:val="clear"/>
            <w:tcMar>
              <w:top w:type="dxa" w:w="100"/>
              <w:left w:type="dxa" w:w="120"/>
              <w:bottom w:type="dxa" w:w="100"/>
              <w:right w:type="dxa" w:w="120"/>
            </w:tcMar>
          </w:tcPr>
          <w:p>
            <w:r>
              <w:rPr>
                <w:color w:val="1F2937"/>
                <w:sz w:val="20"/>
                <w:szCs w:val="20"/>
              </w:rPr>
              <w:t xml:space="preserve">Deploy delivery-time model at dispatch as an SLA-risk flag</w:t>
            </w:r>
          </w:p>
        </w:tc>
        <w:tc>
          <w:tcPr>
            <w:shd w:fill="FFFFFF" w:val="clear"/>
            <w:tcMar>
              <w:top w:type="dxa" w:w="100"/>
              <w:left w:type="dxa" w:w="120"/>
              <w:bottom w:type="dxa" w:w="100"/>
              <w:right w:type="dxa" w:w="120"/>
            </w:tcMar>
          </w:tcPr>
          <w:p>
            <w:r>
              <w:rPr>
                <w:color w:val="1F2937"/>
                <w:sz w:val="20"/>
                <w:szCs w:val="20"/>
              </w:rPr>
              <w:t xml:space="preserve">Shifts OTDR management from reactive to proactive</w:t>
            </w:r>
          </w:p>
        </w:tc>
        <w:tc>
          <w:tcPr>
            <w:shd w:fill="FFFFFF" w:val="clear"/>
            <w:tcMar>
              <w:top w:type="dxa" w:w="100"/>
              <w:left w:type="dxa" w:w="120"/>
              <w:bottom w:type="dxa" w:w="100"/>
              <w:right w:type="dxa" w:w="120"/>
            </w:tcMar>
          </w:tcPr>
          <w:p>
            <w:r>
              <w:rPr>
                <w:color w:val="1F2937"/>
                <w:sz w:val="20"/>
                <w:szCs w:val="20"/>
              </w:rPr>
              <w:t xml:space="preserve">Dispatch systems / IT</w:t>
            </w:r>
          </w:p>
        </w:tc>
      </w:tr>
      <w:tr>
        <w:tc>
          <w:tcPr>
            <w:shd w:fill="F3EFE9" w:val="clear"/>
            <w:tcMar>
              <w:top w:type="dxa" w:w="100"/>
              <w:left w:type="dxa" w:w="120"/>
              <w:bottom w:type="dxa" w:w="100"/>
              <w:right w:type="dxa" w:w="120"/>
            </w:tcMar>
          </w:tcPr>
          <w:p>
            <w:r>
              <w:rPr>
                <w:color w:val="1F2937"/>
                <w:sz w:val="20"/>
                <w:szCs w:val="20"/>
              </w:rPr>
              <w:t xml:space="preserve">Deprioritize volume-consolidation cost initiatives</w:t>
            </w:r>
          </w:p>
        </w:tc>
        <w:tc>
          <w:tcPr>
            <w:shd w:fill="F3EFE9" w:val="clear"/>
            <w:tcMar>
              <w:top w:type="dxa" w:w="100"/>
              <w:left w:type="dxa" w:w="120"/>
              <w:bottom w:type="dxa" w:w="100"/>
              <w:right w:type="dxa" w:w="120"/>
            </w:tcMar>
          </w:tcPr>
          <w:p>
            <w:r>
              <w:rPr>
                <w:color w:val="1F2937"/>
                <w:sz w:val="20"/>
                <w:szCs w:val="20"/>
              </w:rPr>
              <w:t xml:space="preserve">Redirects budget to the route-optimization lever with real impact</w:t>
            </w:r>
          </w:p>
        </w:tc>
        <w:tc>
          <w:tcPr>
            <w:shd w:fill="F3EFE9" w:val="clear"/>
            <w:tcMar>
              <w:top w:type="dxa" w:w="100"/>
              <w:left w:type="dxa" w:w="120"/>
              <w:bottom w:type="dxa" w:w="100"/>
              <w:right w:type="dxa" w:w="120"/>
            </w:tcMar>
          </w:tcPr>
          <w:p>
            <w:r>
              <w:rPr>
                <w:color w:val="1F2937"/>
                <w:sz w:val="20"/>
                <w:szCs w:val="20"/>
              </w:rPr>
              <w:t xml:space="preserve">Operations finance</w:t>
            </w:r>
          </w:p>
        </w:tc>
      </w:tr>
    </w:tbl>
    <w:p>
      <w:pPr>
        <w:spacing w:after="160" w:line="300"/>
      </w:pPr>
      <w:r>
        <w:rPr>
          <w:color w:val="1F2937"/>
          <w:sz w:val="22"/>
          <w:szCs w:val="22"/>
        </w:rPr>
        <w:t xml:space="preserve">Together, these recommendations use the predictive model not as an end in itself but as a diagnostic tool: it confirms which levers actually move QuickRoute's KPIs (distance and hub congestion) and which ones — despite intuitive appeal — do not (shipment volume, day-of-week timing). The next step once real hub data is available would be re-training this same pipeline on live data and validating that the ranked feature importances hold outside the simulation.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color w:val="6B7280"/>
        <w:sz w:val="16"/>
        <w:szCs w:val="16"/>
      </w:rPr>
      <w:t xml:space="preserve">Week 4 Task — Predictive Modeling &amp; Optimization in Logistics</w:t>
    </w:r>
    <w:r>
      <w:rPr>
        <w:color w:val="6B7280"/>
        <w:sz w:val="16"/>
        <w:szCs w:val="16"/>
      </w:rPr>
      <w:t xml:space="preserve">	Sumeet Rai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2c2b0ac987a033725a4f66e8a71772332a03eb.png"/><Relationship Id="rId10" Type="http://schemas.openxmlformats.org/officeDocument/2006/relationships/image" Target="media/fe1e27096e19c0539c9bb145198daedb626292a2.png"/><Relationship Id="rId11" Type="http://schemas.openxmlformats.org/officeDocument/2006/relationships/image" Target="media/618b6ac37b41ffcef08c22c0271dd32f08448e16.png"/><Relationship Id="rId12" Type="http://schemas.openxmlformats.org/officeDocument/2006/relationships/image" Target="media/87f834d044ced7dcb5763f3a14a7e4edc24c531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2026-08-23T09:52:56.506Z</dcterms:created>
  <dcterms:modified xsi:type="dcterms:W3CDTF">2026-08-23T09:52:56.515Z</dcterms:modified>
</cp:coreProperties>
</file>

<file path=docProps/custom.xml><?xml version="1.0" encoding="utf-8"?>
<Properties xmlns="http://schemas.openxmlformats.org/officeDocument/2006/custom-properties" xmlns:vt="http://schemas.openxmlformats.org/officeDocument/2006/docPropsVTypes"/>
</file>