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F186A" w14:textId="77777777" w:rsidR="00784A28" w:rsidRPr="00784A28" w:rsidRDefault="00784A28" w:rsidP="00784A28">
      <w:pPr>
        <w:rPr>
          <w:b/>
          <w:bCs/>
        </w:rPr>
      </w:pPr>
      <w:r w:rsidRPr="00784A28">
        <w:rPr>
          <w:b/>
          <w:bCs/>
        </w:rPr>
        <w:t xml:space="preserve">Executive Summary: Crypto Trading </w:t>
      </w:r>
      <w:proofErr w:type="spellStart"/>
      <w:r w:rsidRPr="00784A28">
        <w:rPr>
          <w:b/>
          <w:bCs/>
        </w:rPr>
        <w:t>Behavior</w:t>
      </w:r>
      <w:proofErr w:type="spellEnd"/>
      <w:r w:rsidRPr="00784A28">
        <w:rPr>
          <w:b/>
          <w:bCs/>
        </w:rPr>
        <w:t xml:space="preserve"> &amp; Market Sentiment</w:t>
      </w:r>
    </w:p>
    <w:p w14:paraId="23C8710D" w14:textId="77777777" w:rsidR="00784A28" w:rsidRPr="00784A28" w:rsidRDefault="00784A28" w:rsidP="00784A28">
      <w:pPr>
        <w:rPr>
          <w:b/>
          <w:bCs/>
        </w:rPr>
      </w:pPr>
      <w:r w:rsidRPr="00784A28">
        <w:rPr>
          <w:b/>
          <w:bCs/>
        </w:rPr>
        <w:t>Methodology</w:t>
      </w:r>
    </w:p>
    <w:p w14:paraId="5BA5D1B1" w14:textId="77777777" w:rsidR="00784A28" w:rsidRPr="00784A28" w:rsidRDefault="00784A28" w:rsidP="00784A28">
      <w:pPr>
        <w:rPr>
          <w:b/>
          <w:bCs/>
        </w:rPr>
      </w:pPr>
      <w:r w:rsidRPr="00784A28">
        <w:rPr>
          <w:b/>
          <w:bCs/>
        </w:rPr>
        <w:t>We set out to understand how market psychology shapes trading decisions and outcomes in crypto. To do this, we combined two rich datasets:</w:t>
      </w:r>
    </w:p>
    <w:p w14:paraId="036A6891" w14:textId="77777777" w:rsidR="00784A28" w:rsidRPr="00784A28" w:rsidRDefault="00784A28" w:rsidP="00784A28">
      <w:pPr>
        <w:numPr>
          <w:ilvl w:val="0"/>
          <w:numId w:val="4"/>
        </w:numPr>
        <w:rPr>
          <w:b/>
          <w:bCs/>
        </w:rPr>
      </w:pPr>
      <w:r w:rsidRPr="00784A28">
        <w:rPr>
          <w:b/>
          <w:bCs/>
        </w:rPr>
        <w:t>Trade Data: Over 211,000 trades from 32 accounts across two years.</w:t>
      </w:r>
    </w:p>
    <w:p w14:paraId="243A406B" w14:textId="77777777" w:rsidR="00784A28" w:rsidRPr="00784A28" w:rsidRDefault="00784A28" w:rsidP="00784A28">
      <w:pPr>
        <w:numPr>
          <w:ilvl w:val="0"/>
          <w:numId w:val="4"/>
        </w:numPr>
        <w:rPr>
          <w:b/>
          <w:bCs/>
        </w:rPr>
      </w:pPr>
      <w:r w:rsidRPr="00784A28">
        <w:rPr>
          <w:b/>
          <w:bCs/>
        </w:rPr>
        <w:t>Sentiment Data: Daily readings from the Crypto Fear &amp; Greed Index.</w:t>
      </w:r>
    </w:p>
    <w:p w14:paraId="69C6161F" w14:textId="77777777" w:rsidR="00784A28" w:rsidRPr="00784A28" w:rsidRDefault="00784A28" w:rsidP="00784A28">
      <w:pPr>
        <w:rPr>
          <w:b/>
          <w:bCs/>
        </w:rPr>
      </w:pPr>
      <w:r w:rsidRPr="00784A28">
        <w:rPr>
          <w:b/>
          <w:bCs/>
        </w:rPr>
        <w:t xml:space="preserve">We aligned timestamps to daily intervals, grouped sentiment into three buckets—Fear, Greed, Neutral—and segmented traders into archetypes based on frequency and consistency. Frequent traders were the top 25% by activity, while “Consistent Winners” were those with win rates above 60% and positive overall </w:t>
      </w:r>
      <w:proofErr w:type="spellStart"/>
      <w:r w:rsidRPr="00784A28">
        <w:rPr>
          <w:b/>
          <w:bCs/>
        </w:rPr>
        <w:t>PnL</w:t>
      </w:r>
      <w:proofErr w:type="spellEnd"/>
      <w:r w:rsidRPr="00784A28">
        <w:rPr>
          <w:b/>
          <w:bCs/>
        </w:rPr>
        <w:t>.</w:t>
      </w:r>
    </w:p>
    <w:p w14:paraId="6F4B8783" w14:textId="77777777" w:rsidR="00784A28" w:rsidRPr="00784A28" w:rsidRDefault="00784A28" w:rsidP="00784A28">
      <w:pPr>
        <w:rPr>
          <w:b/>
          <w:bCs/>
        </w:rPr>
      </w:pPr>
      <w:r w:rsidRPr="00784A28">
        <w:rPr>
          <w:b/>
          <w:bCs/>
        </w:rPr>
        <w:t>Key Insights</w:t>
      </w:r>
    </w:p>
    <w:p w14:paraId="3F9AAE24" w14:textId="77777777" w:rsidR="00784A28" w:rsidRPr="00784A28" w:rsidRDefault="00784A28" w:rsidP="00784A28">
      <w:pPr>
        <w:rPr>
          <w:b/>
          <w:bCs/>
        </w:rPr>
      </w:pPr>
      <w:r w:rsidRPr="00784A28">
        <w:rPr>
          <w:b/>
          <w:bCs/>
        </w:rPr>
        <w:t xml:space="preserve">By overlaying trading </w:t>
      </w:r>
      <w:proofErr w:type="spellStart"/>
      <w:r w:rsidRPr="00784A28">
        <w:rPr>
          <w:b/>
          <w:bCs/>
        </w:rPr>
        <w:t>behavior</w:t>
      </w:r>
      <w:proofErr w:type="spellEnd"/>
      <w:r w:rsidRPr="00784A28">
        <w:rPr>
          <w:b/>
          <w:bCs/>
        </w:rPr>
        <w:t xml:space="preserve"> with sentiment shifts, several clear patterns emerged:</w:t>
      </w:r>
    </w:p>
    <w:p w14:paraId="2C17772B" w14:textId="77777777" w:rsidR="00784A28" w:rsidRPr="00784A28" w:rsidRDefault="00784A28" w:rsidP="00784A28">
      <w:pPr>
        <w:numPr>
          <w:ilvl w:val="0"/>
          <w:numId w:val="5"/>
        </w:numPr>
        <w:rPr>
          <w:b/>
          <w:bCs/>
        </w:rPr>
      </w:pPr>
      <w:r w:rsidRPr="00784A28">
        <w:rPr>
          <w:b/>
          <w:bCs/>
        </w:rPr>
        <w:t>Fear Drives Bigger Bets Traders show conviction during panic. On “Fear” days, average position size jumps to $7,182, nearly 60% larger than on “Greed” days ($4,574). This reflects a strong “buy the dip” mentality.</w:t>
      </w:r>
    </w:p>
    <w:p w14:paraId="1B43692A" w14:textId="77777777" w:rsidR="00784A28" w:rsidRPr="00784A28" w:rsidRDefault="00784A28" w:rsidP="00784A28">
      <w:pPr>
        <w:numPr>
          <w:ilvl w:val="0"/>
          <w:numId w:val="5"/>
        </w:numPr>
        <w:rPr>
          <w:b/>
          <w:bCs/>
        </w:rPr>
      </w:pPr>
      <w:r w:rsidRPr="00784A28">
        <w:rPr>
          <w:b/>
          <w:bCs/>
        </w:rPr>
        <w:t>Greed Fuels Activity, But Not Precision When sentiment turns to “Greed,” trading volume rises—8.5% more trades than during Fear. Yet, win rates dip slightly (82.4% vs. 84.4%), suggesting momentum-chasing dilutes efficiency.</w:t>
      </w:r>
    </w:p>
    <w:p w14:paraId="0426411C" w14:textId="77777777" w:rsidR="00784A28" w:rsidRPr="00784A28" w:rsidRDefault="00784A28" w:rsidP="00784A28">
      <w:pPr>
        <w:numPr>
          <w:ilvl w:val="0"/>
          <w:numId w:val="5"/>
        </w:numPr>
        <w:rPr>
          <w:b/>
          <w:bCs/>
        </w:rPr>
      </w:pPr>
      <w:r w:rsidRPr="00784A28">
        <w:rPr>
          <w:b/>
          <w:bCs/>
        </w:rPr>
        <w:t>Top Traders Go Against the Crowd Elite accounts often fade market exuberance. During “Greed,” the Long/Short ratio falls to 0.88, showing heavier shorting. In “Fear,” it normalizes to 0.98, as traders unwind shorts and accumulate longs.</w:t>
      </w:r>
    </w:p>
    <w:p w14:paraId="4A9C8246" w14:textId="77777777" w:rsidR="00784A28" w:rsidRPr="00784A28" w:rsidRDefault="00784A28" w:rsidP="00784A28">
      <w:pPr>
        <w:numPr>
          <w:ilvl w:val="0"/>
          <w:numId w:val="5"/>
        </w:numPr>
        <w:rPr>
          <w:b/>
          <w:bCs/>
        </w:rPr>
      </w:pPr>
      <w:r w:rsidRPr="00784A28">
        <w:rPr>
          <w:b/>
          <w:bCs/>
        </w:rPr>
        <w:t>Smart Money Dominates The dataset is concentrated with skilled players—87.5% of accounts qualify as Consistent Winners, collectively driving more than $10M in profits. Their disciplined approach shapes the overall market footprint.</w:t>
      </w:r>
    </w:p>
    <w:p w14:paraId="713E8C9F" w14:textId="77777777" w:rsidR="00784A28" w:rsidRPr="00784A28" w:rsidRDefault="00784A28" w:rsidP="00784A28">
      <w:pPr>
        <w:rPr>
          <w:b/>
          <w:bCs/>
        </w:rPr>
      </w:pPr>
      <w:r w:rsidRPr="00784A28">
        <w:rPr>
          <w:b/>
          <w:bCs/>
        </w:rPr>
        <w:t>Takeaway</w:t>
      </w:r>
    </w:p>
    <w:p w14:paraId="07A59DC3" w14:textId="77777777" w:rsidR="00784A28" w:rsidRPr="00784A28" w:rsidRDefault="00784A28" w:rsidP="00784A28">
      <w:pPr>
        <w:rPr>
          <w:b/>
          <w:bCs/>
        </w:rPr>
      </w:pPr>
      <w:r w:rsidRPr="00784A28">
        <w:rPr>
          <w:b/>
          <w:bCs/>
        </w:rPr>
        <w:t xml:space="preserve">Market sentiment doesn’t just </w:t>
      </w:r>
      <w:proofErr w:type="spellStart"/>
      <w:r w:rsidRPr="00784A28">
        <w:rPr>
          <w:b/>
          <w:bCs/>
        </w:rPr>
        <w:t>color</w:t>
      </w:r>
      <w:proofErr w:type="spellEnd"/>
      <w:r w:rsidRPr="00784A28">
        <w:rPr>
          <w:b/>
          <w:bCs/>
        </w:rPr>
        <w:t xml:space="preserve"> trader psychology—it actively reshapes position sizing, trade frequency, and directional bias. Fear tends to sharpen discipline and conviction, while Greed amplifies activity but erodes precision. The most successful traders consistently lean contrarian, exploiting sentiment extremes rather than following them.</w:t>
      </w:r>
    </w:p>
    <w:p w14:paraId="452BB791" w14:textId="77777777" w:rsidR="00C90F86" w:rsidRPr="00784A28" w:rsidRDefault="00C90F86" w:rsidP="00784A28"/>
    <w:sectPr w:rsidR="00C90F86" w:rsidRPr="00784A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3168C"/>
    <w:multiLevelType w:val="multilevel"/>
    <w:tmpl w:val="6A085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7D35AF"/>
    <w:multiLevelType w:val="multilevel"/>
    <w:tmpl w:val="62780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232065"/>
    <w:multiLevelType w:val="multilevel"/>
    <w:tmpl w:val="DD28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A94F05"/>
    <w:multiLevelType w:val="multilevel"/>
    <w:tmpl w:val="57FA6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977F63"/>
    <w:multiLevelType w:val="multilevel"/>
    <w:tmpl w:val="94BC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7263890">
    <w:abstractNumId w:val="4"/>
  </w:num>
  <w:num w:numId="2" w16cid:durableId="1445728277">
    <w:abstractNumId w:val="0"/>
  </w:num>
  <w:num w:numId="3" w16cid:durableId="955453168">
    <w:abstractNumId w:val="1"/>
  </w:num>
  <w:num w:numId="4" w16cid:durableId="320894629">
    <w:abstractNumId w:val="2"/>
  </w:num>
  <w:num w:numId="5" w16cid:durableId="11153695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F95"/>
    <w:rsid w:val="000A2618"/>
    <w:rsid w:val="00236D9F"/>
    <w:rsid w:val="003D51D5"/>
    <w:rsid w:val="00784A28"/>
    <w:rsid w:val="0082587E"/>
    <w:rsid w:val="00847F95"/>
    <w:rsid w:val="00C90F86"/>
    <w:rsid w:val="00D175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BB3BE"/>
  <w15:chartTrackingRefBased/>
  <w15:docId w15:val="{5EF2B354-38F4-496E-936F-8038EA7AC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F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7F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7F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7F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7F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7F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F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F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F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F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7F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7F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7F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7F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7F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F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F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F95"/>
    <w:rPr>
      <w:rFonts w:eastAsiaTheme="majorEastAsia" w:cstheme="majorBidi"/>
      <w:color w:val="272727" w:themeColor="text1" w:themeTint="D8"/>
    </w:rPr>
  </w:style>
  <w:style w:type="paragraph" w:styleId="Title">
    <w:name w:val="Title"/>
    <w:basedOn w:val="Normal"/>
    <w:next w:val="Normal"/>
    <w:link w:val="TitleChar"/>
    <w:uiPriority w:val="10"/>
    <w:qFormat/>
    <w:rsid w:val="00847F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F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F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F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F95"/>
    <w:pPr>
      <w:spacing w:before="160"/>
      <w:jc w:val="center"/>
    </w:pPr>
    <w:rPr>
      <w:i/>
      <w:iCs/>
      <w:color w:val="404040" w:themeColor="text1" w:themeTint="BF"/>
    </w:rPr>
  </w:style>
  <w:style w:type="character" w:customStyle="1" w:styleId="QuoteChar">
    <w:name w:val="Quote Char"/>
    <w:basedOn w:val="DefaultParagraphFont"/>
    <w:link w:val="Quote"/>
    <w:uiPriority w:val="29"/>
    <w:rsid w:val="00847F95"/>
    <w:rPr>
      <w:i/>
      <w:iCs/>
      <w:color w:val="404040" w:themeColor="text1" w:themeTint="BF"/>
    </w:rPr>
  </w:style>
  <w:style w:type="paragraph" w:styleId="ListParagraph">
    <w:name w:val="List Paragraph"/>
    <w:basedOn w:val="Normal"/>
    <w:uiPriority w:val="34"/>
    <w:qFormat/>
    <w:rsid w:val="00847F95"/>
    <w:pPr>
      <w:ind w:left="720"/>
      <w:contextualSpacing/>
    </w:pPr>
  </w:style>
  <w:style w:type="character" w:styleId="IntenseEmphasis">
    <w:name w:val="Intense Emphasis"/>
    <w:basedOn w:val="DefaultParagraphFont"/>
    <w:uiPriority w:val="21"/>
    <w:qFormat/>
    <w:rsid w:val="00847F95"/>
    <w:rPr>
      <w:i/>
      <w:iCs/>
      <w:color w:val="0F4761" w:themeColor="accent1" w:themeShade="BF"/>
    </w:rPr>
  </w:style>
  <w:style w:type="paragraph" w:styleId="IntenseQuote">
    <w:name w:val="Intense Quote"/>
    <w:basedOn w:val="Normal"/>
    <w:next w:val="Normal"/>
    <w:link w:val="IntenseQuoteChar"/>
    <w:uiPriority w:val="30"/>
    <w:qFormat/>
    <w:rsid w:val="00847F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F95"/>
    <w:rPr>
      <w:i/>
      <w:iCs/>
      <w:color w:val="0F4761" w:themeColor="accent1" w:themeShade="BF"/>
    </w:rPr>
  </w:style>
  <w:style w:type="character" w:styleId="IntenseReference">
    <w:name w:val="Intense Reference"/>
    <w:basedOn w:val="DefaultParagraphFont"/>
    <w:uiPriority w:val="32"/>
    <w:qFormat/>
    <w:rsid w:val="00847F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301</Words>
  <Characters>1721</Characters>
  <Application>Microsoft Office Word</Application>
  <DocSecurity>0</DocSecurity>
  <Lines>14</Lines>
  <Paragraphs>4</Paragraphs>
  <ScaleCrop>false</ScaleCrop>
  <Company/>
  <LinksUpToDate>false</LinksUpToDate>
  <CharactersWithSpaces>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sumit.s25@shantibschool.edu.in</dc:creator>
  <cp:keywords/>
  <dc:description/>
  <cp:lastModifiedBy>sumit.s25@shantibschool.edu.in</cp:lastModifiedBy>
  <cp:revision>3</cp:revision>
  <dcterms:created xsi:type="dcterms:W3CDTF">2026-02-20T11:16:00Z</dcterms:created>
  <dcterms:modified xsi:type="dcterms:W3CDTF">2026-02-20T11:27:00Z</dcterms:modified>
</cp:coreProperties>
</file>