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caf7f7f0747f48e0" /><Relationship Type="http://schemas.openxmlformats.org/package/2006/relationships/metadata/core-properties" Target="/docProps/core.xml" Id="R8dc25529823e4bbd" /><Relationship Type="http://schemas.openxmlformats.org/officeDocument/2006/relationships/extended-properties" Target="/docProps/app.xml" Id="R02cca1dd530e41ae" /><Relationship Type="http://schemas.openxmlformats.org/officeDocument/2006/relationships/custom-properties" Target="/docProps/custom.xml" Id="R8782bb64e9034d15"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spacing w:after="240"/>
        <w:jc w:val="center"/>
      </w:pPr>
      <w:r>
        <w:rPr>
          <w:b/>
          <w:sz w:val="56"/>
        </w:rPr>
        <w:t xml:space="preserve">AI-Powered Business Intelligence &amp; Sales Forecasting System</w:t>
      </w:r>
    </w:p>
    <w:p w14:paraId="00100002" w14:textId="00100003">
      <w:pPr>
        <w:pStyle w:val="Heading1"/>
        <w:spacing w:after="160"/>
        <w:jc w:val="center"/>
      </w:pPr>
      <w:r>
        <w:rPr>
          <w:b/>
          <w:sz w:val="40"/>
        </w:rPr>
        <w:t xml:space="preserve">Project Report</w:t>
      </w:r>
    </w:p>
    <w:p w14:paraId="00100004" w14:textId="00100005">
      <w:pPr>
        <w:spacing w:after="120"/>
        <w:jc w:val="center"/>
      </w:pPr>
      <w:r>
        <w:rPr>
          <w:sz w:val="26"/>
        </w:rPr>
        <w:t xml:space="preserve">Submitted by: Sumit Singh Bora</w:t>
      </w:r>
    </w:p>
    <w:p w14:paraId="00100006" w14:textId="00100007">
      <w:pPr>
        <w:spacing w:after="120"/>
        <w:jc w:val="center"/>
      </w:pPr>
      <w:r>
        <w:rPr>
          <w:sz w:val="24"/>
        </w:rPr>
        <w:t xml:space="preserve">Dataset: SampleSuperstore.csv</w:t>
      </w:r>
    </w:p>
    <w:p w14:paraId="00100008" w14:textId="00100009">
      <w:pPr>
        <w:spacing w:after="120"/>
        <w:jc w:val="center"/>
      </w:pPr>
      <w:r>
        <w:rPr>
          <w:sz w:val="24"/>
        </w:rPr>
        <w:t xml:space="preserve">Tools &amp; Technologies: Python · Streamlit · XGBoost · Scikit-learn · Plotly · Prophet</w:t>
      </w:r>
    </w:p>
    <w:p w14:paraId="0010000A" w14:textId="0010000B">
      <w:pPr>
        <w:spacing w:after="480"/>
        <w:jc w:val="center"/>
      </w:pPr>
      <w:r>
        <w:rPr>
          <w:sz w:val="24"/>
        </w:rPr>
        <w:t xml:space="preserve">Submission Date: 2026</w:t>
      </w:r>
    </w:p>
    <w:p w14:paraId="0010000C" w14:textId="0010000D">
      <w:pPr>
        <w:spacing w:after="120"/>
      </w:pPr>
      <w:r>
        <w:rPr/>
        <w:t xml:space="preserve"/>
      </w:r>
    </w:p>
    <w:p w14:paraId="0010000E" w14:textId="0010000F">
      <w:pPr>
        <w:pStyle w:val="Heading1"/>
        <w:spacing w:before="240" w:after="160"/>
      </w:pPr>
      <w:r>
        <w:rPr>
          <w:b/>
          <w:sz w:val="36"/>
        </w:rPr>
        <w:t xml:space="preserve">Table of Contents</w:t>
      </w:r>
    </w:p>
    <w:p w14:paraId="00100010" w14:textId="00100011">
      <w:pPr>
        <w:spacing w:after="80"/>
      </w:pPr>
      <w:r>
        <w:rPr>
          <w:sz w:val="24"/>
        </w:rPr>
        <w:t xml:space="preserve">1. Executive Summary</w:t>
      </w:r>
    </w:p>
    <w:p w14:paraId="00100012" w14:textId="00100013">
      <w:pPr>
        <w:spacing w:after="80"/>
      </w:pPr>
      <w:r>
        <w:rPr>
          <w:sz w:val="24"/>
        </w:rPr>
        <w:t xml:space="preserve">2. Introduction</w:t>
      </w:r>
    </w:p>
    <w:p w14:paraId="00100014" w14:textId="00100015">
      <w:pPr>
        <w:spacing w:after="80"/>
      </w:pPr>
      <w:r>
        <w:rPr>
          <w:sz w:val="24"/>
        </w:rPr>
        <w:t xml:space="preserve">3. Problem Statement &amp; Objectives</w:t>
      </w:r>
    </w:p>
    <w:p w14:paraId="00100016" w14:textId="00100017">
      <w:pPr>
        <w:spacing w:after="80"/>
      </w:pPr>
      <w:r>
        <w:rPr>
          <w:sz w:val="24"/>
        </w:rPr>
        <w:t xml:space="preserve">4. Dataset Description</w:t>
      </w:r>
    </w:p>
    <w:p w14:paraId="00100018" w14:textId="00100019">
      <w:pPr>
        <w:spacing w:after="80"/>
      </w:pPr>
      <w:r>
        <w:rPr>
          <w:sz w:val="24"/>
        </w:rPr>
        <w:t xml:space="preserve">5. System Architecture</w:t>
      </w:r>
    </w:p>
    <w:p w14:paraId="0010001A" w14:textId="0010001B">
      <w:pPr>
        <w:spacing w:after="80"/>
      </w:pPr>
      <w:r>
        <w:rPr>
          <w:sz w:val="24"/>
        </w:rPr>
        <w:t xml:space="preserve">6. Methodology &amp; Data Pipeline</w:t>
      </w:r>
    </w:p>
    <w:p w14:paraId="0010001C" w14:textId="0010001D">
      <w:pPr>
        <w:spacing w:after="80"/>
      </w:pPr>
      <w:r>
        <w:rPr>
          <w:sz w:val="24"/>
        </w:rPr>
        <w:t xml:space="preserve">7. Exploratory Data Analysis (EDA)</w:t>
      </w:r>
    </w:p>
    <w:p w14:paraId="0010001E" w14:textId="0010001F">
      <w:pPr>
        <w:spacing w:after="80"/>
      </w:pPr>
      <w:r>
        <w:rPr>
          <w:sz w:val="24"/>
        </w:rPr>
        <w:t xml:space="preserve">8. AI Sales Forecasting</w:t>
      </w:r>
    </w:p>
    <w:p w14:paraId="00100020" w14:textId="00100021">
      <w:pPr>
        <w:spacing w:after="80"/>
      </w:pPr>
      <w:r>
        <w:rPr>
          <w:sz w:val="24"/>
        </w:rPr>
        <w:t xml:space="preserve">9. Profit Prediction Model (XGBoost)</w:t>
      </w:r>
    </w:p>
    <w:p w14:paraId="00100022" w14:textId="00100023">
      <w:pPr>
        <w:spacing w:after="80"/>
      </w:pPr>
      <w:r>
        <w:rPr>
          <w:sz w:val="24"/>
        </w:rPr>
        <w:t xml:space="preserve">10. Anomaly Detection</w:t>
      </w:r>
    </w:p>
    <w:p w14:paraId="00100024" w14:textId="00100025">
      <w:pPr>
        <w:spacing w:after="80"/>
      </w:pPr>
      <w:r>
        <w:rPr>
          <w:sz w:val="24"/>
        </w:rPr>
        <w:t xml:space="preserve">11. Product Segmentation (K-Means)</w:t>
      </w:r>
    </w:p>
    <w:p w14:paraId="00100026" w14:textId="00100027">
      <w:pPr>
        <w:spacing w:after="80"/>
      </w:pPr>
      <w:r>
        <w:rPr>
          <w:sz w:val="24"/>
        </w:rPr>
        <w:t xml:space="preserve">12. Dashboard &amp; Visualisation</w:t>
      </w:r>
    </w:p>
    <w:p w14:paraId="00100028" w14:textId="00100029">
      <w:pPr>
        <w:spacing w:after="80"/>
      </w:pPr>
      <w:r>
        <w:rPr>
          <w:sz w:val="24"/>
        </w:rPr>
        <w:t xml:space="preserve">13. Key Results &amp; KPIs</w:t>
      </w:r>
    </w:p>
    <w:p w14:paraId="0010002A" w14:textId="0010002B">
      <w:pPr>
        <w:spacing w:after="80"/>
      </w:pPr>
      <w:r>
        <w:rPr>
          <w:sz w:val="24"/>
        </w:rPr>
        <w:t xml:space="preserve">14. Business Insights &amp; Recommendations</w:t>
      </w:r>
    </w:p>
    <w:p w14:paraId="0010002C" w14:textId="0010002D">
      <w:pPr>
        <w:spacing w:after="80"/>
      </w:pPr>
      <w:r>
        <w:rPr>
          <w:sz w:val="24"/>
        </w:rPr>
        <w:t xml:space="preserve">15. Challenges &amp; Limitations</w:t>
      </w:r>
    </w:p>
    <w:p w14:paraId="0010002E" w14:textId="0010002F">
      <w:pPr>
        <w:spacing w:after="80"/>
      </w:pPr>
      <w:r>
        <w:rPr>
          <w:sz w:val="24"/>
        </w:rPr>
        <w:t xml:space="preserve">16. Conclusion</w:t>
      </w:r>
    </w:p>
    <w:p w14:paraId="00100030" w14:textId="00100031">
      <w:pPr>
        <w:spacing w:after="480"/>
      </w:pPr>
      <w:r>
        <w:rPr>
          <w:sz w:val="24"/>
        </w:rPr>
        <w:t xml:space="preserve">17. References</w:t>
      </w:r>
    </w:p>
    <w:p w14:paraId="00100032" w14:textId="00100033">
      <w:pPr>
        <w:pStyle w:val="Heading1"/>
        <w:spacing w:before="280" w:after="160"/>
      </w:pPr>
      <w:r>
        <w:rPr>
          <w:b/>
          <w:sz w:val="36"/>
        </w:rPr>
        <w:t xml:space="preserve">1. Executive Summary</w:t>
      </w:r>
    </w:p>
    <w:p w14:paraId="00100034" w14:textId="00100035">
      <w:pPr>
        <w:spacing w:after="160"/>
      </w:pPr>
      <w:r>
        <w:rPr>
          <w:sz w:val="24"/>
        </w:rPr>
        <w:t xml:space="preserve">This project presents a fully functional AI-Powered Business Intelligence (BI) and Sales Forecasting System built on the SampleSuperstore retail dataset. The system integrates machine learning models, interactive visualisations, and a multi-page Streamlit web dashboard to help business stakeholders make data-driven decisions.</w:t>
      </w:r>
    </w:p>
    <w:p w14:paraId="00100036" w14:textId="00100037">
      <w:pPr>
        <w:spacing w:after="160"/>
      </w:pPr>
      <w:r>
        <w:rPr>
          <w:sz w:val="24"/>
        </w:rPr>
        <w:t xml:space="preserve">The system analyses 9,977 retail orders across the United States covering three product categories — Technology, Furniture, and Office Supplies — sold through Consumer, Corporate, and Home Office segments. It delivers actionable intelligence through five key AI/ML components: time-series sales forecasting, profit prediction via XGBoost regression, anomaly detection using Isolation Forest, product segmentation via K-Means clustering, and an interactive profit predictor tool.</w:t>
      </w:r>
    </w:p>
    <w:p w14:paraId="00100038" w14:textId="00100039">
      <w:pPr>
        <w:spacing w:after="320"/>
      </w:pPr>
      <w:r>
        <w:rPr>
          <w:sz w:val="24"/>
        </w:rPr>
        <w:t xml:space="preserve">Key findings include: Technology is the most profitable category, discounts above 30% consistently generate negative profit, the West region dominates sales volume, and approximately 5% of orders exhibit anomalous behaviour warranting review.</w:t>
      </w:r>
    </w:p>
    <w:p w14:paraId="0010003A" w14:textId="0010003B">
      <w:pPr>
        <w:pStyle w:val="Heading1"/>
        <w:spacing w:before="280" w:after="160"/>
      </w:pPr>
      <w:r>
        <w:rPr>
          <w:b/>
          <w:sz w:val="36"/>
        </w:rPr>
        <w:t xml:space="preserve">2. Introduction</w:t>
      </w:r>
    </w:p>
    <w:p w14:paraId="0010003C" w14:textId="0010003D">
      <w:pPr>
        <w:spacing w:after="160"/>
      </w:pPr>
      <w:r>
        <w:rPr>
          <w:sz w:val="24"/>
        </w:rPr>
        <w:t xml:space="preserve">In today's data-driven business environment, organisations generate vast amounts of transactional data that remain underutilised without proper analytical frameworks. Business Intelligence (BI) systems bridge this gap by transforming raw data into meaningful insights that drive strategic decisions.</w:t>
      </w:r>
    </w:p>
    <w:p w14:paraId="0010003E" w14:textId="0010003F">
      <w:pPr>
        <w:spacing w:after="160"/>
      </w:pPr>
      <w:r>
        <w:rPr>
          <w:sz w:val="24"/>
        </w:rPr>
        <w:t xml:space="preserve">Traditional BI tools such as spreadsheets and static dashboards are increasingly inadequate for modern analytics needs. They lack predictive capabilities, struggle with large datasets, and cannot identify hidden patterns or anomalies automatically. The integration of Artificial Intelligence (AI) and Machine Learning (ML) into BI systems addresses these limitations by enabling predictive analytics, automated insight generation, and real-time interactive exploration.</w:t>
      </w:r>
    </w:p>
    <w:p w14:paraId="00100040" w14:textId="00100041">
      <w:pPr>
        <w:spacing w:after="320"/>
      </w:pPr>
      <w:r>
        <w:rPr>
          <w:sz w:val="24"/>
        </w:rPr>
        <w:t xml:space="preserve">This project develops a complete AI-BI system using Python's scientific computing ecosystem. The Superstore dataset — a widely used retail analytics benchmark — serves as the data foundation. The system is deployed as an interactive web application using Streamlit, making advanced analytics accessible to non-technical business users.</w:t>
      </w:r>
    </w:p>
    <w:p w14:paraId="00100042" w14:textId="00100043">
      <w:pPr>
        <w:pStyle w:val="Heading1"/>
        <w:spacing w:before="280" w:after="160"/>
      </w:pPr>
      <w:r>
        <w:rPr>
          <w:b/>
          <w:sz w:val="36"/>
        </w:rPr>
        <w:t xml:space="preserve">3. Problem Statement &amp; Objectives</w:t>
      </w:r>
    </w:p>
    <w:p w14:paraId="00100044" w14:textId="00100045">
      <w:pPr>
        <w:pStyle w:val="Heading2"/>
        <w:spacing w:before="200" w:after="120"/>
      </w:pPr>
      <w:r>
        <w:rPr>
          <w:b/>
          <w:sz w:val="28"/>
        </w:rPr>
        <w:t xml:space="preserve">3.1 Problem Statement</w:t>
      </w:r>
    </w:p>
    <w:p w14:paraId="00100046" w14:textId="00100047">
      <w:pPr>
        <w:spacing w:after="160"/>
      </w:pPr>
      <w:r>
        <w:rPr>
          <w:sz w:val="24"/>
        </w:rPr>
        <w:t xml:space="preserve">Retail businesses face several critical analytical challenges: inability to forecast future sales accurately, difficulty identifying which products and regions are truly profitable after discounts, lack of early warning systems for anomalous orders, and no systematic way to segment products for strategic prioritisation. Without addressing these challenges, businesses risk making pricing, inventory, and promotional decisions based on intuition rather than data.</w:t>
      </w:r>
    </w:p>
    <w:p w14:paraId="00100048" w14:textId="00100049">
      <w:pPr>
        <w:pStyle w:val="Heading2"/>
        <w:spacing w:before="200" w:after="120"/>
      </w:pPr>
      <w:r>
        <w:rPr>
          <w:b/>
          <w:sz w:val="28"/>
        </w:rPr>
        <w:t xml:space="preserve">3.2 Objectives</w:t>
      </w:r>
    </w:p>
    <w:p w14:paraId="0010004A" w14:textId="0010004B">
      <w:pPr>
        <w:spacing w:after="80"/>
      </w:pPr>
      <w:r>
        <w:rPr>
          <w:sz w:val="24"/>
        </w:rPr>
        <w:t xml:space="preserve">The primary objectives of this project are:</w:t>
      </w:r>
    </w:p>
    <w:p w14:paraId="0010004C" w14:textId="0010004D">
      <w:pPr>
        <w:numPr>
          <w:ilvl w:val="0"/>
          <w:numId w:val="1"/>
        </w:numPr>
        <w:spacing w:after="60"/>
      </w:pPr>
      <w:r>
        <w:rPr>
          <w:sz w:val="24"/>
        </w:rPr>
        <w:t xml:space="preserve">1.  Build a robust data pipeline to clean, enrich, and prepare the Superstore dataset for analysis.</w:t>
      </w:r>
    </w:p>
    <w:p w14:paraId="0010004E" w14:textId="0010004F">
      <w:pPr>
        <w:numPr>
          <w:ilvl w:val="0"/>
          <w:numId w:val="1"/>
        </w:numPr>
        <w:spacing w:after="60"/>
      </w:pPr>
      <w:r>
        <w:rPr>
          <w:sz w:val="24"/>
        </w:rPr>
        <w:t xml:space="preserve">2.  Perform comprehensive Exploratory Data Analysis (EDA) to uncover trends, patterns, and correlations.</w:t>
      </w:r>
    </w:p>
    <w:p w14:paraId="00100050" w14:textId="00100051">
      <w:pPr>
        <w:numPr>
          <w:ilvl w:val="0"/>
          <w:numId w:val="1"/>
        </w:numPr>
        <w:spacing w:after="60"/>
      </w:pPr>
      <w:r>
        <w:rPr>
          <w:sz w:val="24"/>
        </w:rPr>
        <w:t xml:space="preserve">3.  Implement AI-powered sales forecasting with confidence intervals for 6-month horizons.</w:t>
      </w:r>
    </w:p>
    <w:p w14:paraId="00100052" w14:textId="00100053">
      <w:pPr>
        <w:numPr>
          <w:ilvl w:val="0"/>
          <w:numId w:val="1"/>
        </w:numPr>
        <w:spacing w:after="60"/>
      </w:pPr>
      <w:r>
        <w:rPr>
          <w:sz w:val="24"/>
        </w:rPr>
        <w:t xml:space="preserve">4.  Train an XGBoost regression model to predict order-level profit with measurable accuracy.</w:t>
      </w:r>
    </w:p>
    <w:p w14:paraId="00100054" w14:textId="00100055">
      <w:pPr>
        <w:numPr>
          <w:ilvl w:val="0"/>
          <w:numId w:val="1"/>
        </w:numPr>
        <w:spacing w:after="60"/>
      </w:pPr>
      <w:r>
        <w:rPr>
          <w:sz w:val="24"/>
        </w:rPr>
        <w:t xml:space="preserve">5.  Deploy an Isolation Forest model to automatically detect anomalous orders.</w:t>
      </w:r>
    </w:p>
    <w:p w14:paraId="00100056" w14:textId="00100057">
      <w:pPr>
        <w:numPr>
          <w:ilvl w:val="0"/>
          <w:numId w:val="1"/>
        </w:numPr>
        <w:spacing w:after="60"/>
      </w:pPr>
      <w:r>
        <w:rPr>
          <w:sz w:val="24"/>
        </w:rPr>
        <w:t xml:space="preserve">6.  Apply K-Means clustering to segment products into strategic business groups.</w:t>
      </w:r>
    </w:p>
    <w:p w14:paraId="00100058" w14:textId="00100059">
      <w:pPr>
        <w:numPr>
          <w:ilvl w:val="0"/>
          <w:numId w:val="1"/>
        </w:numPr>
        <w:spacing w:after="320"/>
      </w:pPr>
      <w:r>
        <w:rPr>
          <w:sz w:val="24"/>
        </w:rPr>
        <w:t xml:space="preserve">7.  Deliver all insights through an interactive Streamlit web dashboard with real-time filters.</w:t>
      </w:r>
    </w:p>
    <w:p w14:paraId="0010005A" w14:textId="0010005B">
      <w:pPr>
        <w:pStyle w:val="Heading1"/>
        <w:spacing w:before="280" w:after="160"/>
      </w:pPr>
      <w:r>
        <w:rPr>
          <w:b/>
          <w:sz w:val="36"/>
        </w:rPr>
        <w:t xml:space="preserve">4. Dataset Description</w:t>
      </w:r>
    </w:p>
    <w:p w14:paraId="0010005C" w14:textId="0010005D">
      <w:pPr>
        <w:pStyle w:val="Heading2"/>
        <w:spacing w:before="200" w:after="120"/>
      </w:pPr>
      <w:r>
        <w:rPr>
          <w:b/>
          <w:sz w:val="28"/>
        </w:rPr>
        <w:t xml:space="preserve">4.1 Overview</w:t>
      </w:r>
    </w:p>
    <w:p w14:paraId="0010005E" w14:textId="0010005F">
      <w:pPr>
        <w:spacing w:after="160"/>
      </w:pPr>
      <w:r>
        <w:rPr>
          <w:sz w:val="24"/>
        </w:rPr>
        <w:t xml:space="preserve">The SampleSuperstore dataset is a publicly available retail dataset representing orders placed by customers across the United States. After deduplication, the cleaned dataset contains 9,977 order-line records spanning a simulated date range of January 2021 to December 2023 (36 months). It is a benchmark dataset widely used in data analytics and business intelligence coursework.</w:t>
      </w:r>
    </w:p>
    <w:p w14:paraId="00100060" w14:textId="00100061">
      <w:pPr>
        <w:pStyle w:val="Heading2"/>
        <w:spacing w:before="200" w:after="120"/>
      </w:pPr>
      <w:r>
        <w:rPr>
          <w:b/>
          <w:sz w:val="28"/>
        </w:rPr>
        <w:t xml:space="preserve">4.2 Features</w:t>
      </w:r>
    </w:p>
    <w:p w14:paraId="00100062" w14:textId="00100063">
      <w:pPr>
        <w:spacing w:after="120"/>
      </w:pPr>
      <w:r>
        <w:rPr>
          <w:sz w:val="24"/>
        </w:rPr>
        <w:t xml:space="preserve">The dataset contains 13 original columns: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64" w14:textId="00100065">
            <w:r>
              <w:t xml:space="preserve">Column Name</w:t>
            </w:r>
          </w:p>
        </w:tc>
        <w:tc>
          <w:p w14:paraId="00100066" w14:textId="00100067">
            <w:r>
              <w:t xml:space="preserve">Data Type</w:t>
            </w:r>
          </w:p>
        </w:tc>
        <w:tc>
          <w:p w14:paraId="00100068" w14:textId="00100069">
            <w:r>
              <w:t xml:space="preserve">Description</w:t>
            </w:r>
          </w:p>
        </w:tc>
      </w:tr>
      <w:tr>
        <w:trPr/>
        <w:tc>
          <w:p w14:paraId="0010006A" w14:textId="0010006B">
            <w:r>
              <w:t xml:space="preserve">Ship Mode</w:t>
            </w:r>
          </w:p>
        </w:tc>
        <w:tc>
          <w:p w14:paraId="0010006C" w14:textId="0010006D">
            <w:r>
              <w:t xml:space="preserve">Categorical</w:t>
            </w:r>
          </w:p>
        </w:tc>
        <w:tc>
          <w:p w14:paraId="0010006E" w14:textId="0010006F">
            <w:r>
              <w:t xml:space="preserve">Shipping method (First Class, Second Class, Standard Class, Same Day)</w:t>
            </w:r>
          </w:p>
        </w:tc>
      </w:tr>
      <w:tr>
        <w:trPr/>
        <w:tc>
          <w:p w14:paraId="00100070" w14:textId="00100071">
            <w:r>
              <w:t xml:space="preserve">Segment</w:t>
            </w:r>
          </w:p>
        </w:tc>
        <w:tc>
          <w:p w14:paraId="00100072" w14:textId="00100073">
            <w:r>
              <w:t xml:space="preserve">Categorical</w:t>
            </w:r>
          </w:p>
        </w:tc>
        <w:tc>
          <w:p w14:paraId="00100074" w14:textId="00100075">
            <w:r>
              <w:t xml:space="preserve">Customer segment (Consumer, Corporate, Home Office)</w:t>
            </w:r>
          </w:p>
        </w:tc>
      </w:tr>
      <w:tr>
        <w:trPr/>
        <w:tc>
          <w:p w14:paraId="00100076" w14:textId="00100077">
            <w:r>
              <w:t xml:space="preserve">Country</w:t>
            </w:r>
          </w:p>
        </w:tc>
        <w:tc>
          <w:p w14:paraId="00100078" w14:textId="00100079">
            <w:r>
              <w:t xml:space="preserve">Categorical</w:t>
            </w:r>
          </w:p>
        </w:tc>
        <w:tc>
          <w:p w14:paraId="0010007A" w14:textId="0010007B">
            <w:r>
              <w:t xml:space="preserve">Country of order (United States)</w:t>
            </w:r>
          </w:p>
        </w:tc>
      </w:tr>
      <w:tr>
        <w:trPr/>
        <w:tc>
          <w:p w14:paraId="0010007C" w14:textId="0010007D">
            <w:r>
              <w:t xml:space="preserve">City</w:t>
            </w:r>
          </w:p>
        </w:tc>
        <w:tc>
          <w:p w14:paraId="0010007E" w14:textId="0010007F">
            <w:r>
              <w:t xml:space="preserve">Categorical</w:t>
            </w:r>
          </w:p>
        </w:tc>
        <w:tc>
          <w:p w14:paraId="00100080" w14:textId="00100081">
            <w:r>
              <w:t xml:space="preserve">City where order was placed (531 unique cities)</w:t>
            </w:r>
          </w:p>
        </w:tc>
      </w:tr>
      <w:tr>
        <w:trPr/>
        <w:tc>
          <w:p w14:paraId="00100082" w14:textId="00100083">
            <w:r>
              <w:t xml:space="preserve">State</w:t>
            </w:r>
          </w:p>
        </w:tc>
        <w:tc>
          <w:p w14:paraId="00100084" w14:textId="00100085">
            <w:r>
              <w:t xml:space="preserve">Categorical</w:t>
            </w:r>
          </w:p>
        </w:tc>
        <w:tc>
          <w:p w14:paraId="00100086" w14:textId="00100087">
            <w:r>
              <w:t xml:space="preserve">US State (49 unique states)</w:t>
            </w:r>
          </w:p>
        </w:tc>
      </w:tr>
      <w:tr>
        <w:trPr/>
        <w:tc>
          <w:p w14:paraId="00100088" w14:textId="00100089">
            <w:r>
              <w:t xml:space="preserve">Postal Code</w:t>
            </w:r>
          </w:p>
        </w:tc>
        <w:tc>
          <w:p w14:paraId="0010008A" w14:textId="0010008B">
            <w:r>
              <w:t xml:space="preserve">Numeric</w:t>
            </w:r>
          </w:p>
        </w:tc>
        <w:tc>
          <w:p w14:paraId="0010008C" w14:textId="0010008D">
            <w:r>
              <w:t xml:space="preserve">5-digit US postal code</w:t>
            </w:r>
          </w:p>
        </w:tc>
      </w:tr>
      <w:tr>
        <w:trPr/>
        <w:tc>
          <w:p w14:paraId="0010008E" w14:textId="0010008F">
            <w:r>
              <w:t xml:space="preserve">Region</w:t>
            </w:r>
          </w:p>
        </w:tc>
        <w:tc>
          <w:p w14:paraId="00100090" w14:textId="00100091">
            <w:r>
              <w:t xml:space="preserve">Categorical</w:t>
            </w:r>
          </w:p>
        </w:tc>
        <w:tc>
          <w:p w14:paraId="00100092" w14:textId="00100093">
            <w:r>
              <w:t xml:space="preserve">US sales region (West, East, Central, South)</w:t>
            </w:r>
          </w:p>
        </w:tc>
      </w:tr>
      <w:tr>
        <w:trPr/>
        <w:tc>
          <w:p w14:paraId="00100094" w14:textId="00100095">
            <w:r>
              <w:t xml:space="preserve">Category</w:t>
            </w:r>
          </w:p>
        </w:tc>
        <w:tc>
          <w:p w14:paraId="00100096" w14:textId="00100097">
            <w:r>
              <w:t xml:space="preserve">Categorical</w:t>
            </w:r>
          </w:p>
        </w:tc>
        <w:tc>
          <w:p w14:paraId="00100098" w14:textId="00100099">
            <w:r>
              <w:t xml:space="preserve">Product category (Furniture, Office Supplies, Technology)</w:t>
            </w:r>
          </w:p>
        </w:tc>
      </w:tr>
      <w:tr>
        <w:trPr/>
        <w:tc>
          <w:p w14:paraId="0010009A" w14:textId="0010009B">
            <w:r>
              <w:t xml:space="preserve">Sub-Category</w:t>
            </w:r>
          </w:p>
        </w:tc>
        <w:tc>
          <w:p w14:paraId="0010009C" w14:textId="0010009D">
            <w:r>
              <w:t xml:space="preserve">Categorical</w:t>
            </w:r>
          </w:p>
        </w:tc>
        <w:tc>
          <w:p w14:paraId="0010009E" w14:textId="0010009F">
            <w:r>
              <w:t xml:space="preserve">Product sub-category (17 unique values)</w:t>
            </w:r>
          </w:p>
        </w:tc>
      </w:tr>
      <w:tr>
        <w:trPr/>
        <w:tc>
          <w:p w14:paraId="001000A0" w14:textId="001000A1">
            <w:r>
              <w:t xml:space="preserve">Sales</w:t>
            </w:r>
          </w:p>
        </w:tc>
        <w:tc>
          <w:p w14:paraId="001000A2" w14:textId="001000A3">
            <w:r>
              <w:t xml:space="preserve">Numeric (float)</w:t>
            </w:r>
          </w:p>
        </w:tc>
        <w:tc>
          <w:p w14:paraId="001000A4" w14:textId="001000A5">
            <w:r>
              <w:t xml:space="preserve">Order revenue in USD</w:t>
            </w:r>
          </w:p>
        </w:tc>
      </w:tr>
      <w:tr>
        <w:trPr/>
        <w:tc>
          <w:p w14:paraId="001000A6" w14:textId="001000A7">
            <w:r>
              <w:t xml:space="preserve">Quantity</w:t>
            </w:r>
          </w:p>
        </w:tc>
        <w:tc>
          <w:p w14:paraId="001000A8" w14:textId="001000A9">
            <w:r>
              <w:t xml:space="preserve">Numeric (int)</w:t>
            </w:r>
          </w:p>
        </w:tc>
        <w:tc>
          <w:p w14:paraId="001000AA" w14:textId="001000AB">
            <w:r>
              <w:t xml:space="preserve">Number of units ordered</w:t>
            </w:r>
          </w:p>
        </w:tc>
      </w:tr>
      <w:tr>
        <w:trPr/>
        <w:tc>
          <w:p w14:paraId="001000AC" w14:textId="001000AD">
            <w:r>
              <w:t xml:space="preserve">Discount</w:t>
            </w:r>
          </w:p>
        </w:tc>
        <w:tc>
          <w:p w14:paraId="001000AE" w14:textId="001000AF">
            <w:r>
              <w:t xml:space="preserve">Numeric (float)</w:t>
            </w:r>
          </w:p>
        </w:tc>
        <w:tc>
          <w:p w14:paraId="001000B0" w14:textId="001000B1">
            <w:r>
              <w:t xml:space="preserve">Discount rate applied (0.0 to 0.8)</w:t>
            </w:r>
          </w:p>
        </w:tc>
      </w:tr>
      <w:tr>
        <w:trPr/>
        <w:tc>
          <w:p w14:paraId="001000B2" w14:textId="001000B3">
            <w:r>
              <w:t xml:space="preserve">Profit</w:t>
            </w:r>
          </w:p>
        </w:tc>
        <w:tc>
          <w:p w14:paraId="001000B4" w14:textId="001000B5">
            <w:r>
              <w:t xml:space="preserve">Numeric (float)</w:t>
            </w:r>
          </w:p>
        </w:tc>
        <w:tc>
          <w:p w14:paraId="001000B6" w14:textId="001000B7">
            <w:r>
              <w:t xml:space="preserve">Net profit in USD (can be negative)</w:t>
            </w:r>
          </w:p>
        </w:tc>
      </w:tr>
    </w:tbl>
    <w:p w14:paraId="001000B8" w14:textId="001000B9">
      <w:pPr>
        <w:pStyle w:val="Heading2"/>
        <w:spacing w:before="200" w:after="120"/>
      </w:pPr>
      <w:r>
        <w:rPr>
          <w:b/>
          <w:sz w:val="28"/>
        </w:rPr>
        <w:t xml:space="preserve">4.3 Derived Features</w:t>
      </w:r>
    </w:p>
    <w:p w14:paraId="001000BA" w14:textId="001000BB">
      <w:pPr>
        <w:spacing w:after="120"/>
      </w:pPr>
      <w:r>
        <w:rPr>
          <w:sz w:val="24"/>
        </w:rPr>
        <w:t xml:space="preserve">The following additional features were engineered during preprocessing:</w:t>
      </w:r>
    </w:p>
    <w:p w14:paraId="001000BC" w14:textId="001000BD">
      <w:pPr>
        <w:numPr>
          <w:ilvl w:val="0"/>
          <w:numId w:val="2"/>
        </w:numPr>
        <w:spacing w:after="80"/>
      </w:pPr>
      <w:r>
        <w:rPr>
          <w:sz w:val="24"/>
        </w:rPr>
        <w:t xml:space="preserve">Profit_Margin (%): Profit divided by Sales, expressed as a percentage. Measures true profitability per order.</w:t>
      </w:r>
    </w:p>
    <w:p w14:paraId="001000BE" w14:textId="001000BF">
      <w:pPr>
        <w:numPr>
          <w:ilvl w:val="0"/>
          <w:numId w:val="2"/>
        </w:numPr>
        <w:spacing w:after="80"/>
      </w:pPr>
      <w:r>
        <w:rPr>
          <w:sz w:val="24"/>
        </w:rPr>
        <w:t xml:space="preserve">Revenue_per_Unit: Sales divided by Quantity. Indicates the effective selling price per unit.</w:t>
      </w:r>
    </w:p>
    <w:p w14:paraId="001000C0" w14:textId="001000C1">
      <w:pPr>
        <w:numPr>
          <w:ilvl w:val="0"/>
          <w:numId w:val="2"/>
        </w:numPr>
        <w:spacing w:after="80"/>
      </w:pPr>
      <w:r>
        <w:rPr>
          <w:sz w:val="24"/>
        </w:rPr>
        <w:t xml:space="preserve">Discount_Impact: Sales multiplied by Discount. Quantifies the absolute revenue given away as discounts.</w:t>
      </w:r>
    </w:p>
    <w:p w14:paraId="001000C2" w14:textId="001000C3">
      <w:pPr>
        <w:numPr>
          <w:ilvl w:val="0"/>
          <w:numId w:val="2"/>
        </w:numPr>
        <w:spacing w:after="320"/>
      </w:pPr>
      <w:r>
        <w:rPr>
          <w:sz w:val="24"/>
        </w:rPr>
        <w:t xml:space="preserve">Order_Date, Year, Month, Quarter, Week, Day_of_Week: Temporal features derived from a synthetic date series spanning Jan 2021 to Dec 2023, enabling time-series analysis and seasonality modelling.</w:t>
      </w:r>
    </w:p>
    <w:p w14:paraId="001000C4" w14:textId="001000C5">
      <w:pPr>
        <w:pStyle w:val="Heading1"/>
        <w:spacing w:before="280" w:after="160"/>
      </w:pPr>
      <w:r>
        <w:rPr>
          <w:b/>
          <w:sz w:val="36"/>
        </w:rPr>
        <w:t xml:space="preserve">5. System Architecture</w:t>
      </w:r>
    </w:p>
    <w:p w14:paraId="001000C6" w14:textId="001000C7">
      <w:pPr>
        <w:spacing w:after="160"/>
      </w:pPr>
      <w:r>
        <w:rPr>
          <w:sz w:val="24"/>
        </w:rPr>
        <w:t xml:space="preserve">The system is designed as a modular three-layer architecture:</w:t>
      </w:r>
    </w:p>
    <w:p w14:paraId="001000C8" w14:textId="001000C9">
      <w:pPr>
        <w:numPr>
          <w:ilvl w:val="0"/>
          <w:numId w:val="3"/>
        </w:numPr>
        <w:spacing w:after="100"/>
      </w:pPr>
      <w:r>
        <w:rPr>
          <w:sz w:val="24"/>
        </w:rPr>
        <w:t xml:space="preserve">Layer 1 — Data Pipeline (src/data_pipeline.py): Responsible for loading the raw CSV, deduplication, feature engineering, temporal enrichment, and aggregation functions. All analytical summaries (KPIs, category, region, segment, state, ship mode, discount buckets) are computed here.</w:t>
      </w:r>
    </w:p>
    <w:p w14:paraId="001000CA" w14:textId="001000CB">
      <w:pPr>
        <w:numPr>
          <w:ilvl w:val="0"/>
          <w:numId w:val="3"/>
        </w:numPr>
        <w:spacing w:after="100"/>
      </w:pPr>
      <w:r>
        <w:rPr>
          <w:sz w:val="24"/>
        </w:rPr>
        <w:t xml:space="preserve">Layer 2 — AI/ML Engine (src/forecasting.py): Houses all machine learning models — Prophet/polynomial forecasting, XGBoost profit predictor, Isolation Forest anomaly detector, and K-Means product clustering. Models are persisted to disk using joblib for fast re-use.</w:t>
      </w:r>
    </w:p>
    <w:p w14:paraId="001000CC" w14:textId="001000CD">
      <w:pPr>
        <w:numPr>
          <w:ilvl w:val="0"/>
          <w:numId w:val="3"/>
        </w:numPr>
        <w:spacing w:after="160"/>
      </w:pPr>
      <w:r>
        <w:rPr>
          <w:sz w:val="24"/>
        </w:rPr>
        <w:t xml:space="preserve">Layer 3 — Analytics &amp; Visualisation (src/analytics.py + app.py): Builds 18+ interactive Plotly charts and renders them within a 6-page Streamlit web application. The dashboard includes real-time sidebar filters (Region, Category, Segment, Year).</w:t>
      </w:r>
    </w:p>
    <w:p w14:paraId="001000CE" w14:textId="001000CF">
      <w:pPr>
        <w:pStyle w:val="Heading2"/>
        <w:spacing w:before="200" w:after="120"/>
      </w:pPr>
      <w:r>
        <w:rPr>
          <w:b/>
          <w:sz w:val="28"/>
        </w:rPr>
        <w:t xml:space="preserve">5.1 Technology Stack</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D0" w14:textId="001000D1">
            <w:r>
              <w:t xml:space="preserve">Component</w:t>
            </w:r>
          </w:p>
        </w:tc>
        <w:tc>
          <w:p w14:paraId="001000D2" w14:textId="001000D3">
            <w:r>
              <w:t xml:space="preserve">Technology / Library</w:t>
            </w:r>
          </w:p>
        </w:tc>
        <w:tc>
          <w:p w14:paraId="001000D4" w14:textId="001000D5">
            <w:r>
              <w:t xml:space="preserve">Version / Notes</w:t>
            </w:r>
          </w:p>
        </w:tc>
      </w:tr>
      <w:tr>
        <w:trPr/>
        <w:tc>
          <w:p w14:paraId="001000D6" w14:textId="001000D7">
            <w:r>
              <w:t xml:space="preserve">Web Dashboard</w:t>
            </w:r>
          </w:p>
        </w:tc>
        <w:tc>
          <w:p w14:paraId="001000D8" w14:textId="001000D9">
            <w:r>
              <w:t xml:space="preserve">Streamlit</w:t>
            </w:r>
          </w:p>
        </w:tc>
        <w:tc>
          <w:p w14:paraId="001000DA" w14:textId="001000DB">
            <w:r>
              <w:t xml:space="preserve">v1.35+</w:t>
            </w:r>
          </w:p>
        </w:tc>
      </w:tr>
      <w:tr>
        <w:trPr/>
        <w:tc>
          <w:p w14:paraId="001000DC" w14:textId="001000DD">
            <w:r>
              <w:t xml:space="preserve">Data Processing</w:t>
            </w:r>
          </w:p>
        </w:tc>
        <w:tc>
          <w:p w14:paraId="001000DE" w14:textId="001000DF">
            <w:r>
              <w:t xml:space="preserve">Pandas, NumPy</w:t>
            </w:r>
          </w:p>
        </w:tc>
        <w:tc>
          <w:p w14:paraId="001000E0" w14:textId="001000E1">
            <w:r>
              <w:t xml:space="preserve">v2.2, v1.26+</w:t>
            </w:r>
          </w:p>
        </w:tc>
      </w:tr>
      <w:tr>
        <w:trPr/>
        <w:tc>
          <w:p w14:paraId="001000E2" w14:textId="001000E3">
            <w:r>
              <w:t xml:space="preserve">Visualisation</w:t>
            </w:r>
          </w:p>
        </w:tc>
        <w:tc>
          <w:p w14:paraId="001000E4" w14:textId="001000E5">
            <w:r>
              <w:t xml:space="preserve">Plotly Express &amp; Graph Objects</w:t>
            </w:r>
          </w:p>
        </w:tc>
        <w:tc>
          <w:p w14:paraId="001000E6" w14:textId="001000E7">
            <w:r>
              <w:t xml:space="preserve">v5.22+</w:t>
            </w:r>
          </w:p>
        </w:tc>
      </w:tr>
      <w:tr>
        <w:trPr/>
        <w:tc>
          <w:p w14:paraId="001000E8" w14:textId="001000E9">
            <w:r>
              <w:t xml:space="preserve">Sales Forecasting</w:t>
            </w:r>
          </w:p>
        </w:tc>
        <w:tc>
          <w:p w14:paraId="001000EA" w14:textId="001000EB">
            <w:r>
              <w:t xml:space="preserve">Prophet / Polynomial Trend</w:t>
            </w:r>
          </w:p>
        </w:tc>
        <w:tc>
          <w:p w14:paraId="001000EC" w14:textId="001000ED">
            <w:r>
              <w:t xml:space="preserve">v1.1 / NumPy fallback</w:t>
            </w:r>
          </w:p>
        </w:tc>
      </w:tr>
      <w:tr>
        <w:trPr/>
        <w:tc>
          <w:p w14:paraId="001000EE" w14:textId="001000EF">
            <w:r>
              <w:t xml:space="preserve">Profit Prediction</w:t>
            </w:r>
          </w:p>
        </w:tc>
        <w:tc>
          <w:p w14:paraId="001000F0" w14:textId="001000F1">
            <w:r>
              <w:t xml:space="preserve">XGBoost Regressor</w:t>
            </w:r>
          </w:p>
        </w:tc>
        <w:tc>
          <w:p w14:paraId="001000F2" w14:textId="001000F3">
            <w:r>
              <w:t xml:space="preserve">v2.0+ (RF fallback)</w:t>
            </w:r>
          </w:p>
        </w:tc>
      </w:tr>
      <w:tr>
        <w:trPr/>
        <w:tc>
          <w:p w14:paraId="001000F4" w14:textId="001000F5">
            <w:r>
              <w:t xml:space="preserve">Anomaly Detection</w:t>
            </w:r>
          </w:p>
        </w:tc>
        <w:tc>
          <w:p w14:paraId="001000F6" w14:textId="001000F7">
            <w:r>
              <w:t xml:space="preserve">Scikit-learn IsolationForest</w:t>
            </w:r>
          </w:p>
        </w:tc>
        <w:tc>
          <w:p w14:paraId="001000F8" w14:textId="001000F9">
            <w:r>
              <w:t xml:space="preserve">v1.4+</w:t>
            </w:r>
          </w:p>
        </w:tc>
      </w:tr>
      <w:tr>
        <w:trPr/>
        <w:tc>
          <w:p w14:paraId="001000FA" w14:textId="001000FB">
            <w:r>
              <w:t xml:space="preserve">Product Clustering</w:t>
            </w:r>
          </w:p>
        </w:tc>
        <w:tc>
          <w:p w14:paraId="001000FC" w14:textId="001000FD">
            <w:r>
              <w:t xml:space="preserve">Scikit-learn KMeans</w:t>
            </w:r>
          </w:p>
        </w:tc>
        <w:tc>
          <w:p w14:paraId="001000FE" w14:textId="001000FF">
            <w:r>
              <w:t xml:space="preserve">v1.4+</w:t>
            </w:r>
          </w:p>
        </w:tc>
      </w:tr>
      <w:tr>
        <w:trPr/>
        <w:tc>
          <w:p w14:paraId="00100100" w14:textId="00100101">
            <w:r>
              <w:t xml:space="preserve">Model Persistence</w:t>
            </w:r>
          </w:p>
        </w:tc>
        <w:tc>
          <w:p w14:paraId="00100102" w14:textId="00100103">
            <w:r>
              <w:t xml:space="preserve">Joblib</w:t>
            </w:r>
          </w:p>
        </w:tc>
        <w:tc>
          <w:p w14:paraId="00100104" w14:textId="00100105">
            <w:r>
              <w:t xml:space="preserve">v1.4+</w:t>
            </w:r>
          </w:p>
        </w:tc>
      </w:tr>
    </w:tbl>
    <w:p w14:paraId="00100106" w14:textId="00100107">
      <w:pPr>
        <w:pStyle w:val="Heading2"/>
        <w:spacing w:before="200" w:after="120"/>
      </w:pPr>
      <w:r>
        <w:rPr>
          <w:b/>
          <w:sz w:val="28"/>
        </w:rPr>
        <w:t xml:space="preserve">5.2 File Structure</w:t>
      </w:r>
    </w:p>
    <w:p w14:paraId="00100108" w14:textId="00100109">
      <w:pPr>
        <w:numPr>
          <w:ilvl w:val="0"/>
          <w:numId w:val="4"/>
        </w:numPr>
        <w:spacing w:after="80"/>
      </w:pPr>
      <w:r>
        <w:rPr>
          <w:sz w:val="24"/>
        </w:rPr>
        <w:t xml:space="preserve">app.py — Main Streamlit application (6-page dashboard, sidebar filters, cached model runner)</w:t>
      </w:r>
    </w:p>
    <w:p w14:paraId="0010010A" w14:textId="0010010B">
      <w:pPr>
        <w:numPr>
          <w:ilvl w:val="0"/>
          <w:numId w:val="4"/>
        </w:numPr>
        <w:spacing w:after="80"/>
      </w:pPr>
      <w:r>
        <w:rPr>
          <w:sz w:val="24"/>
        </w:rPr>
        <w:t xml:space="preserve">src/data_pipeline.py — Data loading, cleaning, feature engineering, aggregation functions</w:t>
      </w:r>
    </w:p>
    <w:p w14:paraId="0010010C" w14:textId="0010010D">
      <w:pPr>
        <w:numPr>
          <w:ilvl w:val="0"/>
          <w:numId w:val="4"/>
        </w:numPr>
        <w:spacing w:after="80"/>
      </w:pPr>
      <w:r>
        <w:rPr>
          <w:sz w:val="24"/>
        </w:rPr>
        <w:t xml:space="preserve">src/forecasting.py — All ML models: Prophet, XGBoost, Isolation Forest, K-Means</w:t>
      </w:r>
    </w:p>
    <w:p w14:paraId="0010010E" w14:textId="0010010F">
      <w:pPr>
        <w:numPr>
          <w:ilvl w:val="0"/>
          <w:numId w:val="4"/>
        </w:numPr>
        <w:spacing w:after="80"/>
      </w:pPr>
      <w:r>
        <w:rPr>
          <w:sz w:val="24"/>
        </w:rPr>
        <w:t xml:space="preserve">src/analytics.py — 18+ Plotly chart builder functions</w:t>
      </w:r>
    </w:p>
    <w:p w14:paraId="00100110" w14:textId="00100111">
      <w:pPr>
        <w:numPr>
          <w:ilvl w:val="0"/>
          <w:numId w:val="4"/>
        </w:numPr>
        <w:spacing w:after="80"/>
      </w:pPr>
      <w:r>
        <w:rPr>
          <w:sz w:val="24"/>
        </w:rPr>
        <w:t xml:space="preserve">models/ — Saved model artefacts (profit_model.pkl, prophet_model.pkl)</w:t>
      </w:r>
    </w:p>
    <w:p w14:paraId="00100112" w14:textId="00100113">
      <w:pPr>
        <w:numPr>
          <w:ilvl w:val="0"/>
          <w:numId w:val="4"/>
        </w:numPr>
        <w:spacing w:after="80"/>
      </w:pPr>
      <w:r>
        <w:rPr>
          <w:sz w:val="24"/>
        </w:rPr>
        <w:t xml:space="preserve">.streamlit/config.toml — Streamlit theme configuration</w:t>
      </w:r>
    </w:p>
    <w:p w14:paraId="00100114" w14:textId="00100115">
      <w:pPr>
        <w:numPr>
          <w:ilvl w:val="0"/>
          <w:numId w:val="4"/>
        </w:numPr>
        <w:spacing w:after="320"/>
      </w:pPr>
      <w:r>
        <w:rPr>
          <w:sz w:val="24"/>
        </w:rPr>
        <w:t xml:space="preserve">requirements.txt — Python dependency list</w:t>
      </w:r>
    </w:p>
    <w:p w14:paraId="00100116" w14:textId="00100117">
      <w:pPr>
        <w:pStyle w:val="Heading1"/>
        <w:spacing w:before="280" w:after="160"/>
      </w:pPr>
      <w:r>
        <w:rPr>
          <w:b/>
          <w:sz w:val="36"/>
        </w:rPr>
        <w:t xml:space="preserve">6. Methodology &amp; Data Pipeline</w:t>
      </w:r>
    </w:p>
    <w:p w14:paraId="00100118" w14:textId="00100119">
      <w:pPr>
        <w:pStyle w:val="Heading2"/>
        <w:spacing w:before="200" w:after="120"/>
      </w:pPr>
      <w:r>
        <w:rPr>
          <w:b/>
          <w:sz w:val="28"/>
        </w:rPr>
        <w:t xml:space="preserve">6.1 Data Loading</w:t>
      </w:r>
    </w:p>
    <w:p w14:paraId="0010011A" w14:textId="0010011B">
      <w:pPr>
        <w:spacing w:after="160"/>
      </w:pPr>
      <w:r>
        <w:rPr>
          <w:sz w:val="24"/>
        </w:rPr>
        <w:t xml:space="preserve">The raw CSV file is loaded using pandas.read_csv() with column name stripping to handle any whitespace inconsistencies. The dataset requires no complex joins or merges as it arrives as a single denormalised table.</w:t>
      </w:r>
    </w:p>
    <w:p w14:paraId="0010011C" w14:textId="0010011D">
      <w:pPr>
        <w:pStyle w:val="Heading2"/>
        <w:spacing w:before="200" w:after="120"/>
      </w:pPr>
      <w:r>
        <w:rPr>
          <w:b/>
          <w:sz w:val="28"/>
        </w:rPr>
        <w:t xml:space="preserve">6.2 Data Cleaning</w:t>
      </w:r>
    </w:p>
    <w:p w14:paraId="0010011E" w14:textId="0010011F">
      <w:pPr>
        <w:spacing w:after="160"/>
      </w:pPr>
      <w:r>
        <w:rPr>
          <w:sz w:val="24"/>
        </w:rPr>
        <w:t xml:space="preserve">Duplicate rows are removed using pandas drop_duplicates(), reducing the dataset from its raw form to 9,977 clean records. No missing values were detected in the original dataset. The data types are consistent with their expected formats — Sales, Discount, and Profit are floating-point numbers, and Quantity is an integer.</w:t>
      </w:r>
    </w:p>
    <w:p w14:paraId="00100120" w14:textId="00100121">
      <w:pPr>
        <w:pStyle w:val="Heading2"/>
        <w:spacing w:before="200" w:after="120"/>
      </w:pPr>
      <w:r>
        <w:rPr>
          <w:b/>
          <w:sz w:val="28"/>
        </w:rPr>
        <w:t xml:space="preserve">6.3 Feature Engineering</w:t>
      </w:r>
    </w:p>
    <w:p w14:paraId="00100122" w14:textId="00100123">
      <w:pPr>
        <w:spacing w:after="160"/>
      </w:pPr>
      <w:r>
        <w:rPr>
          <w:sz w:val="24"/>
        </w:rPr>
        <w:t xml:space="preserve">Three numerical features are derived to enrich the analytical depth: Profit_Margin (profitability ratio), Revenue_per_Unit (effective unit price), and Discount_Impact (absolute discount value). A synthetic Order_Date column is added by distributing records uniformly across a 36-month date range (Jan 2021 to Dec 2023), which enables time-series analysis and seasonality modelling that would otherwise be impossible without explicit date data.</w:t>
      </w:r>
    </w:p>
    <w:p w14:paraId="00100124" w14:textId="00100125">
      <w:pPr>
        <w:pStyle w:val="Heading2"/>
        <w:spacing w:before="200" w:after="120"/>
      </w:pPr>
      <w:r>
        <w:rPr>
          <w:b/>
          <w:sz w:val="28"/>
        </w:rPr>
        <w:t xml:space="preserve">6.4 Aggregation Functions</w:t>
      </w:r>
    </w:p>
    <w:p w14:paraId="00100126" w14:textId="00100127">
      <w:pPr>
        <w:spacing w:after="320"/>
      </w:pPr>
      <w:r>
        <w:rPr>
          <w:sz w:val="24"/>
        </w:rPr>
        <w:t xml:space="preserve">The data pipeline module exposes dedicated aggregation functions for every analytical dimension used by the dashboard: monthly time series, category summary, sub-category summary, region summary, segment summary, state summary, ship mode summary, discount correlation analysis, and monthly-by-category heatmap data. This design separates concerns cleanly and makes each function independently testable.</w:t>
      </w:r>
    </w:p>
    <w:p w14:paraId="00100128" w14:textId="00100129">
      <w:pPr>
        <w:pStyle w:val="Heading1"/>
        <w:spacing w:before="280" w:after="160"/>
      </w:pPr>
      <w:r>
        <w:rPr>
          <w:b/>
          <w:sz w:val="36"/>
        </w:rPr>
        <w:t xml:space="preserve">7. Exploratory Data Analysis (EDA)</w:t>
      </w:r>
    </w:p>
    <w:p w14:paraId="0010012A" w14:textId="0010012B">
      <w:pPr>
        <w:pStyle w:val="Heading2"/>
        <w:spacing w:before="200" w:after="120"/>
      </w:pPr>
      <w:r>
        <w:rPr>
          <w:b/>
          <w:sz w:val="28"/>
        </w:rPr>
        <w:t xml:space="preserve">7.1 Business KPIs</w:t>
      </w:r>
    </w:p>
    <w:p w14:paraId="0010012C" w14:textId="0010012D">
      <w:pPr>
        <w:spacing w:after="120"/>
      </w:pPr>
      <w:r>
        <w:rPr>
          <w:sz w:val="24"/>
        </w:rPr>
        <w:t xml:space="preserve">The top-level business KPIs computed from the full dataset are summarised below:</w:t>
      </w:r>
    </w:p>
    <w:tbl>
      <w:tblPr>
        <w:tblW w:w="3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12E" w14:textId="0010012F">
            <w:r>
              <w:t xml:space="preserve">KPI</w:t>
            </w:r>
          </w:p>
        </w:tc>
        <w:tc>
          <w:p w14:paraId="00100130" w14:textId="00100131">
            <w:r>
              <w:t xml:space="preserve">Value</w:t>
            </w:r>
          </w:p>
        </w:tc>
      </w:tr>
      <w:tr>
        <w:trPr/>
        <w:tc>
          <w:p w14:paraId="00100132" w14:textId="00100133">
            <w:r>
              <w:t xml:space="preserve">Total Sales</w:t>
            </w:r>
          </w:p>
        </w:tc>
        <w:tc>
          <w:p w14:paraId="00100134" w14:textId="00100135">
            <w:r>
              <w:t xml:space="preserve">$2,297,201</w:t>
            </w:r>
          </w:p>
        </w:tc>
      </w:tr>
      <w:tr>
        <w:trPr/>
        <w:tc>
          <w:p w14:paraId="00100136" w14:textId="00100137">
            <w:r>
              <w:t xml:space="preserve">Total Profit</w:t>
            </w:r>
          </w:p>
        </w:tc>
        <w:tc>
          <w:p w14:paraId="00100138" w14:textId="00100139">
            <w:r>
              <w:t xml:space="preserve">$286,397</w:t>
            </w:r>
          </w:p>
        </w:tc>
      </w:tr>
      <w:tr>
        <w:trPr/>
        <w:tc>
          <w:p w14:paraId="0010013A" w14:textId="0010013B">
            <w:r>
              <w:t xml:space="preserve">Total Orders</w:t>
            </w:r>
          </w:p>
        </w:tc>
        <w:tc>
          <w:p w14:paraId="0010013C" w14:textId="0010013D">
            <w:r>
              <w:t xml:space="preserve">9,977</w:t>
            </w:r>
          </w:p>
        </w:tc>
      </w:tr>
      <w:tr>
        <w:trPr/>
        <w:tc>
          <w:p w14:paraId="0010013E" w14:textId="0010013F">
            <w:r>
              <w:t xml:space="preserve">Avg Profit Margin</w:t>
            </w:r>
          </w:p>
        </w:tc>
        <w:tc>
          <w:p w14:paraId="00100140" w14:textId="00100141">
            <w:r>
              <w:t xml:space="preserve">12.5%</w:t>
            </w:r>
          </w:p>
        </w:tc>
      </w:tr>
      <w:tr>
        <w:trPr/>
        <w:tc>
          <w:p w14:paraId="00100142" w14:textId="00100143">
            <w:r>
              <w:t xml:space="preserve">Total Units Sold</w:t>
            </w:r>
          </w:p>
        </w:tc>
        <w:tc>
          <w:p w14:paraId="00100144" w14:textId="00100145">
            <w:r>
              <w:t xml:space="preserve">37,873</w:t>
            </w:r>
          </w:p>
        </w:tc>
      </w:tr>
      <w:tr>
        <w:trPr/>
        <w:tc>
          <w:p w14:paraId="00100146" w14:textId="00100147">
            <w:r>
              <w:t xml:space="preserve">Avg Discount</w:t>
            </w:r>
          </w:p>
        </w:tc>
        <w:tc>
          <w:p w14:paraId="00100148" w14:textId="00100149">
            <w:r>
              <w:t xml:space="preserve">15.6%</w:t>
            </w:r>
          </w:p>
        </w:tc>
      </w:tr>
      <w:tr>
        <w:trPr/>
        <w:tc>
          <w:p w14:paraId="0010014A" w14:textId="0010014B">
            <w:r>
              <w:t xml:space="preserve">Cities Served</w:t>
            </w:r>
          </w:p>
        </w:tc>
        <w:tc>
          <w:p w14:paraId="0010014C" w14:textId="0010014D">
            <w:r>
              <w:t xml:space="preserve">531</w:t>
            </w:r>
          </w:p>
        </w:tc>
      </w:tr>
      <w:tr>
        <w:trPr/>
        <w:tc>
          <w:p w14:paraId="0010014E" w14:textId="0010014F">
            <w:r>
              <w:t xml:space="preserve">Avg Order Value</w:t>
            </w:r>
          </w:p>
        </w:tc>
        <w:tc>
          <w:p w14:paraId="00100150" w14:textId="00100151">
            <w:r>
              <w:t xml:space="preserve">$230.22</w:t>
            </w:r>
          </w:p>
        </w:tc>
      </w:tr>
    </w:tbl>
    <w:p w14:paraId="00100152" w14:textId="00100153">
      <w:pPr>
        <w:pStyle w:val="Heading2"/>
        <w:spacing w:before="200" w:after="120"/>
      </w:pPr>
      <w:r>
        <w:rPr>
          <w:b/>
          <w:sz w:val="28"/>
        </w:rPr>
        <w:t xml:space="preserve">7.2 Key EDA Findings</w:t>
      </w:r>
    </w:p>
    <w:p w14:paraId="00100154" w14:textId="00100155">
      <w:pPr>
        <w:numPr>
          <w:ilvl w:val="0"/>
          <w:numId w:val="5"/>
        </w:numPr>
        <w:spacing w:after="100"/>
      </w:pPr>
      <w:r>
        <w:rPr>
          <w:sz w:val="24"/>
        </w:rPr>
        <w:t xml:space="preserve">Sales Distribution: Highly right-skewed with most orders below $500, but a long tail of high-value orders extending to $22,000+. The median order value is approximately $54.</w:t>
      </w:r>
    </w:p>
    <w:p w14:paraId="00100156" w14:textId="00100157">
      <w:pPr>
        <w:numPr>
          <w:ilvl w:val="0"/>
          <w:numId w:val="5"/>
        </w:numPr>
        <w:spacing w:after="100"/>
      </w:pPr>
      <w:r>
        <w:rPr>
          <w:sz w:val="24"/>
        </w:rPr>
        <w:t xml:space="preserve">Profit Distribution: Bimodal with a significant mass of orders generating small positive profit, but also a visible cluster of loss-making orders. Approximately 18% of all orders are loss-making.</w:t>
      </w:r>
    </w:p>
    <w:p w14:paraId="00100158" w14:textId="00100159">
      <w:pPr>
        <w:numPr>
          <w:ilvl w:val="0"/>
          <w:numId w:val="5"/>
        </w:numPr>
        <w:spacing w:after="100"/>
      </w:pPr>
      <w:r>
        <w:rPr>
          <w:sz w:val="24"/>
        </w:rPr>
        <w:t xml:space="preserve">Discount-Profit Correlation: The Pearson correlation between Discount and Profit_Margin is strongly negative (r = -0.47), confirming that higher discounts directly erode profitability.</w:t>
      </w:r>
    </w:p>
    <w:p w14:paraId="0010015A" w14:textId="0010015B">
      <w:pPr>
        <w:numPr>
          <w:ilvl w:val="0"/>
          <w:numId w:val="5"/>
        </w:numPr>
        <w:spacing w:after="100"/>
      </w:pPr>
      <w:r>
        <w:rPr>
          <w:sz w:val="24"/>
        </w:rPr>
        <w:t xml:space="preserve">Category Performance: Technology leads in both sales ($836K) and profit ($145K). Furniture has high sales ($742K) but poor profit ($18K) due to heavy discounting. Office Supplies is the highest-volume category by order count.</w:t>
      </w:r>
    </w:p>
    <w:p w14:paraId="0010015C" w14:textId="0010015D">
      <w:pPr>
        <w:numPr>
          <w:ilvl w:val="0"/>
          <w:numId w:val="5"/>
        </w:numPr>
        <w:spacing w:after="320"/>
      </w:pPr>
      <w:r>
        <w:rPr>
          <w:sz w:val="24"/>
        </w:rPr>
        <w:t xml:space="preserve">Regional Performance: The West region accounts for the largest share of sales (31.6%), followed by East (29.5%), Central (21.8%), and South (17.1%).</w:t>
      </w:r>
    </w:p>
    <w:p w14:paraId="0010015E" w14:textId="0010015F">
      <w:pPr>
        <w:pStyle w:val="Heading1"/>
        <w:spacing w:before="280" w:after="160"/>
      </w:pPr>
      <w:r>
        <w:rPr>
          <w:b/>
          <w:sz w:val="36"/>
        </w:rPr>
        <w:t xml:space="preserve">8. AI Sales Forecasting</w:t>
      </w:r>
    </w:p>
    <w:p w14:paraId="00100160" w14:textId="00100161">
      <w:pPr>
        <w:pStyle w:val="Heading2"/>
        <w:spacing w:before="200" w:after="120"/>
      </w:pPr>
      <w:r>
        <w:rPr>
          <w:b/>
          <w:sz w:val="28"/>
        </w:rPr>
        <w:t xml:space="preserve">8.1 Approach</w:t>
      </w:r>
    </w:p>
    <w:p w14:paraId="00100162" w14:textId="00100163">
      <w:pPr>
        <w:spacing w:after="160"/>
      </w:pPr>
      <w:r>
        <w:rPr>
          <w:sz w:val="24"/>
        </w:rPr>
        <w:t xml:space="preserve">Monthly sales are aggregated from the order-level data into a 36-point time series (January 2021 to December 2023). The system supports two forecasting backends: Facebook Prophet (when installed) and a quadratic polynomial trend model as a robust fallback.</w:t>
      </w:r>
    </w:p>
    <w:p w14:paraId="00100164" w14:textId="00100165">
      <w:pPr>
        <w:pStyle w:val="Heading2"/>
        <w:spacing w:before="200" w:after="120"/>
      </w:pPr>
      <w:r>
        <w:rPr>
          <w:b/>
          <w:sz w:val="28"/>
        </w:rPr>
        <w:t xml:space="preserve">8.2 Prophet Model</w:t>
      </w:r>
    </w:p>
    <w:p w14:paraId="00100166" w14:textId="00100167">
      <w:pPr>
        <w:spacing w:after="160"/>
      </w:pPr>
      <w:r>
        <w:rPr>
          <w:sz w:val="24"/>
        </w:rPr>
        <w:t xml:space="preserve">Prophet is a decomposable time-series model developed by Meta. It models the time series as the sum of trend, seasonality, and holiday components. The configuration used in this project includes: yearly seasonality enabled, a custom quarterly seasonality component (period=91.25 days, 5 Fourier terms), changepoint_prior_scale=0.1 (conservative changepoint detection), and seasonality_prior_scale=10. The model is fitted on the ds (date) and y (monthly sales) columns and produces forecasts with 95% uncertainty intervals.</w:t>
      </w:r>
    </w:p>
    <w:p w14:paraId="00100168" w14:textId="00100169">
      <w:pPr>
        <w:pStyle w:val="Heading2"/>
        <w:spacing w:before="200" w:after="120"/>
      </w:pPr>
      <w:r>
        <w:rPr>
          <w:b/>
          <w:sz w:val="28"/>
        </w:rPr>
        <w:t xml:space="preserve">8.3 Polynomial Trend Fallback</w:t>
      </w:r>
    </w:p>
    <w:p w14:paraId="0010016A" w14:textId="0010016B">
      <w:pPr>
        <w:spacing w:after="160"/>
      </w:pPr>
      <w:r>
        <w:rPr>
          <w:sz w:val="24"/>
        </w:rPr>
        <w:t xml:space="preserve">When Prophet is not available, a degree-2 polynomial (quadratic) trend is fitted via NumPy's polyfit function. Confidence intervals are constructed as ±1.96 standard deviations of the historical residuals, yielding approximate 95% prediction intervals. The fallback is lightweight, requires no additional dependencies, and produces visually clean forecasts sufficient for business planning purposes.</w:t>
      </w:r>
    </w:p>
    <w:p w14:paraId="0010016C" w14:textId="0010016D">
      <w:pPr>
        <w:pStyle w:val="Heading2"/>
        <w:spacing w:before="200" w:after="120"/>
      </w:pPr>
      <w:r>
        <w:rPr>
          <w:b/>
          <w:sz w:val="28"/>
        </w:rPr>
        <w:t xml:space="preserve">8.4 Forecast Output</w:t>
      </w:r>
    </w:p>
    <w:p w14:paraId="0010016E" w14:textId="0010016F">
      <w:pPr>
        <w:spacing w:after="320"/>
      </w:pPr>
      <w:r>
        <w:rPr>
          <w:sz w:val="24"/>
        </w:rPr>
        <w:t xml:space="preserve">The dashboard allows users to configure the forecast horizon (3–12 months) via an interactive slider. The output includes a time-series chart overlaying actual sales, fitted trend, and forecast with a confidence band, plus a downloadable forecast table with monthly point estimates and lower/upper bounds.</w:t>
      </w:r>
    </w:p>
    <w:p w14:paraId="00100170" w14:textId="00100171">
      <w:pPr>
        <w:pStyle w:val="Heading1"/>
        <w:spacing w:before="280" w:after="160"/>
      </w:pPr>
      <w:r>
        <w:rPr>
          <w:b/>
          <w:sz w:val="36"/>
        </w:rPr>
        <w:t xml:space="preserve">9. Profit Prediction Model (XGBoost)</w:t>
      </w:r>
    </w:p>
    <w:p w14:paraId="00100172" w14:textId="00100173">
      <w:pPr>
        <w:pStyle w:val="Heading2"/>
        <w:spacing w:before="200" w:after="120"/>
      </w:pPr>
      <w:r>
        <w:rPr>
          <w:b/>
          <w:sz w:val="28"/>
        </w:rPr>
        <w:t xml:space="preserve">9.1 Problem Framing</w:t>
      </w:r>
    </w:p>
    <w:p w14:paraId="00100174" w14:textId="00100175">
      <w:pPr>
        <w:spacing w:after="160"/>
      </w:pPr>
      <w:r>
        <w:rPr>
          <w:sz w:val="24"/>
        </w:rPr>
        <w:t xml:space="preserve">Predicting the profit of an individual order before it is shipped is a high-value business capability. It allows pricing teams to evaluate whether a proposed order configuration (product, discount, quantity, region) will be profitable, and enables sales representatives to negotiate more intelligently.</w:t>
      </w:r>
    </w:p>
    <w:p w14:paraId="00100176" w14:textId="00100177">
      <w:pPr>
        <w:pStyle w:val="Heading2"/>
        <w:spacing w:before="200" w:after="120"/>
      </w:pPr>
      <w:r>
        <w:rPr>
          <w:b/>
          <w:sz w:val="28"/>
        </w:rPr>
        <w:t xml:space="preserve">9.2 Feature Set</w:t>
      </w:r>
    </w:p>
    <w:p w14:paraId="00100178" w14:textId="00100179">
      <w:pPr>
        <w:spacing w:after="160"/>
      </w:pPr>
      <w:r>
        <w:rPr>
          <w:sz w:val="24"/>
        </w:rPr>
        <w:t xml:space="preserve">Ten features are used: Sales, Quantity, Discount (numeric), Category, Sub-Category, Region, Segment, Ship Mode (label-encoded categorical), Month, and Quarter (temporal). Categorical features are encoded using scikit-learn's LabelEncoder.</w:t>
      </w:r>
    </w:p>
    <w:p w14:paraId="0010017A" w14:textId="0010017B">
      <w:pPr>
        <w:pStyle w:val="Heading2"/>
        <w:spacing w:before="200" w:after="120"/>
      </w:pPr>
      <w:r>
        <w:rPr>
          <w:b/>
          <w:sz w:val="28"/>
        </w:rPr>
        <w:t xml:space="preserve">9.3 Model Configuration</w:t>
      </w:r>
    </w:p>
    <w:p w14:paraId="0010017C" w14:textId="0010017D">
      <w:pPr>
        <w:spacing w:after="160"/>
      </w:pPr>
      <w:r>
        <w:rPr>
          <w:sz w:val="24"/>
        </w:rPr>
        <w:t xml:space="preserve">XGBoost Regressor: n_estimators=300, max_depth=6, learning_rate=0.05, subsample=0.8, colsample_bytree=0.8, random_state=42. An 80/20 train-test split is used. When XGBoost is unavailable, a Random Forest Regressor (200 trees) is used as a fallback.</w:t>
      </w:r>
    </w:p>
    <w:p w14:paraId="0010017E" w14:textId="0010017F">
      <w:pPr>
        <w:pStyle w:val="Heading2"/>
        <w:spacing w:before="200" w:after="120"/>
      </w:pPr>
      <w:r>
        <w:rPr>
          <w:b/>
          <w:sz w:val="28"/>
        </w:rPr>
        <w:t xml:space="preserve">9.4 Model Performance</w:t>
      </w:r>
    </w:p>
    <w:tbl>
      <w:tblPr>
        <w:tblW w:w="25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180" w14:textId="00100181">
            <w:r>
              <w:t xml:space="preserve">Metric</w:t>
            </w:r>
          </w:p>
        </w:tc>
        <w:tc>
          <w:p w14:paraId="00100182" w14:textId="00100183">
            <w:r>
              <w:t xml:space="preserve">Value</w:t>
            </w:r>
          </w:p>
        </w:tc>
      </w:tr>
      <w:tr>
        <w:trPr/>
        <w:tc>
          <w:p w14:paraId="00100184" w14:textId="00100185">
            <w:r>
              <w:t xml:space="preserve">MAE (Mean Absolute Error)</w:t>
            </w:r>
          </w:p>
        </w:tc>
        <w:tc>
          <w:p w14:paraId="00100186" w14:textId="00100187">
            <w:r>
              <w:t xml:space="preserve">$28.15</w:t>
            </w:r>
          </w:p>
        </w:tc>
      </w:tr>
      <w:tr>
        <w:trPr/>
        <w:tc>
          <w:p w14:paraId="00100188" w14:textId="00100189">
            <w:r>
              <w:t xml:space="preserve">RMSE (Root Mean Squared Error)</w:t>
            </w:r>
          </w:p>
        </w:tc>
        <w:tc>
          <w:p w14:paraId="0010018A" w14:textId="0010018B">
            <w:r>
              <w:t xml:space="preserve">$89.43</w:t>
            </w:r>
          </w:p>
        </w:tc>
      </w:tr>
      <w:tr>
        <w:trPr/>
        <w:tc>
          <w:p w14:paraId="0010018C" w14:textId="0010018D">
            <w:r>
              <w:t xml:space="preserve">R² (Coefficient of Determination)</w:t>
            </w:r>
          </w:p>
        </w:tc>
        <w:tc>
          <w:p w14:paraId="0010018E" w14:textId="0010018F">
            <w:r>
              <w:t xml:space="preserve">0.5891</w:t>
            </w:r>
          </w:p>
        </w:tc>
      </w:tr>
    </w:tbl>
    <w:p w14:paraId="00100190" w14:textId="00100191">
      <w:pPr>
        <w:spacing w:after="320"/>
      </w:pPr>
      <w:r>
        <w:rPr>
          <w:sz w:val="24"/>
        </w:rPr>
        <w:t xml:space="preserve">The R² of 0.59 indicates that the model explains 59% of the variance in profit, which is substantial given that profit is influenced by external factors not present in the dataset (e.g., cost of goods, shipping costs, returns). The primary driver of profit according to feature importances is Sales, followed by Discount, and Category — consistent with business intuition.</w:t>
      </w:r>
    </w:p>
    <w:p w14:paraId="00100192" w14:textId="00100193">
      <w:pPr>
        <w:pStyle w:val="Heading1"/>
        <w:spacing w:before="280" w:after="160"/>
      </w:pPr>
      <w:r>
        <w:rPr>
          <w:b/>
          <w:sz w:val="36"/>
        </w:rPr>
        <w:t xml:space="preserve">10. Anomaly Detection</w:t>
      </w:r>
    </w:p>
    <w:p w14:paraId="00100194" w14:textId="00100195">
      <w:pPr>
        <w:pStyle w:val="Heading2"/>
        <w:spacing w:before="200" w:after="120"/>
      </w:pPr>
      <w:r>
        <w:rPr>
          <w:b/>
          <w:sz w:val="28"/>
        </w:rPr>
        <w:t xml:space="preserve">10.1 Algorithm</w:t>
      </w:r>
    </w:p>
    <w:p w14:paraId="00100196" w14:textId="00100197">
      <w:pPr>
        <w:spacing w:after="160"/>
      </w:pPr>
      <w:r>
        <w:rPr>
          <w:sz w:val="24"/>
        </w:rPr>
        <w:t xml:space="preserve">Isolation Forest is an unsupervised anomaly detection algorithm that isolates observations by randomly selecting a feature and then randomly selecting a split value between the maximum and minimum values of that feature. The logic is that anomalies are few and different, and therefore require fewer splits to isolate than normal observations.</w:t>
      </w:r>
    </w:p>
    <w:p w14:paraId="00100198" w14:textId="00100199">
      <w:pPr>
        <w:pStyle w:val="Heading2"/>
        <w:spacing w:before="200" w:after="120"/>
      </w:pPr>
      <w:r>
        <w:rPr>
          <w:b/>
          <w:sz w:val="28"/>
        </w:rPr>
        <w:t xml:space="preserve">10.2 Implementation</w:t>
      </w:r>
    </w:p>
    <w:p w14:paraId="0010019A" w14:textId="0010019B">
      <w:pPr>
        <w:spacing w:after="160"/>
      </w:pPr>
      <w:r>
        <w:rPr>
          <w:sz w:val="24"/>
        </w:rPr>
        <w:t xml:space="preserve">Four features are used: Sales, Profit, Quantity, and Discount. All features are standardised using StandardScaler before training. The contamination parameter (default 5%) sets the expected proportion of anomalies and is adjustable via the dashboard UI (1%–15%). Each order receives an anomaly label (1=normal, -1=anomaly) and a continuous anomaly score.</w:t>
      </w:r>
    </w:p>
    <w:p w14:paraId="0010019C" w14:textId="0010019D">
      <w:pPr>
        <w:pStyle w:val="Heading2"/>
        <w:spacing w:before="200" w:after="120"/>
      </w:pPr>
      <w:r>
        <w:rPr>
          <w:b/>
          <w:sz w:val="28"/>
        </w:rPr>
        <w:t xml:space="preserve">10.3 Results</w:t>
      </w:r>
    </w:p>
    <w:p w14:paraId="0010019E" w14:textId="0010019F">
      <w:pPr>
        <w:spacing w:after="320"/>
      </w:pPr>
      <w:r>
        <w:rPr>
          <w:sz w:val="24"/>
        </w:rPr>
        <w:t xml:space="preserve">At the default 5% contamination setting, 499 orders (5.0% of total) are flagged as anomalies. Inspection of flagged orders reveals three primary anomaly patterns: (1) extremely high-value orders with unexpectedly low profit (deep-discount orders on expensive furniture), (2) orders with unusually high discount rates (&gt;70%) that generate large losses, and (3) low-quantity orders with disproportionately high sales values (potential pricing errors). The dashboard displays a scatter plot of Sales vs Profit with anomalies highlighted in red, and a sortable table of the top flagged orders.</w:t>
      </w:r>
    </w:p>
    <w:p w14:paraId="001001A0" w14:textId="001001A1">
      <w:pPr>
        <w:pStyle w:val="Heading1"/>
        <w:spacing w:before="280" w:after="160"/>
      </w:pPr>
      <w:r>
        <w:rPr>
          <w:b/>
          <w:sz w:val="36"/>
        </w:rPr>
        <w:t xml:space="preserve">11. Product Segmentation (K-Means Clustering)</w:t>
      </w:r>
    </w:p>
    <w:p w14:paraId="001001A2" w14:textId="001001A3">
      <w:pPr>
        <w:pStyle w:val="Heading2"/>
        <w:spacing w:before="200" w:after="120"/>
      </w:pPr>
      <w:r>
        <w:rPr>
          <w:b/>
          <w:sz w:val="28"/>
        </w:rPr>
        <w:t xml:space="preserve">11.1 Objective</w:t>
      </w:r>
    </w:p>
    <w:p w14:paraId="001001A4" w14:textId="001001A5">
      <w:pPr>
        <w:spacing w:after="160"/>
      </w:pPr>
      <w:r>
        <w:rPr>
          <w:sz w:val="24"/>
        </w:rPr>
        <w:t xml:space="preserve">Product segmentation groups sub-categories into strategic clusters based on their business performance characteristics. This enables portfolio management decisions: which products to promote, which to reprice, and which to discontinue.</w:t>
      </w:r>
    </w:p>
    <w:p w14:paraId="001001A6" w14:textId="001001A7">
      <w:pPr>
        <w:pStyle w:val="Heading2"/>
        <w:spacing w:before="200" w:after="120"/>
      </w:pPr>
      <w:r>
        <w:rPr>
          <w:b/>
          <w:sz w:val="28"/>
        </w:rPr>
        <w:t xml:space="preserve">11.2 Method</w:t>
      </w:r>
    </w:p>
    <w:p w14:paraId="001001A8" w14:textId="001001A9">
      <w:pPr>
        <w:spacing w:after="160"/>
      </w:pPr>
      <w:r>
        <w:rPr>
          <w:sz w:val="24"/>
        </w:rPr>
        <w:t xml:space="preserve">Data is first aggregated to the sub-category level (17 sub-categories), computing: average sales per order, total sales, average profit per order, average discount rate, and total quantity sold. Features are standardised before clustering. K-Means is fitted with k=4 (configurable 2–6 in the dashboard), using n_init=10 for stable centroid initialisation.</w:t>
      </w:r>
    </w:p>
    <w:p w14:paraId="001001AA" w14:textId="001001AB">
      <w:pPr>
        <w:pStyle w:val="Heading2"/>
        <w:spacing w:before="200" w:after="120"/>
      </w:pPr>
      <w:r>
        <w:rPr>
          <w:b/>
          <w:sz w:val="28"/>
        </w:rPr>
        <w:t xml:space="preserve">11.3 Cluster Profiles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1AC" w14:textId="001001AD">
            <w:r>
              <w:t xml:space="preserve">Cluster Label</w:t>
            </w:r>
          </w:p>
        </w:tc>
        <w:tc>
          <w:p w14:paraId="001001AE" w14:textId="001001AF">
            <w:r>
              <w:t xml:space="preserve">Characteristics</w:t>
            </w:r>
          </w:p>
        </w:tc>
        <w:tc>
          <w:p w14:paraId="001001B0" w14:textId="001001B1">
            <w:r>
              <w:t xml:space="preserve">Example Sub-Categories</w:t>
            </w:r>
          </w:p>
        </w:tc>
      </w:tr>
      <w:tr>
        <w:trPr/>
        <w:tc>
          <w:p w14:paraId="001001B2" w14:textId="001001B3">
            <w:r>
              <w:t xml:space="preserve">High Profit</w:t>
            </w:r>
          </w:p>
        </w:tc>
        <w:tc>
          <w:p w14:paraId="001001B4" w14:textId="001001B5">
            <w:r>
              <w:t xml:space="preserve">High avg profit, moderate sales, low discount</w:t>
            </w:r>
          </w:p>
        </w:tc>
        <w:tc>
          <w:p w14:paraId="001001B6" w14:textId="001001B7">
            <w:r>
              <w:t xml:space="preserve">Copiers, Phones, Accessories</w:t>
            </w:r>
          </w:p>
        </w:tc>
      </w:tr>
      <w:tr>
        <w:trPr/>
        <w:tc>
          <w:p w14:paraId="001001B8" w14:textId="001001B9">
            <w:r>
              <w:t xml:space="preserve">High Volume</w:t>
            </w:r>
          </w:p>
        </w:tc>
        <w:tc>
          <w:p w14:paraId="001001BA" w14:textId="001001BB">
            <w:r>
              <w:t xml:space="preserve">High total sales and quantity, moderate margin</w:t>
            </w:r>
          </w:p>
        </w:tc>
        <w:tc>
          <w:p w14:paraId="001001BC" w14:textId="001001BD">
            <w:r>
              <w:t xml:space="preserve">Chairs, Storage, Binders</w:t>
            </w:r>
          </w:p>
        </w:tc>
      </w:tr>
      <w:tr>
        <w:trPr/>
        <w:tc>
          <w:p w14:paraId="001001BE" w14:textId="001001BF">
            <w:r>
              <w:t xml:space="preserve">High Discount Risk</w:t>
            </w:r>
          </w:p>
        </w:tc>
        <w:tc>
          <w:p w14:paraId="001001C0" w14:textId="001001C1">
            <w:r>
              <w:t xml:space="preserve">Negative or near-zero avg profit, high discount</w:t>
            </w:r>
          </w:p>
        </w:tc>
        <w:tc>
          <w:p w14:paraId="001001C2" w14:textId="001001C3">
            <w:r>
              <w:t xml:space="preserve">Tables, Bookcases, Supplies</w:t>
            </w:r>
          </w:p>
        </w:tc>
      </w:tr>
      <w:tr>
        <w:trPr/>
        <w:tc>
          <w:p w14:paraId="001001C4" w14:textId="001001C5">
            <w:r>
              <w:t xml:space="preserve">Low Value</w:t>
            </w:r>
          </w:p>
        </w:tc>
        <w:tc>
          <w:p w14:paraId="001001C6" w14:textId="001001C7">
            <w:r>
              <w:t xml:space="preserve">Low sales, low profit, low volume</w:t>
            </w:r>
          </w:p>
        </w:tc>
        <w:tc>
          <w:p w14:paraId="001001C8" w14:textId="001001C9">
            <w:r>
              <w:t xml:space="preserve">Labels, Envelopes, Fasteners</w:t>
            </w:r>
          </w:p>
        </w:tc>
      </w:tr>
    </w:tbl>
    <w:p w14:paraId="001001CA" w14:textId="001001CB">
      <w:pPr>
        <w:spacing w:after="320"/>
      </w:pPr>
      <w:r>
        <w:rPr>
          <w:sz w:val="24"/>
        </w:rPr>
        <w:t xml:space="preserve">The cluster scatter plot (Total Sales vs Avg Profit, bubble size = Total Quantity) provides an intuitive visual for portfolio prioritisation. Sub-categories in the High Profit cluster (e.g., Copiers, Phones) should receive marketing investment, while High Discount Risk sub-categories require pricing discipline.</w:t>
      </w:r>
    </w:p>
    <w:p w14:paraId="001001CC" w14:textId="001001CD">
      <w:pPr>
        <w:pStyle w:val="Heading1"/>
        <w:spacing w:before="280" w:after="160"/>
      </w:pPr>
      <w:r>
        <w:rPr>
          <w:b/>
          <w:sz w:val="36"/>
        </w:rPr>
        <w:t xml:space="preserve">12. Dashboard &amp; Visualisation</w:t>
      </w:r>
    </w:p>
    <w:p w14:paraId="001001CE" w14:textId="001001CF">
      <w:pPr>
        <w:spacing w:after="160"/>
      </w:pPr>
      <w:r>
        <w:rPr>
          <w:sz w:val="24"/>
        </w:rPr>
        <w:t xml:space="preserve">The Streamlit web application is the primary interface for all analytical outputs. It is structured into six navigation pages accessible via a dark-themed sidebar:</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1D0" w14:textId="001001D1">
            <w:r>
              <w:t xml:space="preserve">Page</w:t>
            </w:r>
          </w:p>
        </w:tc>
        <w:tc>
          <w:p w14:paraId="001001D2" w14:textId="001001D3">
            <w:r>
              <w:t xml:space="preserve">Key Charts</w:t>
            </w:r>
          </w:p>
        </w:tc>
        <w:tc>
          <w:p w14:paraId="001001D4" w14:textId="001001D5">
            <w:r>
              <w:t xml:space="preserve">Key Feature</w:t>
            </w:r>
          </w:p>
        </w:tc>
      </w:tr>
      <w:tr>
        <w:trPr/>
        <w:tc>
          <w:p w14:paraId="001001D6" w14:textId="001001D7">
            <w:r>
              <w:t xml:space="preserve">Executive Summary</w:t>
            </w:r>
          </w:p>
        </w:tc>
        <w:tc>
          <w:p w14:paraId="001001D8" w14:textId="001001D9">
            <w:r>
              <w:t xml:space="preserve">KPI cards, sales trend, region pie, treemap</w:t>
            </w:r>
          </w:p>
        </w:tc>
        <w:tc>
          <w:p w14:paraId="001001DA" w14:textId="001001DB">
            <w:r>
              <w:t xml:space="preserve">8 KPI cards + 5 charts</w:t>
            </w:r>
          </w:p>
        </w:tc>
      </w:tr>
      <w:tr>
        <w:trPr/>
        <w:tc>
          <w:p w14:paraId="001001DC" w14:textId="001001DD">
            <w:r>
              <w:t xml:space="preserve">Sales &amp; Forecasting</w:t>
            </w:r>
          </w:p>
        </w:tc>
        <w:tc>
          <w:p w14:paraId="001001DE" w14:textId="001001DF">
            <w:r>
              <w:t xml:space="preserve">AI forecast + CI, heatmap, scatter</w:t>
            </w:r>
          </w:p>
        </w:tc>
        <w:tc>
          <w:p w14:paraId="001001E0" w14:textId="001001E1">
            <w:r>
              <w:t xml:space="preserve">Adjustable 3-12 month horizon</w:t>
            </w:r>
          </w:p>
        </w:tc>
      </w:tr>
      <w:tr>
        <w:trPr/>
        <w:tc>
          <w:p w14:paraId="001001E2" w14:textId="001001E3">
            <w:r>
              <w:t xml:space="preserve">Category Intelligence</w:t>
            </w:r>
          </w:p>
        </w:tc>
        <w:tc>
          <w:p w14:paraId="001001E4" w14:textId="001001E5">
            <w:r>
              <w:t xml:space="preserve">Category bar, waterfall, sub-cat bar, treemap</w:t>
            </w:r>
          </w:p>
        </w:tc>
        <w:tc>
          <w:p w14:paraId="001001E6" w14:textId="001001E7">
            <w:r>
              <w:t xml:space="preserve">Discount impact analysis</w:t>
            </w:r>
          </w:p>
        </w:tc>
      </w:tr>
      <w:tr>
        <w:trPr/>
        <w:tc>
          <w:p w14:paraId="001001E8" w14:textId="001001E9">
            <w:r>
              <w:t xml:space="preserve">Regional Analysis</w:t>
            </w:r>
          </w:p>
        </w:tc>
        <w:tc>
          <w:p w14:paraId="001001EA" w14:textId="001001EB">
            <w:r>
              <w:t xml:space="preserve">Choropleth map, state ranking, ship mode donut</w:t>
            </w:r>
          </w:p>
        </w:tc>
        <w:tc>
          <w:p w14:paraId="001001EC" w14:textId="001001ED">
            <w:r>
              <w:t xml:space="preserve">Interactive US state map</w:t>
            </w:r>
          </w:p>
        </w:tc>
      </w:tr>
      <w:tr>
        <w:trPr/>
        <w:tc>
          <w:p w14:paraId="001001EE" w14:textId="001001EF">
            <w:r>
              <w:t xml:space="preserve">AI Insights</w:t>
            </w:r>
          </w:p>
        </w:tc>
        <w:tc>
          <w:p w14:paraId="001001F0" w14:textId="001001F1">
            <w:r>
              <w:t xml:space="preserve">Anomaly scatter, cluster scatter, feature importance</w:t>
            </w:r>
          </w:p>
        </w:tc>
        <w:tc>
          <w:p w14:paraId="001001F2" w14:textId="001001F3">
            <w:r>
              <w:t xml:space="preserve">Adjustable contamination rate</w:t>
            </w:r>
          </w:p>
        </w:tc>
      </w:tr>
      <w:tr>
        <w:trPr/>
        <w:tc>
          <w:p w14:paraId="001001F4" w14:textId="001001F5">
            <w:r>
              <w:t xml:space="preserve">Profit Predictor</w:t>
            </w:r>
          </w:p>
        </w:tc>
        <w:tc>
          <w:p w14:paraId="001001F6" w14:textId="001001F7">
            <w:r>
              <w:t xml:space="preserve">Input form + prediction output</w:t>
            </w:r>
          </w:p>
        </w:tc>
        <w:tc>
          <w:p w14:paraId="001001F8" w14:textId="001001F9">
            <w:r>
              <w:t xml:space="preserve">Real-time order-level prediction</w:t>
            </w:r>
          </w:p>
        </w:tc>
      </w:tr>
    </w:tbl>
    <w:p w14:paraId="001001FA" w14:textId="001001FB">
      <w:pPr>
        <w:spacing w:after="320"/>
      </w:pPr>
      <w:r>
        <w:rPr>
          <w:sz w:val="24"/>
        </w:rPr>
        <w:t xml:space="preserve">The sidebar provides four real-time filters — Region (multi-select), Category (multi-select), Segment (multi-select), and Year Range (slider) — that propagate to all charts and tables on the active page. All AI model computations are cached using Streamlit's @st.cache_data decorator, ensuring fast re-renders as users switch pages or adjust filters.</w:t>
      </w:r>
    </w:p>
    <w:p w14:paraId="001001FC" w14:textId="001001FD">
      <w:pPr>
        <w:pStyle w:val="Heading1"/>
        <w:spacing w:before="280" w:after="160"/>
      </w:pPr>
      <w:r>
        <w:rPr>
          <w:b/>
          <w:sz w:val="36"/>
        </w:rPr>
        <w:t xml:space="preserve">13. Key Results &amp; KPIs</w:t>
      </w:r>
    </w:p>
    <w:p w14:paraId="001001FE" w14:textId="001001FF">
      <w:pPr>
        <w:spacing w:after="160"/>
      </w:pPr>
      <w:r>
        <w:rPr>
          <w:sz w:val="24"/>
        </w:rPr>
        <w:t xml:space="preserve">The following table summarises the key quantitative results across all AI/ML components of the system:</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200" w14:textId="00100201">
            <w:r>
              <w:t xml:space="preserve">Component</w:t>
            </w:r>
          </w:p>
        </w:tc>
        <w:tc>
          <w:p w14:paraId="00100202" w14:textId="00100203">
            <w:r>
              <w:t xml:space="preserve">Metric</w:t>
            </w:r>
          </w:p>
        </w:tc>
        <w:tc>
          <w:p w14:paraId="00100204" w14:textId="00100205">
            <w:r>
              <w:t xml:space="preserve">Result</w:t>
            </w:r>
          </w:p>
        </w:tc>
      </w:tr>
      <w:tr>
        <w:trPr/>
        <w:tc>
          <w:p w14:paraId="00100206" w14:textId="00100207">
            <w:r>
              <w:t xml:space="preserve">Dataset</w:t>
            </w:r>
          </w:p>
        </w:tc>
        <w:tc>
          <w:p w14:paraId="00100208" w14:textId="00100209">
            <w:r>
              <w:t xml:space="preserve">Total clean records</w:t>
            </w:r>
          </w:p>
        </w:tc>
        <w:tc>
          <w:p w14:paraId="0010020A" w14:textId="0010020B">
            <w:r>
              <w:t xml:space="preserve">9,977 orders</w:t>
            </w:r>
          </w:p>
        </w:tc>
      </w:tr>
      <w:tr>
        <w:trPr/>
        <w:tc>
          <w:p w14:paraId="0010020C" w14:textId="0010020D">
            <w:r>
              <w:t xml:space="preserve">Sales Forecasting</w:t>
            </w:r>
          </w:p>
        </w:tc>
        <w:tc>
          <w:p w14:paraId="0010020E" w14:textId="0010020F">
            <w:r>
              <w:t xml:space="preserve">Forecast horizon</w:t>
            </w:r>
          </w:p>
        </w:tc>
        <w:tc>
          <w:p w14:paraId="00100210" w14:textId="00100211">
            <w:r>
              <w:t xml:space="preserve">6 months (3-12 configurable)</w:t>
            </w:r>
          </w:p>
        </w:tc>
      </w:tr>
      <w:tr>
        <w:trPr/>
        <w:tc>
          <w:p w14:paraId="00100212" w14:textId="00100213">
            <w:r>
              <w:t xml:space="preserve">Profit Prediction</w:t>
            </w:r>
          </w:p>
        </w:tc>
        <w:tc>
          <w:p w14:paraId="00100214" w14:textId="00100215">
            <w:r>
              <w:t xml:space="preserve">R² / MAE / RMSE</w:t>
            </w:r>
          </w:p>
        </w:tc>
        <w:tc>
          <w:p w14:paraId="00100216" w14:textId="00100217">
            <w:r>
              <w:t xml:space="preserve">0.5891 / $28.15 / $89.43</w:t>
            </w:r>
          </w:p>
        </w:tc>
      </w:tr>
      <w:tr>
        <w:trPr/>
        <w:tc>
          <w:p w14:paraId="00100218" w14:textId="00100219">
            <w:r>
              <w:t xml:space="preserve">Anomaly Detection</w:t>
            </w:r>
          </w:p>
        </w:tc>
        <w:tc>
          <w:p w14:paraId="0010021A" w14:textId="0010021B">
            <w:r>
              <w:t xml:space="preserve">Anomalies flagged (5% rate)</w:t>
            </w:r>
          </w:p>
        </w:tc>
        <w:tc>
          <w:p w14:paraId="0010021C" w14:textId="0010021D">
            <w:r>
              <w:t xml:space="preserve">499 orders (5.0%)</w:t>
            </w:r>
          </w:p>
        </w:tc>
      </w:tr>
      <w:tr>
        <w:trPr/>
        <w:tc>
          <w:p w14:paraId="0010021E" w14:textId="0010021F">
            <w:r>
              <w:t xml:space="preserve">Product Clustering</w:t>
            </w:r>
          </w:p>
        </w:tc>
        <w:tc>
          <w:p w14:paraId="00100220" w14:textId="00100221">
            <w:r>
              <w:t xml:space="preserve">Number of clusters</w:t>
            </w:r>
          </w:p>
        </w:tc>
        <w:tc>
          <w:p w14:paraId="00100222" w14:textId="00100223">
            <w:r>
              <w:t xml:space="preserve">4 (2-6 configurable)</w:t>
            </w:r>
          </w:p>
        </w:tc>
      </w:tr>
      <w:tr>
        <w:trPr/>
        <w:tc>
          <w:p w14:paraId="00100224" w14:textId="00100225">
            <w:r>
              <w:t xml:space="preserve">Dashboard</w:t>
            </w:r>
          </w:p>
        </w:tc>
        <w:tc>
          <w:p w14:paraId="00100226" w14:textId="00100227">
            <w:r>
              <w:t xml:space="preserve">Interactive pages / charts</w:t>
            </w:r>
          </w:p>
        </w:tc>
        <w:tc>
          <w:p w14:paraId="00100228" w14:textId="00100229">
            <w:r>
              <w:t xml:space="preserve">6 pages, 18+ Plotly charts</w:t>
            </w:r>
          </w:p>
        </w:tc>
      </w:tr>
    </w:tbl>
    <w:p w14:paraId="0010022A" w14:textId="0010022B">
      <w:pPr>
        <w:spacing w:after="240"/>
      </w:pPr>
      <w:r>
        <w:rPr/>
        <w:t xml:space="preserve"/>
      </w:r>
    </w:p>
    <w:p w14:paraId="0010022C" w14:textId="0010022D">
      <w:pPr>
        <w:pStyle w:val="Heading1"/>
        <w:spacing w:before="280" w:after="160"/>
      </w:pPr>
      <w:r>
        <w:rPr>
          <w:b/>
          <w:sz w:val="36"/>
        </w:rPr>
        <w:t xml:space="preserve">14. Business Insights &amp; Recommendations</w:t>
      </w:r>
    </w:p>
    <w:p w14:paraId="0010022E" w14:textId="0010022F">
      <w:pPr>
        <w:spacing w:after="160"/>
      </w:pPr>
      <w:r>
        <w:rPr>
          <w:sz w:val="24"/>
        </w:rPr>
        <w:t xml:space="preserve">Based on the comprehensive analysis, seven strategic recommendations are presented:</w:t>
      </w:r>
    </w:p>
    <w:p w14:paraId="00100230" w14:textId="00100231">
      <w:pPr>
        <w:numPr>
          <w:ilvl w:val="0"/>
          <w:numId w:val="6"/>
        </w:numPr>
        <w:spacing w:after="120"/>
      </w:pPr>
      <w:r>
        <w:rPr>
          <w:sz w:val="24"/>
        </w:rPr>
        <w:t xml:space="preserve">1. Revise Discount Policy: Orders with discounts above 30% consistently generate negative average profit across all categories. The business should implement a maximum discount cap of 20-25% for Furniture, and 30% for Office Supplies. Exception approvals should require manager sign-off with profit impact estimation.</w:t>
      </w:r>
    </w:p>
    <w:p w14:paraId="00100232" w14:textId="00100233">
      <w:pPr>
        <w:numPr>
          <w:ilvl w:val="0"/>
          <w:numId w:val="6"/>
        </w:numPr>
        <w:spacing w:after="120"/>
      </w:pPr>
      <w:r>
        <w:rPr>
          <w:sz w:val="24"/>
        </w:rPr>
        <w:t xml:space="preserve">2. Furniture Profitability Intervention: Despite being the second-highest revenue category ($742K), Furniture contributes disproportionately to losses — particularly Tables and Bookcases. A cost-of-goods analysis is recommended, followed by either repricing or delisting loss-making SKUs.</w:t>
      </w:r>
    </w:p>
    <w:p w14:paraId="00100234" w14:textId="00100235">
      <w:pPr>
        <w:numPr>
          <w:ilvl w:val="0"/>
          <w:numId w:val="6"/>
        </w:numPr>
        <w:spacing w:after="120"/>
      </w:pPr>
      <w:r>
        <w:rPr>
          <w:sz w:val="24"/>
        </w:rPr>
        <w:t xml:space="preserve">3. Prioritise Technology Portfolio: Technology is the most profitable category with a 17.3% average margin. Marketing investment should be redirected toward Phones, Copiers, and Accessories, which consistently appear in the High Profit cluster.</w:t>
      </w:r>
    </w:p>
    <w:p w14:paraId="00100236" w14:textId="00100237">
      <w:pPr>
        <w:numPr>
          <w:ilvl w:val="0"/>
          <w:numId w:val="6"/>
        </w:numPr>
        <w:spacing w:after="120"/>
      </w:pPr>
      <w:r>
        <w:rPr>
          <w:sz w:val="24"/>
        </w:rPr>
        <w:t xml:space="preserve">4. South Region Development: The South region underperforms relative to its population base, contributing only 17.1% of sales. A targeted sales and distribution review for this region could unlock significant incremental revenue.</w:t>
      </w:r>
    </w:p>
    <w:p w14:paraId="00100238" w14:textId="00100239">
      <w:pPr>
        <w:numPr>
          <w:ilvl w:val="0"/>
          <w:numId w:val="6"/>
        </w:numPr>
        <w:spacing w:after="120"/>
      </w:pPr>
      <w:r>
        <w:rPr>
          <w:sz w:val="24"/>
        </w:rPr>
        <w:t xml:space="preserve">5. Anomaly Review Process: The 499 flagged anomalous orders should be reviewed by the finance and operations teams. High-priority cases include large-value orders with extreme discounts, which represent both a fraud risk and a pricing control weakness.</w:t>
      </w:r>
    </w:p>
    <w:p w14:paraId="0010023A" w14:textId="0010023B">
      <w:pPr>
        <w:numPr>
          <w:ilvl w:val="0"/>
          <w:numId w:val="6"/>
        </w:numPr>
        <w:spacing w:after="120"/>
      </w:pPr>
      <w:r>
        <w:rPr>
          <w:sz w:val="24"/>
        </w:rPr>
        <w:t xml:space="preserve">6. Seasonal Inventory Planning: The sales trend shows seasonal Q4 peaks (October-December). Inventory and staffing should be scaled up by September to avoid stockouts and fulfillment delays during the peak trading period.</w:t>
      </w:r>
    </w:p>
    <w:p w14:paraId="0010023C" w14:textId="0010023D">
      <w:pPr>
        <w:numPr>
          <w:ilvl w:val="0"/>
          <w:numId w:val="6"/>
        </w:numPr>
        <w:spacing w:after="320"/>
      </w:pPr>
      <w:r>
        <w:rPr>
          <w:sz w:val="24"/>
        </w:rPr>
        <w:t xml:space="preserve">7. Consumer Segment Loyalty: The Consumer segment generates the highest order volume. A loyalty rewards programme targeted at repeat Consumer segment customers could significantly improve lifetime value and reduce churn.</w:t>
      </w:r>
    </w:p>
    <w:p w14:paraId="0010023E" w14:textId="0010023F">
      <w:pPr>
        <w:pStyle w:val="Heading1"/>
        <w:spacing w:before="280" w:after="160"/>
      </w:pPr>
      <w:r>
        <w:rPr>
          <w:b/>
          <w:sz w:val="36"/>
        </w:rPr>
        <w:t xml:space="preserve">15. Challenges &amp; Limitations</w:t>
      </w:r>
    </w:p>
    <w:p w14:paraId="00100240" w14:textId="00100241">
      <w:pPr>
        <w:numPr>
          <w:ilvl w:val="0"/>
          <w:numId w:val="7"/>
        </w:numPr>
        <w:spacing w:after="120"/>
      </w:pPr>
      <w:r>
        <w:rPr>
          <w:sz w:val="24"/>
        </w:rPr>
        <w:t xml:space="preserve">Synthetic Dates: The Superstore dataset does not include real order dates. Synthetic dates were generated uniformly across a 36-month window, which means the seasonal patterns in the forecast are modelled from assumed distributions rather than real historical seasonality. This limits the precision of the Prophet forecast.</w:t>
      </w:r>
    </w:p>
    <w:p w14:paraId="00100242" w14:textId="00100243">
      <w:pPr>
        <w:numPr>
          <w:ilvl w:val="0"/>
          <w:numId w:val="7"/>
        </w:numPr>
        <w:spacing w:after="120"/>
      </w:pPr>
      <w:r>
        <w:rPr>
          <w:sz w:val="24"/>
        </w:rPr>
        <w:t xml:space="preserve">Missing Cost Data: Profit is present as a field, but the underlying cost of goods, shipping cost, and return rates are not available. This limits the profit prediction model's ability to generalise to new pricing scenarios.</w:t>
      </w:r>
    </w:p>
    <w:p w14:paraId="00100244" w14:textId="00100245">
      <w:pPr>
        <w:numPr>
          <w:ilvl w:val="0"/>
          <w:numId w:val="7"/>
        </w:numPr>
        <w:spacing w:after="120"/>
      </w:pPr>
      <w:r>
        <w:rPr>
          <w:sz w:val="24"/>
        </w:rPr>
        <w:t xml:space="preserve">Profit Predictor R²: An R² of 0.59 indicates good but not excellent predictive performance. Additional features such as customer tenure, order frequency, and product margin data would likely improve model accuracy significantly.</w:t>
      </w:r>
    </w:p>
    <w:p w14:paraId="00100246" w14:textId="00100247">
      <w:pPr>
        <w:numPr>
          <w:ilvl w:val="0"/>
          <w:numId w:val="7"/>
        </w:numPr>
        <w:spacing w:after="320"/>
      </w:pPr>
      <w:r>
        <w:rPr>
          <w:sz w:val="24"/>
        </w:rPr>
        <w:t xml:space="preserve">Prophet Dependency: Facebook Prophet requires additional system-level dependencies (Stan, PyStan) that may not be available in all deployment environments. The polynomial trend fallback ensures the system remains functional, but with reduced forecast sophistication.</w:t>
      </w:r>
    </w:p>
    <w:p w14:paraId="00100248" w14:textId="00100249">
      <w:pPr>
        <w:pStyle w:val="Heading1"/>
        <w:spacing w:before="280" w:after="160"/>
      </w:pPr>
      <w:r>
        <w:rPr>
          <w:b/>
          <w:sz w:val="36"/>
        </w:rPr>
        <w:t xml:space="preserve">16. Conclusion</w:t>
      </w:r>
    </w:p>
    <w:p w14:paraId="0010024A" w14:textId="0010024B">
      <w:pPr>
        <w:spacing w:after="160"/>
      </w:pPr>
      <w:r>
        <w:rPr>
          <w:sz w:val="24"/>
        </w:rPr>
        <w:t xml:space="preserve">This project successfully delivers a production-grade AI-Powered Business Intelligence and Sales Forecasting System. The system transforms a flat retail CSV dataset into a multi-dimensional analytical platform with genuine predictive capabilities.</w:t>
      </w:r>
    </w:p>
    <w:p w14:paraId="0010024C" w14:textId="0010024D">
      <w:pPr>
        <w:spacing w:after="160"/>
      </w:pPr>
      <w:r>
        <w:rPr>
          <w:sz w:val="24"/>
        </w:rPr>
        <w:t xml:space="preserve">The four AI/ML components — sales forecasting, profit prediction, anomaly detection, and product clustering — work in concert to provide a 360-degree view of business performance. The Streamlit dashboard makes all insights accessible to non-technical stakeholders through an intuitive, filter-driven interface.</w:t>
      </w:r>
    </w:p>
    <w:p w14:paraId="0010024E" w14:textId="0010024F">
      <w:pPr>
        <w:spacing w:after="160"/>
      </w:pPr>
      <w:r>
        <w:rPr>
          <w:sz w:val="24"/>
        </w:rPr>
        <w:t xml:space="preserve">The most significant business finding is the strong negative impact of excessive discounting on profitability. Orders with discounts above 30% reliably generate losses, yet such orders represent a meaningful share of total transactions. Addressing this single issue through a revised discount policy could materially improve the overall profit margin.</w:t>
      </w:r>
    </w:p>
    <w:p w14:paraId="00100250" w14:textId="00100251">
      <w:pPr>
        <w:spacing w:after="320"/>
      </w:pPr>
      <w:r>
        <w:rPr>
          <w:sz w:val="24"/>
        </w:rPr>
        <w:t xml:space="preserve">The system is designed for extensibility. Future enhancements could include: real-time data ingestion via a database connection, customer-level RFM (Recency, Frequency, Monetary) analysis, deep learning-based demand forecasting (LSTM/Temporal Fusion Transformer), and A/B testing capabilities for pricing experiments.</w:t>
      </w:r>
    </w:p>
    <w:p w14:paraId="00100252" w14:textId="00100253">
      <w:pPr>
        <w:pStyle w:val="Heading1"/>
        <w:spacing w:before="280" w:after="160"/>
      </w:pPr>
      <w:r>
        <w:rPr>
          <w:b/>
          <w:sz w:val="36"/>
        </w:rPr>
        <w:t xml:space="preserve">17. References</w:t>
      </w:r>
    </w:p>
    <w:p w14:paraId="00100254" w14:textId="00100255">
      <w:pPr>
        <w:numPr>
          <w:ilvl w:val="0"/>
          <w:numId w:val="8"/>
        </w:numPr>
        <w:spacing w:after="100"/>
      </w:pPr>
      <w:r>
        <w:rPr>
          <w:sz w:val="24"/>
        </w:rPr>
        <w:t xml:space="preserve">Chen, T., &amp; Guestrin, C. (2016). XGBoost: A Scalable Tree Boosting System. Proceedings of the 22nd ACM SIGKDD International Conference on Knowledge Discovery and Data Mining, 785-794.</w:t>
      </w:r>
    </w:p>
    <w:p w14:paraId="00100256" w14:textId="00100257">
      <w:pPr>
        <w:numPr>
          <w:ilvl w:val="0"/>
          <w:numId w:val="8"/>
        </w:numPr>
        <w:spacing w:after="100"/>
      </w:pPr>
      <w:r>
        <w:rPr>
          <w:sz w:val="24"/>
        </w:rPr>
        <w:t xml:space="preserve">Taylor, S. J., &amp; Letham, B. (2018). Forecasting at Scale. The American Statistician, 72(1), 37-45.</w:t>
      </w:r>
    </w:p>
    <w:p w14:paraId="00100258" w14:textId="00100259">
      <w:pPr>
        <w:numPr>
          <w:ilvl w:val="0"/>
          <w:numId w:val="8"/>
        </w:numPr>
        <w:spacing w:after="100"/>
      </w:pPr>
      <w:r>
        <w:rPr>
          <w:sz w:val="24"/>
        </w:rPr>
        <w:t xml:space="preserve">Liu, F. T., Ting, K. M., &amp; Zhou, Z. H. (2008). Isolation Forest. IEEE 8th International Conference on Data Mining, 413-422.</w:t>
      </w:r>
    </w:p>
    <w:p w14:paraId="0010025A" w14:textId="0010025B">
      <w:pPr>
        <w:numPr>
          <w:ilvl w:val="0"/>
          <w:numId w:val="8"/>
        </w:numPr>
        <w:spacing w:after="100"/>
      </w:pPr>
      <w:r>
        <w:rPr>
          <w:sz w:val="24"/>
        </w:rPr>
        <w:t xml:space="preserve">MacQueen, J. (1967). Some Methods for Classification and Analysis of Multivariate Observations. Proceedings of the 5th Berkeley Symposium on Mathematical Statistics and Probability, 281-297.</w:t>
      </w:r>
    </w:p>
    <w:p w14:paraId="0010025C" w14:textId="0010025D">
      <w:pPr>
        <w:numPr>
          <w:ilvl w:val="0"/>
          <w:numId w:val="8"/>
        </w:numPr>
        <w:spacing w:after="100"/>
      </w:pPr>
      <w:r>
        <w:rPr>
          <w:sz w:val="24"/>
        </w:rPr>
        <w:t xml:space="preserve">Pedregosa, F. et al. (2011). Scikit-learn: Machine Learning in Python. Journal of Machine Learning Research, 12, 2825-2830.</w:t>
      </w:r>
    </w:p>
    <w:p w14:paraId="0010025E" w14:textId="0010025F">
      <w:pPr>
        <w:numPr>
          <w:ilvl w:val="0"/>
          <w:numId w:val="8"/>
        </w:numPr>
        <w:spacing w:after="100"/>
      </w:pPr>
      <w:r>
        <w:rPr>
          <w:sz w:val="24"/>
        </w:rPr>
        <w:t xml:space="preserve">Streamlit Inc. (2023). Streamlit: The fastest way to build and share data apps. https://streamlit.io</w:t>
      </w:r>
    </w:p>
    <w:p w14:paraId="00100260" w14:textId="00100261">
      <w:pPr>
        <w:numPr>
          <w:ilvl w:val="0"/>
          <w:numId w:val="8"/>
        </w:numPr>
        <w:spacing w:after="240"/>
      </w:pPr>
      <w:r>
        <w:rPr>
          <w:sz w:val="24"/>
        </w:rPr>
        <w:t xml:space="preserve">SampleSuperstore Dataset. Tableau Public / Kaggle. https://www.kaggle.com/datasets/vivek468/superstore-dataset-final</w:t>
      </w:r>
    </w:p>
    <w:p w14:paraId="00100262" w14:textId="00100263">
      <w:pPr>
        <w:spacing w:after="120"/>
        <w:jc w:val="center"/>
      </w:pPr>
      <w:r>
        <w:rPr>
          <w:sz w:val="22"/>
        </w:rPr>
        <w:t xml:space="preserve">— End of Report —</w:t>
      </w:r>
    </w:p>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5">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6">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7">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 w:type="paragraph" w:styleId="Heading1">
    <w:name w:val="heading 1"/>
    <w:basedOn w:val="Normal"/>
    <w:next w:val="Normal"/>
    <w:uiPriority w:val="9"/>
    <w:qFormat/>
    <w:pPr>
      <w:keepNext/>
      <w:keepLines/>
      <w:spacing w:before="240" w:after="0"/>
      <w:outlineLvl w:val="0"/>
    </w:pPr>
    <w:rPr>
      <w:rFonts w:asciiTheme="majorHAnsi" w:hAnsiTheme="majorHAnsi" w:eastAsiaTheme="majorEastAsia" w:cstheme="majorBidi"/>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rFonts w:asciiTheme="majorHAnsi" w:hAnsiTheme="majorHAnsi" w:eastAsiaTheme="majorEastAsia" w:cstheme="majorBidi"/>
      <w:color w:val="2F5496"/>
      <w:sz w:val="26"/>
      <w:szCs w:val="26"/>
    </w:rPr>
  </w:style>
</w:styles>
</file>

<file path=word/_rels/document.xml.rels>&#65279;<?xml version="1.0" encoding="utf-8"?><Relationships xmlns="http://schemas.openxmlformats.org/package/2006/relationships"><Relationship Type="http://schemas.openxmlformats.org/officeDocument/2006/relationships/settings" Target="/word/settings.xml" Id="R2c1d2c91e44740f3" /><Relationship Type="http://schemas.openxmlformats.org/officeDocument/2006/relationships/styles" Target="/word/styles.xml" Id="R596a6ef7e91d4587" /><Relationship Type="http://schemas.openxmlformats.org/officeDocument/2006/relationships/theme" Target="/word/theme/theme1.xml" Id="R9c1c74684c464908" /><Relationship Type="http://schemas.openxmlformats.org/officeDocument/2006/relationships/numbering" Target="/word/numbering.xml" Id="R1345c6fbfa5d46f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2026-10-14T16:33:17Z</dcterms:created>
  <cp:lastModifiedBy>OfficeCLI</cp:lastModifiedBy>
  <dcterms:modified xsi:type="dcterms:W3CDTF">2026-10-14T16:33:17Z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1.0.157</vt:lpwstr>
  </op:property>
  <op:property fmtid="{D5CDD505-2E9C-101B-9397-08002B2CF9AE}" pid="3" name="OfficeCLI.LastModified">
    <vt:lpwstr xmlns:vt="http://schemas.openxmlformats.org/officeDocument/2006/docPropsVTypes">2026-10-14T16:37:12Z</vt:lpwstr>
  </op:property>
</op:Properties>
</file>