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drawing>
          <wp:inline distT="0" distB="0" distL="0" distR="0">
            <wp:extent cx="59055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Arial" w:cs="Arial" w:eastAsia="Arial" w:hAnsi="Arial"/>
          <w:b/>
          <w:bCs/>
          <w:color w:val="DB2777"/>
          <w:spacing w:val="40"/>
          <w:sz w:val="18"/>
          <w:szCs w:val="18"/>
        </w:rPr>
        <w:t xml:space="preserve">INDUSTRY USE-CASE BRIEF</w:t>
      </w:r>
    </w:p>
    <w:p>
      <w:pPr>
        <w:pStyle w:val="Title"/>
        <w:spacing w:after="120"/>
      </w:pPr>
      <w:r>
        <w:rPr>
          <w:rFonts w:ascii="Arial" w:cs="Arial" w:eastAsia="Arial" w:hAnsi="Arial"/>
        </w:rPr>
        <w:t xml:space="preserve">Axion Regulus for Cosmetics</w:t>
      </w:r>
    </w:p>
    <w:p>
      <w:pPr>
        <w:spacing w:after="200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How Regulus turns your sector's regulations into structured checks — and what that looks like on real content.</w:t>
      </w:r>
    </w:p>
    <w:p>
      <w:pPr>
        <w:pBdr>
          <w:left w:val="single" w:color="D97706" w:sz="18" w:space="6"/>
        </w:pBdr>
        <w:shd w:fill="FEF3C7" w:color="auto" w:val="clear"/>
        <w:spacing w:after="200"/>
        <w:ind w:left="120" w:right="120"/>
      </w:pPr>
      <w:r>
        <w:rPr>
          <w:rFonts w:ascii="Arial" w:cs="Arial" w:eastAsia="Arial" w:hAnsi="Arial"/>
          <w:b/>
          <w:bCs/>
          <w:color w:val="92400E"/>
          <w:sz w:val="18"/>
          <w:szCs w:val="18"/>
        </w:rPr>
        <w:t xml:space="preserve">Illustrative example. </w:t>
      </w:r>
      <w:r>
        <w:rPr>
          <w:rFonts w:ascii="Arial" w:cs="Arial" w:eastAsia="Arial" w:hAnsi="Arial"/>
          <w:color w:val="92400E"/>
          <w:sz w:val="18"/>
          <w:szCs w:val="18"/>
        </w:rPr>
        <w:t xml:space="preserve">The frameworks, content and findings below show how the platform can be configured. They are not legal advice, and results depend on the documents configured in your workspace.</w:t>
      </w:r>
    </w:p>
    <w:p>
      <w:pPr>
        <w:pStyle w:val="Heading1"/>
        <w:pBdr>
          <w:bottom w:val="single" w:color="DB2777" w:sz="6" w:space="4"/>
        </w:pBdr>
        <w:spacing w:after="140" w:before="320"/>
      </w:pPr>
      <w:r>
        <w:rPr>
          <w:rFonts w:ascii="Arial" w:cs="Arial" w:eastAsia="Arial" w:hAnsi="Arial"/>
        </w:rPr>
        <w:t xml:space="preserve">1. The challenge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Cosmetic brands publish claims across packaging, product pages, marketplaces, influencer content and social media — often in several markets at once. Every claim has to stay inside the line between a cosmetic effect and a medicinal one, and has to be backed by evidence the company can produce on request.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Review is usually manual: regulatory affairs reads each draft against the regulation, the claims criteria and internal guidelines. As content volume grows, review becomes the bottleneck and consistency between reviewers drops.</w:t>
      </w:r>
    </w:p>
    <w:p>
      <w:pPr>
        <w:pStyle w:val="Heading1"/>
        <w:pBdr>
          <w:bottom w:val="single" w:color="DB2777" w:sz="6" w:space="4"/>
        </w:pBdr>
        <w:spacing w:after="140" w:before="320"/>
      </w:pPr>
      <w:r>
        <w:rPr>
          <w:rFonts w:ascii="Arial" w:cs="Arial" w:eastAsia="Arial" w:hAnsi="Arial"/>
        </w:rPr>
        <w:t xml:space="preserve">2. Who uses it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Regulatory affairs and product compliance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Brand and digital marketing teams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Agencies and influencer managers who prepare content for approval</w:t>
      </w:r>
    </w:p>
    <w:p>
      <w:pPr>
        <w:pStyle w:val="Heading1"/>
        <w:pBdr>
          <w:bottom w:val="single" w:color="DB2777" w:sz="6" w:space="4"/>
        </w:pBdr>
        <w:spacing w:after="140" w:before="320"/>
      </w:pPr>
      <w:r>
        <w:rPr>
          <w:rFonts w:ascii="Arial" w:cs="Arial" w:eastAsia="Arial" w:hAnsi="Arial"/>
        </w:rPr>
        <w:t xml:space="preserve">3. Example frameworks you can configure</w:t>
      </w:r>
    </w:p>
    <w:p>
      <w:pPr>
        <w:spacing w:after="120" w:line="276"/>
      </w:pPr>
      <w:r>
        <w:rPr>
          <w:rFonts w:ascii="Arial" w:cs="Arial" w:eastAsia="Arial" w:hAnsi="Arial"/>
          <w:color w:val="0F172A"/>
        </w:rPr>
        <w:t xml:space="preserve">Regulus evaluates content against the regulatory documents and internal policies you configure in your workspace. Typical sources for this sector include: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CE7F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Framework</w:t>
            </w:r>
          </w:p>
        </w:tc>
        <w:tc>
          <w:tcPr>
            <w:tcW w:type="dxa" w:w="5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CE7F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What Regulus structures from it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EU Cosmetics Regulation (EC) No 1223/2009</w:t>
            </w:r>
          </w:p>
        </w:tc>
        <w:tc>
          <w:tcPr>
            <w:tcW w:type="dxa" w:w="5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Rules on product claims (Art. 20), labelling particulars and the boundary with medicinal products.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Common criteria for cosmetic claims — Regulation (EU) No 655/2013</w:t>
            </w:r>
          </w:p>
        </w:tc>
        <w:tc>
          <w:tcPr>
            <w:tcW w:type="dxa" w:w="5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Six criteria: legal compliance, truthfulness, evidential support, honesty, fairness and informed decision-making.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GCC / UAE cosmetic product standards</w:t>
            </w:r>
          </w:p>
        </w:tc>
        <w:tc>
          <w:tcPr>
            <w:tcW w:type="dxa" w:w="5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Market-specific labelling and safety requirements for products sold in the region.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Your internal claims-substantiation policy and brand guidelines</w:t>
            </w:r>
          </w:p>
        </w:tc>
        <w:tc>
          <w:tcPr>
            <w:tcW w:type="dxa" w:w="5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Approved wording, banned terms and the evidence required for each claim type.</w:t>
            </w:r>
          </w:p>
        </w:tc>
      </w:tr>
    </w:tbl>
    <w:p>
      <w:pPr>
        <w:pStyle w:val="Heading1"/>
        <w:pBdr>
          <w:bottom w:val="single" w:color="DB2777" w:sz="6" w:space="4"/>
        </w:pBdr>
        <w:spacing w:after="140" w:before="320"/>
      </w:pPr>
      <w:r>
        <w:rPr>
          <w:rFonts w:ascii="Arial" w:cs="Arial" w:eastAsia="Arial" w:hAnsi="Arial"/>
        </w:rPr>
        <w:t xml:space="preserve">4. Example workflow</w:t>
      </w:r>
    </w:p>
    <w:p>
      <w:pPr>
        <w:pStyle w:val="ListParagraph"/>
        <w:keepNext/>
        <w:keepLines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</w:rPr>
        <w:t xml:space="preserve">Upload the regulation, the claims criteria and your internal claims guide.</w:t>
      </w:r>
    </w:p>
    <w:p>
      <w:pPr>
        <w:pStyle w:val="ListParagraph"/>
        <w:keepNext/>
        <w:keepLines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</w:rPr>
        <w:t xml:space="preserve">Regulus structures them into rules — for example: no medicinal claims, claims must be supported by evidence, wording must not mislead, "free from" claims must not denigrate permitted ingredients.</w:t>
      </w:r>
    </w:p>
    <w:p>
      <w:pPr>
        <w:pStyle w:val="ListParagraph"/>
        <w:keepNext/>
        <w:keepLines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</w:rPr>
        <w:t xml:space="preserve">Submit product pages, packaging copy, influencer briefs or social posts for checking.</w:t>
      </w:r>
    </w:p>
    <w:p>
      <w:pPr>
        <w:pStyle w:val="ListParagraph"/>
        <w:keepNext w:val="false"/>
        <w:keepLines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</w:rPr>
        <w:t xml:space="preserve">Each flagged claim links to its rule and evidence. Your reviewer approves, modifies or rejects it, and the decision is recorded.</w:t>
      </w:r>
    </w:p>
    <w:p>
      <w:pPr>
        <w:pStyle w:val="Heading1"/>
        <w:pBdr>
          <w:bottom w:val="single" w:color="DB2777" w:sz="6" w:space="4"/>
        </w:pBdr>
        <w:spacing w:after="140" w:before="320"/>
      </w:pPr>
      <w:r>
        <w:rPr>
          <w:rFonts w:ascii="Arial" w:cs="Arial" w:eastAsia="Arial" w:hAnsi="Arial"/>
        </w:rPr>
        <w:t xml:space="preserve">5. Worked example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One piece of submitted content, from AI analysis to human decision: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Submitted content</w:t>
            </w:r>
          </w:p>
        </w:tc>
        <w:tc>
          <w:tcPr>
            <w:tcW w:type="dxa" w:w="6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"Clinically proven to cure acne and repair damaged skin in 7 days."</w:t>
            </w:r>
          </w:p>
        </w:tc>
      </w:tr>
      <w:t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Risk level</w:t>
            </w:r>
          </w:p>
        </w:tc>
        <w:tc>
          <w:tcPr>
            <w:tcW w:type="dxa" w:w="6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B91C1C"/>
                <w:sz w:val="19"/>
                <w:szCs w:val="19"/>
              </w:rPr>
              <w:t xml:space="preserve">High — potential regulatory risk</w:t>
            </w:r>
          </w:p>
        </w:tc>
      </w:tr>
      <w:t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Applicable requirement</w:t>
            </w:r>
          </w:p>
        </w:tc>
        <w:tc>
          <w:tcPr>
            <w:tcW w:type="dxa" w:w="6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Cosmetic claims must not imply properties the product does not have, such as a medicinal effect, and must be supported by adequate evidence (Art. 20, Reg. 1223/2009; Reg. 655/2013).</w:t>
            </w:r>
          </w:p>
        </w:tc>
      </w:tr>
      <w:t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Why it was flagged</w:t>
            </w:r>
          </w:p>
        </w:tc>
        <w:tc>
          <w:tcPr>
            <w:tcW w:type="dxa" w:w="6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"Cure acne" implies a therapeutic effect, and no study supporting "clinically proven" or the 7-day result is on file.</w:t>
            </w:r>
          </w:p>
        </w:tc>
      </w:tr>
      <w:t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Recommendation</w:t>
            </w:r>
          </w:p>
        </w:tc>
        <w:tc>
          <w:tcPr>
            <w:tcW w:type="dxa" w:w="6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Reword to a cosmetic effect, e.g. "helps reduce the appearance of blemishes", and attach the supporting study before publishing.</w:t>
            </w:r>
          </w:p>
        </w:tc>
      </w:tr>
      <w:t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Human decision</w:t>
            </w:r>
          </w:p>
        </w:tc>
        <w:tc>
          <w:tcPr>
            <w:tcW w:type="dxa" w:w="6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Approve · Modify · Reject · Request review — chosen by the authorised reviewer and recorded</w:t>
            </w:r>
          </w:p>
        </w:tc>
      </w:tr>
    </w:tbl>
    <w:p>
      <w:pPr>
        <w:pStyle w:val="Heading1"/>
        <w:pBdr>
          <w:bottom w:val="single" w:color="DB2777" w:sz="6" w:space="4"/>
        </w:pBdr>
        <w:spacing w:after="140" w:before="320"/>
      </w:pPr>
      <w:r>
        <w:rPr>
          <w:rFonts w:ascii="Arial" w:cs="Arial" w:eastAsia="Arial" w:hAnsi="Arial"/>
        </w:rPr>
        <w:t xml:space="preserve">6. More checks in this sector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00"/>
        <w:gridCol w:w="2726"/>
      </w:tblGrid>
      <w:tr>
        <w:trPr>
          <w:tblHeader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CE7F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Content submitted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CE7F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What Regulus flags</w:t>
            </w:r>
          </w:p>
        </w:tc>
        <w:tc>
          <w:tcPr>
            <w:tcW w:type="dxa" w:w="2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CE7F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Suggested action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"Free from parabens, the toxic preservatives."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"Free from" claim denigrates an ingredient that is legally permitted.</w:t>
            </w:r>
          </w:p>
        </w:tc>
        <w:tc>
          <w:tcPr>
            <w:tcW w:type="dxa" w:w="2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Keep the factual "paraben-free" statement; remove the negative wording.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"Hypoallergenic — safe for every skin type."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Absolute claim; "hypoallergenic" needs evidence the product was designed and tested to minimise allergenic potential.</w:t>
            </w:r>
          </w:p>
        </w:tc>
        <w:tc>
          <w:tcPr>
            <w:tcW w:type="dxa" w:w="2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Attach the evidence or qualify, e.g. "formulated for sensitive skin".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"Dermatologist approved."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record on file of a dermatologist assessment supporting the claim.</w:t>
            </w:r>
          </w:p>
        </w:tc>
        <w:tc>
          <w:tcPr>
            <w:tcW w:type="dxa" w:w="2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Link the assessment to the claim record or remove the claim.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"Erases 99% of wrinkles overnight."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Exaggerated result that goes beyond what the evidence shows.</w:t>
            </w:r>
          </w:p>
        </w:tc>
        <w:tc>
          <w:tcPr>
            <w:tcW w:type="dxa" w:w="2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State the measured result, e.g. "visibly reduces the appearance of fine lines in 4 weeks", with the study referenced.</w:t>
            </w:r>
          </w:p>
        </w:tc>
      </w:tr>
    </w:tbl>
    <w:p>
      <w:pPr>
        <w:pStyle w:val="Heading1"/>
        <w:pBdr>
          <w:bottom w:val="single" w:color="DB2777" w:sz="6" w:space="4"/>
        </w:pBdr>
        <w:spacing w:after="140" w:before="320"/>
      </w:pPr>
      <w:r>
        <w:rPr>
          <w:rFonts w:ascii="Arial" w:cs="Arial" w:eastAsia="Arial" w:hAnsi="Arial"/>
        </w:rPr>
        <w:t xml:space="preserve">7. What your team gets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Regulations and internal policies turned into a structured, reusable rule set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The same rules applied to every reviewer and every channel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Each finding linked to the rule and evidence behind it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Suggested fixes your team can accept, edit or reject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A recorded decision trail for audits and regulators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Final decisions always made by authorised people — AI assists, humans decide</w:t>
      </w:r>
    </w:p>
    <w:p>
      <w:pPr>
        <w:pStyle w:val="Heading1"/>
        <w:pBdr>
          <w:bottom w:val="single" w:color="DB2777" w:sz="6" w:space="4"/>
        </w:pBdr>
        <w:spacing w:after="140" w:before="320"/>
      </w:pPr>
      <w:r>
        <w:rPr>
          <w:rFonts w:ascii="Arial" w:cs="Arial" w:eastAsia="Arial" w:hAnsi="Arial"/>
        </w:rPr>
        <w:t xml:space="preserve">8. Next step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Bring a regulation, an internal policy and a few real examples of your cosmetics content. We will show you, live, how Regulus turns the requirements into structured checks and flags potential risks.</w:t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Request a demo: </w:t>
      </w:r>
      <w:r>
        <w:rPr>
          <w:rFonts w:ascii="Arial" w:cs="Arial" w:eastAsia="Arial" w:hAnsi="Arial"/>
        </w:rPr>
        <w:t xml:space="preserve">info@axionast.com</w:t>
      </w:r>
      <w:r>
        <w:rPr>
          <w:rFonts w:ascii="Arial" w:cs="Arial" w:eastAsia="Arial" w:hAnsi="Arial"/>
        </w:rPr>
        <w:t xml:space="preserve">   ·   </w:t>
      </w:r>
      <w:r>
        <w:rPr>
          <w:rFonts w:ascii="Arial" w:cs="Arial" w:eastAsia="Arial" w:hAnsi="Arial"/>
        </w:rPr>
        <w:t xml:space="preserve">axionast.com</w:t>
      </w:r>
    </w:p>
    <w:p>
      <w:pPr>
        <w:pBdr>
          <w:top w:val="single" w:color="CBD5E1" w:sz="4" w:space="6"/>
        </w:pBdr>
        <w:spacing w:before="280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Axion Regulus provides AI-assisted compliance analysis and does not replace professional legal, regulatory or compliance advice. Final decisions remain with authorised reviewers in your organisation.</w:t>
      </w:r>
    </w:p>
    <w:sectPr>
      <w:headerReference w:type="default" r:id="rId7"/>
      <w:footerReference w:type="default" r:id="rId8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6"/>
        <w:szCs w:val="16"/>
      </w:rPr>
      <w:t xml:space="preserve">Axion Consultancy Services  ·  info@axionast.com  ·  Page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4748B"/>
        <w:sz w:val="16"/>
        <w:szCs w:val="16"/>
      </w:rPr>
      <w:t xml:space="preserve">Axion Regulus  |  Industry Use-Case Brief  |  Cosmetics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DB2777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rPr>
      <w:rFonts w:ascii="Arial" w:cs="Arial" w:eastAsia="Arial" w:hAnsi="Arial"/>
      <w:b/>
      <w:bCs/>
      <w:color w:val="0F172A"/>
      <w:sz w:val="48"/>
      <w:szCs w:val="48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cs="Arial" w:eastAsia="Arial" w:hAnsi="Arial"/>
      <w:b/>
      <w:bCs/>
      <w:color w:val="0F172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c7b35747e01f9309e845de2a4ef807c70981ed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Axion Regulus — Industry Use-Case Brief: Cosmetics</dc:title>
  <dc:creator>Axion Consultancy Services</dc:creator>
  <cp:lastModifiedBy>Un-named</cp:lastModifiedBy>
  <cp:revision>1</cp:revision>
  <dcterms:created xsi:type="dcterms:W3CDTF">2026-10-11T12:15:39.138Z</dcterms:created>
  <dcterms:modified xsi:type="dcterms:W3CDTF">2026-10-11T12:15:39.138Z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