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5905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 cy="476250"/>
                    </a:xfrm>
                    <a:prstGeom prst="rect">
                      <a:avLst/>
                    </a:prstGeom>
                  </pic:spPr>
                </pic:pic>
              </a:graphicData>
            </a:graphic>
          </wp:inline>
        </w:drawing>
      </w:r>
    </w:p>
    <w:p>
      <w:pPr>
        <w:spacing w:after="60"/>
      </w:pPr>
      <w:r>
        <w:rPr>
          <w:rFonts w:ascii="Arial" w:cs="Arial" w:eastAsia="Arial" w:hAnsi="Arial"/>
          <w:b/>
          <w:bCs/>
          <w:color w:val="2563EB"/>
          <w:spacing w:val="40"/>
          <w:sz w:val="18"/>
          <w:szCs w:val="18"/>
        </w:rPr>
        <w:t xml:space="preserve">INDUSTRY USE-CASE BRIEF</w:t>
      </w:r>
    </w:p>
    <w:p>
      <w:pPr>
        <w:pStyle w:val="Title"/>
        <w:spacing w:after="120"/>
      </w:pPr>
      <w:r>
        <w:rPr>
          <w:rFonts w:ascii="Arial" w:cs="Arial" w:eastAsia="Arial" w:hAnsi="Arial"/>
        </w:rPr>
        <w:t xml:space="preserve">Axion Regulus for Financial Services</w:t>
      </w:r>
    </w:p>
    <w:p>
      <w:pPr>
        <w:spacing w:after="200"/>
      </w:pPr>
      <w:r>
        <w:rPr>
          <w:rFonts w:ascii="Arial" w:cs="Arial" w:eastAsia="Arial" w:hAnsi="Arial"/>
          <w:color w:val="64748B"/>
          <w:sz w:val="24"/>
          <w:szCs w:val="24"/>
        </w:rPr>
        <w:t xml:space="preserve">How Regulus turns your sector's regulations into structured checks — and what that looks like on real content.</w:t>
      </w:r>
    </w:p>
    <w:p>
      <w:pPr>
        <w:pBdr>
          <w:left w:val="single" w:color="D97706" w:sz="18" w:space="6"/>
        </w:pBdr>
        <w:shd w:fill="FEF3C7" w:color="auto" w:val="clear"/>
        <w:spacing w:after="200"/>
        <w:ind w:left="120" w:right="120"/>
      </w:pPr>
      <w:r>
        <w:rPr>
          <w:rFonts w:ascii="Arial" w:cs="Arial" w:eastAsia="Arial" w:hAnsi="Arial"/>
          <w:b/>
          <w:bCs/>
          <w:color w:val="92400E"/>
          <w:sz w:val="18"/>
          <w:szCs w:val="18"/>
        </w:rPr>
        <w:t xml:space="preserve">Illustrative example. </w:t>
      </w:r>
      <w:r>
        <w:rPr>
          <w:rFonts w:ascii="Arial" w:cs="Arial" w:eastAsia="Arial" w:hAnsi="Arial"/>
          <w:color w:val="92400E"/>
          <w:sz w:val="18"/>
          <w:szCs w:val="18"/>
        </w:rPr>
        <w:t xml:space="preserve">The frameworks, content and findings below show how the platform can be configured. They are not legal advice, and results depend on the documents configured in your workspace.</w:t>
      </w:r>
    </w:p>
    <w:p>
      <w:pPr>
        <w:pStyle w:val="Heading1"/>
        <w:pBdr>
          <w:bottom w:val="single" w:color="2563EB" w:sz="6" w:space="4"/>
        </w:pBdr>
        <w:spacing w:after="140" w:before="320"/>
      </w:pPr>
      <w:r>
        <w:rPr>
          <w:rFonts w:ascii="Arial" w:cs="Arial" w:eastAsia="Arial" w:hAnsi="Arial"/>
        </w:rPr>
        <w:t xml:space="preserve">1. The challenge</w:t>
      </w:r>
    </w:p>
    <w:p>
      <w:pPr>
        <w:spacing w:after="120" w:line="276"/>
      </w:pPr>
      <w:r>
        <w:rPr>
          <w:rFonts w:ascii="Arial" w:cs="Arial" w:eastAsia="Arial" w:hAnsi="Arial"/>
        </w:rPr>
        <w:t xml:space="preserve">Banks, fintechs and investment firms must make sure every promotion is fair, clear and not misleading, with risks shown as prominently as benefits. Content now ships daily across apps, social media and partner channels.</w:t>
      </w:r>
    </w:p>
    <w:p>
      <w:pPr>
        <w:spacing w:after="120" w:line="276"/>
      </w:pPr>
      <w:r>
        <w:rPr>
          <w:rFonts w:ascii="Arial" w:cs="Arial" w:eastAsia="Arial" w:hAnsi="Arial"/>
        </w:rPr>
        <w:t xml:space="preserve">Compliance teams sign off on each item, often against several regimes at once, and must be able to show regulators how each decision was made.</w:t>
      </w:r>
    </w:p>
    <w:p>
      <w:pPr>
        <w:pStyle w:val="Heading1"/>
        <w:pBdr>
          <w:bottom w:val="single" w:color="2563EB" w:sz="6" w:space="4"/>
        </w:pBdr>
        <w:spacing w:after="140" w:before="320"/>
      </w:pPr>
      <w:r>
        <w:rPr>
          <w:rFonts w:ascii="Arial" w:cs="Arial" w:eastAsia="Arial" w:hAnsi="Arial"/>
        </w:rPr>
        <w:t xml:space="preserve">2. Who uses it</w:t>
      </w:r>
    </w:p>
    <w:p>
      <w:pPr>
        <w:pStyle w:val="ListParagraph"/>
        <w:numPr>
          <w:ilvl w:val="0"/>
          <w:numId w:val="2"/>
        </w:numPr>
        <w:spacing w:after="80" w:line="276"/>
      </w:pPr>
      <w:r>
        <w:rPr>
          <w:rFonts w:ascii="Arial" w:cs="Arial" w:eastAsia="Arial" w:hAnsi="Arial"/>
        </w:rPr>
        <w:t xml:space="preserve">Compliance and financial promotions teams</w:t>
      </w:r>
    </w:p>
    <w:p>
      <w:pPr>
        <w:pStyle w:val="ListParagraph"/>
        <w:numPr>
          <w:ilvl w:val="0"/>
          <w:numId w:val="2"/>
        </w:numPr>
        <w:spacing w:after="80" w:line="276"/>
      </w:pPr>
      <w:r>
        <w:rPr>
          <w:rFonts w:ascii="Arial" w:cs="Arial" w:eastAsia="Arial" w:hAnsi="Arial"/>
        </w:rPr>
        <w:t xml:space="preserve">Legal and risk teams</w:t>
      </w:r>
    </w:p>
    <w:p>
      <w:pPr>
        <w:pStyle w:val="ListParagraph"/>
        <w:numPr>
          <w:ilvl w:val="0"/>
          <w:numId w:val="2"/>
        </w:numPr>
        <w:spacing w:after="80" w:line="276"/>
      </w:pPr>
      <w:r>
        <w:rPr>
          <w:rFonts w:ascii="Arial" w:cs="Arial" w:eastAsia="Arial" w:hAnsi="Arial"/>
        </w:rPr>
        <w:t xml:space="preserve">Marketing, growth and product teams</w:t>
      </w:r>
    </w:p>
    <w:p>
      <w:pPr>
        <w:pStyle w:val="Heading1"/>
        <w:pBdr>
          <w:bottom w:val="single" w:color="2563EB" w:sz="6" w:space="4"/>
        </w:pBdr>
        <w:spacing w:after="140" w:before="320"/>
      </w:pPr>
      <w:r>
        <w:rPr>
          <w:rFonts w:ascii="Arial" w:cs="Arial" w:eastAsia="Arial" w:hAnsi="Arial"/>
        </w:rPr>
        <w:t xml:space="preserve">3. Example frameworks you can configure</w:t>
      </w:r>
    </w:p>
    <w:p>
      <w:pPr>
        <w:spacing w:after="120" w:line="276"/>
      </w:pPr>
      <w:r>
        <w:rPr>
          <w:rFonts w:ascii="Arial" w:cs="Arial" w:eastAsia="Arial" w:hAnsi="Arial"/>
          <w:color w:val="0F172A"/>
        </w:rPr>
        <w:t xml:space="preserve">Regulus evaluates content against the regulatory documents and internal policies you configure in your workspace. Typical sources for this sector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BD5E1" w:sz="4"/>
              <w:left w:val="single" w:color="CBD5E1" w:sz="4"/>
              <w:bottom w:val="single" w:color="CBD5E1" w:sz="4"/>
              <w:right w:val="single" w:color="CBD5E1" w:sz="4"/>
            </w:tcBorders>
            <w:shd w:fill="DBEAFE"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Framework</w:t>
            </w:r>
          </w:p>
        </w:tc>
        <w:tc>
          <w:tcPr>
            <w:tcW w:type="dxa" w:w="5426"/>
            <w:tcBorders>
              <w:top w:val="single" w:color="CBD5E1" w:sz="4"/>
              <w:left w:val="single" w:color="CBD5E1" w:sz="4"/>
              <w:bottom w:val="single" w:color="CBD5E1" w:sz="4"/>
              <w:right w:val="single" w:color="CBD5E1" w:sz="4"/>
            </w:tcBorders>
            <w:shd w:fill="DBEAFE"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What Regulus structures from it</w:t>
            </w:r>
          </w:p>
        </w:tc>
      </w:tr>
      <w:tr>
        <w:tc>
          <w:tcPr>
            <w:tcW w:type="dxa" w:w="36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b/>
                <w:bCs/>
                <w:sz w:val="19"/>
                <w:szCs w:val="19"/>
              </w:rPr>
              <w:t xml:space="preserve">EU MiFID II — rules on marketing communications</w:t>
            </w:r>
          </w:p>
        </w:tc>
        <w:tc>
          <w:tcPr>
            <w:tcW w:type="dxa" w:w="54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Information must be fair, clear and not misleading, with fair and prominent risk warnings (Art. 24(3); Delegated Reg. (EU) 2017/565 Art. 44).</w:t>
            </w:r>
          </w:p>
        </w:tc>
      </w:tr>
      <w:tr>
        <w:tc>
          <w:tcPr>
            <w:tcW w:type="dxa" w:w="36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b/>
                <w:bCs/>
                <w:sz w:val="19"/>
                <w:szCs w:val="19"/>
              </w:rPr>
              <w:t xml:space="preserve">UK FCA financial promotion rules (COBS 4)</w:t>
            </w:r>
          </w:p>
        </w:tc>
        <w:tc>
          <w:tcPr>
            <w:tcW w:type="dxa" w:w="54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Fair, clear and not misleading promotions, with specific rules for certain products.</w:t>
            </w:r>
          </w:p>
        </w:tc>
      </w:tr>
      <w:tr>
        <w:tc>
          <w:tcPr>
            <w:tcW w:type="dxa" w:w="36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b/>
                <w:bCs/>
                <w:sz w:val="19"/>
                <w:szCs w:val="19"/>
              </w:rPr>
              <w:t xml:space="preserve">Central Bank of the UAE Consumer Protection Regulation</w:t>
            </w:r>
          </w:p>
        </w:tc>
        <w:tc>
          <w:tcPr>
            <w:tcW w:type="dxa" w:w="54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Clear disclosure of key terms, fees and conditions to consumers.</w:t>
            </w:r>
          </w:p>
        </w:tc>
      </w:tr>
      <w:tr>
        <w:tc>
          <w:tcPr>
            <w:tcW w:type="dxa" w:w="36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b/>
                <w:bCs/>
                <w:sz w:val="19"/>
                <w:szCs w:val="19"/>
              </w:rPr>
              <w:t xml:space="preserve">Your internal marketing and product policies</w:t>
            </w:r>
          </w:p>
        </w:tc>
        <w:tc>
          <w:tcPr>
            <w:tcW w:type="dxa" w:w="54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Product terms, approved disclaimers and your own sign-off rules.</w:t>
            </w:r>
          </w:p>
        </w:tc>
      </w:tr>
    </w:tbl>
    <w:p>
      <w:pPr>
        <w:pStyle w:val="Heading1"/>
        <w:pBdr>
          <w:bottom w:val="single" w:color="2563EB" w:sz="6" w:space="4"/>
        </w:pBdr>
        <w:spacing w:after="140" w:before="320"/>
      </w:pPr>
      <w:r>
        <w:rPr>
          <w:rFonts w:ascii="Arial" w:cs="Arial" w:eastAsia="Arial" w:hAnsi="Arial"/>
        </w:rPr>
        <w:t xml:space="preserve">4. Example workflow</w:t>
      </w:r>
    </w:p>
    <w:p>
      <w:pPr>
        <w:pStyle w:val="ListParagraph"/>
        <w:keepNext/>
        <w:keepLines/>
        <w:numPr>
          <w:ilvl w:val="0"/>
          <w:numId w:val="3"/>
        </w:numPr>
        <w:spacing w:after="100" w:line="276"/>
      </w:pPr>
      <w:r>
        <w:rPr>
          <w:rFonts w:ascii="Arial" w:cs="Arial" w:eastAsia="Arial" w:hAnsi="Arial"/>
        </w:rPr>
        <w:t xml:space="preserve">Upload the conduct rules, the product terms and your marketing policy.</w:t>
      </w:r>
    </w:p>
    <w:p>
      <w:pPr>
        <w:pStyle w:val="ListParagraph"/>
        <w:keepNext/>
        <w:keepLines/>
        <w:numPr>
          <w:ilvl w:val="0"/>
          <w:numId w:val="3"/>
        </w:numPr>
        <w:spacing w:after="100" w:line="276"/>
      </w:pPr>
      <w:r>
        <w:rPr>
          <w:rFonts w:ascii="Arial" w:cs="Arial" w:eastAsia="Arial" w:hAnsi="Arial"/>
        </w:rPr>
        <w:t xml:space="preserve">Regulus structures rules such as: balanced risk warnings, no guaranteed returns, fees and conditions shown clearly, past performance shown with the required warning.</w:t>
      </w:r>
    </w:p>
    <w:p>
      <w:pPr>
        <w:pStyle w:val="ListParagraph"/>
        <w:keepNext/>
        <w:keepLines/>
        <w:numPr>
          <w:ilvl w:val="0"/>
          <w:numId w:val="3"/>
        </w:numPr>
        <w:spacing w:after="100" w:line="276"/>
      </w:pPr>
      <w:r>
        <w:rPr>
          <w:rFonts w:ascii="Arial" w:cs="Arial" w:eastAsia="Arial" w:hAnsi="Arial"/>
        </w:rPr>
        <w:t xml:space="preserve">Submit ads, landing pages, app notifications and social posts.</w:t>
      </w:r>
    </w:p>
    <w:p>
      <w:pPr>
        <w:pStyle w:val="ListParagraph"/>
        <w:keepNext w:val="false"/>
        <w:keepLines/>
        <w:numPr>
          <w:ilvl w:val="0"/>
          <w:numId w:val="3"/>
        </w:numPr>
        <w:spacing w:after="100" w:line="276"/>
      </w:pPr>
      <w:r>
        <w:rPr>
          <w:rFonts w:ascii="Arial" w:cs="Arial" w:eastAsia="Arial" w:hAnsi="Arial"/>
        </w:rPr>
        <w:t xml:space="preserve">Each finding cites the rule and wording. Compliance approves, modifies or rejects it, building an audit trail.</w:t>
      </w:r>
    </w:p>
    <w:p>
      <w:pPr>
        <w:pStyle w:val="Heading1"/>
        <w:pBdr>
          <w:bottom w:val="single" w:color="2563EB" w:sz="6" w:space="4"/>
        </w:pBdr>
        <w:spacing w:after="140" w:before="320"/>
      </w:pPr>
      <w:r>
        <w:rPr>
          <w:rFonts w:ascii="Arial" w:cs="Arial" w:eastAsia="Arial" w:hAnsi="Arial"/>
        </w:rPr>
        <w:t xml:space="preserve">5. Worked example</w:t>
      </w:r>
    </w:p>
    <w:p>
      <w:pPr>
        <w:spacing w:after="120" w:line="276"/>
      </w:pPr>
      <w:r>
        <w:rPr>
          <w:rFonts w:ascii="Arial" w:cs="Arial" w:eastAsia="Arial" w:hAnsi="Arial"/>
        </w:rPr>
        <w:t xml:space="preserve">One piece of submitted content, from AI analysis to human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BD5E1" w:sz="4"/>
              <w:left w:val="single" w:color="CBD5E1" w:sz="4"/>
              <w:bottom w:val="single" w:color="CBD5E1" w:sz="4"/>
              <w:right w:val="single" w:color="CBD5E1" w:sz="4"/>
            </w:tcBorders>
            <w:shd w:fill="F1F5F9"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Submitted content</w:t>
            </w:r>
          </w:p>
        </w:tc>
        <w:tc>
          <w:tcPr>
            <w:tcW w:type="dxa" w:w="67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pPr>
            <w:r>
              <w:rPr>
                <w:rFonts w:ascii="Arial" w:cs="Arial" w:eastAsia="Arial" w:hAnsi="Arial"/>
                <w:i/>
                <w:iCs/>
                <w:sz w:val="19"/>
                <w:szCs w:val="19"/>
              </w:rPr>
              <w:t xml:space="preserve">"Guaranteed 12% returns — zero risk to your savings."</w:t>
            </w:r>
          </w:p>
        </w:tc>
      </w:tr>
      <w:tr>
        <w:tc>
          <w:tcPr>
            <w:tcW w:type="dxa" w:w="2300"/>
            <w:tcBorders>
              <w:top w:val="single" w:color="CBD5E1" w:sz="4"/>
              <w:left w:val="single" w:color="CBD5E1" w:sz="4"/>
              <w:bottom w:val="single" w:color="CBD5E1" w:sz="4"/>
              <w:right w:val="single" w:color="CBD5E1" w:sz="4"/>
            </w:tcBorders>
            <w:shd w:fill="F1F5F9"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Risk level</w:t>
            </w:r>
          </w:p>
        </w:tc>
        <w:tc>
          <w:tcPr>
            <w:tcW w:type="dxa" w:w="6726"/>
            <w:tcBorders>
              <w:top w:val="single" w:color="CBD5E1" w:sz="4"/>
              <w:left w:val="single" w:color="CBD5E1" w:sz="4"/>
              <w:bottom w:val="single" w:color="CBD5E1" w:sz="4"/>
              <w:right w:val="single" w:color="CBD5E1" w:sz="4"/>
            </w:tcBorders>
            <w:shd w:fill="FEF2F2" w:color="auto" w:val="clear"/>
            <w:tcMar>
              <w:top w:type="dxa" w:w="90"/>
              <w:left w:type="dxa" w:w="120"/>
              <w:bottom w:type="dxa" w:w="90"/>
              <w:right w:type="dxa" w:w="120"/>
            </w:tcMar>
          </w:tcPr>
          <w:p>
            <w:pPr>
              <w:spacing w:after="0" w:line="264"/>
            </w:pPr>
            <w:r>
              <w:rPr>
                <w:rFonts w:ascii="Arial" w:cs="Arial" w:eastAsia="Arial" w:hAnsi="Arial"/>
                <w:b/>
                <w:bCs/>
                <w:color w:val="B91C1C"/>
                <w:sz w:val="19"/>
                <w:szCs w:val="19"/>
              </w:rPr>
              <w:t xml:space="preserve">High — potential regulatory risk</w:t>
            </w:r>
          </w:p>
        </w:tc>
      </w:tr>
      <w:tr>
        <w:tc>
          <w:tcPr>
            <w:tcW w:type="dxa" w:w="2300"/>
            <w:tcBorders>
              <w:top w:val="single" w:color="CBD5E1" w:sz="4"/>
              <w:left w:val="single" w:color="CBD5E1" w:sz="4"/>
              <w:bottom w:val="single" w:color="CBD5E1" w:sz="4"/>
              <w:right w:val="single" w:color="CBD5E1" w:sz="4"/>
            </w:tcBorders>
            <w:shd w:fill="F1F5F9"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Applicable requirement</w:t>
            </w:r>
          </w:p>
        </w:tc>
        <w:tc>
          <w:tcPr>
            <w:tcW w:type="dxa" w:w="67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Marketing communications must be fair, clear and not misleading, and must not emphasise benefits without a fair and prominent indication of risks (MiFID II Art. 24(3); Delegated Reg. (EU) 2017/565 Art. 44; FCA COBS 4).</w:t>
            </w:r>
          </w:p>
        </w:tc>
      </w:tr>
      <w:tr>
        <w:tc>
          <w:tcPr>
            <w:tcW w:type="dxa" w:w="2300"/>
            <w:tcBorders>
              <w:top w:val="single" w:color="CBD5E1" w:sz="4"/>
              <w:left w:val="single" w:color="CBD5E1" w:sz="4"/>
              <w:bottom w:val="single" w:color="CBD5E1" w:sz="4"/>
              <w:right w:val="single" w:color="CBD5E1" w:sz="4"/>
            </w:tcBorders>
            <w:shd w:fill="F1F5F9"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Why it was flagged</w:t>
            </w:r>
          </w:p>
        </w:tc>
        <w:tc>
          <w:tcPr>
            <w:tcW w:type="dxa" w:w="67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"Guaranteed" and "zero risk" overstate the return, and no risk warning is shown.</w:t>
            </w:r>
          </w:p>
        </w:tc>
      </w:tr>
      <w:tr>
        <w:tc>
          <w:tcPr>
            <w:tcW w:type="dxa" w:w="2300"/>
            <w:tcBorders>
              <w:top w:val="single" w:color="CBD5E1" w:sz="4"/>
              <w:left w:val="single" w:color="CBD5E1" w:sz="4"/>
              <w:bottom w:val="single" w:color="CBD5E1" w:sz="4"/>
              <w:right w:val="single" w:color="CBD5E1" w:sz="4"/>
            </w:tcBorders>
            <w:shd w:fill="F1F5F9"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Recommendation</w:t>
            </w:r>
          </w:p>
        </w:tc>
        <w:tc>
          <w:tcPr>
            <w:tcW w:type="dxa" w:w="67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Remove the guarantee language, state that capital is at risk and show fee and performance information as required.</w:t>
            </w:r>
          </w:p>
        </w:tc>
      </w:tr>
      <w:tr>
        <w:tc>
          <w:tcPr>
            <w:tcW w:type="dxa" w:w="2300"/>
            <w:tcBorders>
              <w:top w:val="single" w:color="CBD5E1" w:sz="4"/>
              <w:left w:val="single" w:color="CBD5E1" w:sz="4"/>
              <w:bottom w:val="single" w:color="CBD5E1" w:sz="4"/>
              <w:right w:val="single" w:color="CBD5E1" w:sz="4"/>
            </w:tcBorders>
            <w:shd w:fill="F1F5F9"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Human decision</w:t>
            </w:r>
          </w:p>
        </w:tc>
        <w:tc>
          <w:tcPr>
            <w:tcW w:type="dxa" w:w="67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Approve · Modify · Reject · Request review — chosen by the authorised reviewer and recorded</w:t>
            </w:r>
          </w:p>
        </w:tc>
      </w:tr>
    </w:tbl>
    <w:p>
      <w:pPr>
        <w:pStyle w:val="Heading1"/>
        <w:pBdr>
          <w:bottom w:val="single" w:color="2563EB" w:sz="6" w:space="4"/>
        </w:pBdr>
        <w:spacing w:after="140" w:before="320"/>
      </w:pPr>
      <w:r>
        <w:rPr>
          <w:rFonts w:ascii="Arial" w:cs="Arial" w:eastAsia="Arial" w:hAnsi="Arial"/>
        </w:rPr>
        <w:t xml:space="preserve">6. More checks in this sector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2726"/>
      </w:tblGrid>
      <w:tr>
        <w:trPr>
          <w:tblHeader/>
        </w:trPr>
        <w:tc>
          <w:tcPr>
            <w:tcW w:type="dxa" w:w="3000"/>
            <w:tcBorders>
              <w:top w:val="single" w:color="CBD5E1" w:sz="4"/>
              <w:left w:val="single" w:color="CBD5E1" w:sz="4"/>
              <w:bottom w:val="single" w:color="CBD5E1" w:sz="4"/>
              <w:right w:val="single" w:color="CBD5E1" w:sz="4"/>
            </w:tcBorders>
            <w:shd w:fill="DBEAFE"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Content submitted</w:t>
            </w:r>
          </w:p>
        </w:tc>
        <w:tc>
          <w:tcPr>
            <w:tcW w:type="dxa" w:w="3300"/>
            <w:tcBorders>
              <w:top w:val="single" w:color="CBD5E1" w:sz="4"/>
              <w:left w:val="single" w:color="CBD5E1" w:sz="4"/>
              <w:bottom w:val="single" w:color="CBD5E1" w:sz="4"/>
              <w:right w:val="single" w:color="CBD5E1" w:sz="4"/>
            </w:tcBorders>
            <w:shd w:fill="DBEAFE"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What Regulus flags</w:t>
            </w:r>
          </w:p>
        </w:tc>
        <w:tc>
          <w:tcPr>
            <w:tcW w:type="dxa" w:w="2726"/>
            <w:tcBorders>
              <w:top w:val="single" w:color="CBD5E1" w:sz="4"/>
              <w:left w:val="single" w:color="CBD5E1" w:sz="4"/>
              <w:bottom w:val="single" w:color="CBD5E1" w:sz="4"/>
              <w:right w:val="single" w:color="CBD5E1" w:sz="4"/>
            </w:tcBorders>
            <w:shd w:fill="DBEAFE" w:color="auto" w:val="clear"/>
            <w:tcMar>
              <w:top w:type="dxa" w:w="90"/>
              <w:left w:type="dxa" w:w="120"/>
              <w:bottom w:type="dxa" w:w="90"/>
              <w:right w:type="dxa" w:w="120"/>
            </w:tcMar>
          </w:tcPr>
          <w:p>
            <w:pPr>
              <w:spacing w:after="0" w:line="264"/>
            </w:pPr>
            <w:r>
              <w:rPr>
                <w:rFonts w:ascii="Arial" w:cs="Arial" w:eastAsia="Arial" w:hAnsi="Arial"/>
                <w:b/>
                <w:bCs/>
                <w:sz w:val="19"/>
                <w:szCs w:val="19"/>
              </w:rPr>
              <w:t xml:space="preserve">Suggested action</w:t>
            </w:r>
          </w:p>
        </w:tc>
      </w:tr>
      <w:tr>
        <w:tc>
          <w:tcPr>
            <w:tcW w:type="dxa" w:w="3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"Our fund returned 18% last year!" as the headline.</w:t>
            </w:r>
          </w:p>
        </w:tc>
        <w:tc>
          <w:tcPr>
            <w:tcW w:type="dxa" w:w="33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Past performance must not be the most prominent feature and needs a warning that it is not a reliable indicator of future results.</w:t>
            </w:r>
          </w:p>
        </w:tc>
        <w:tc>
          <w:tcPr>
            <w:tcW w:type="dxa" w:w="27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Add the warning and rebalance the layout.</w:t>
            </w:r>
          </w:p>
        </w:tc>
      </w:tr>
      <w:tr>
        <w:tc>
          <w:tcPr>
            <w:tcW w:type="dxa" w:w="3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"No fees, ever."</w:t>
            </w:r>
          </w:p>
        </w:tc>
        <w:tc>
          <w:tcPr>
            <w:tcW w:type="dxa" w:w="33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The product terms on file list account and transfer fees.</w:t>
            </w:r>
          </w:p>
        </w:tc>
        <w:tc>
          <w:tcPr>
            <w:tcW w:type="dxa" w:w="27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Correct the statement to match the product terms.</w:t>
            </w:r>
          </w:p>
        </w:tc>
      </w:tr>
      <w:tr>
        <w:tc>
          <w:tcPr>
            <w:tcW w:type="dxa" w:w="3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"0% interest" with conditions only in small print.</w:t>
            </w:r>
          </w:p>
        </w:tc>
        <w:tc>
          <w:tcPr>
            <w:tcW w:type="dxa" w:w="33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Key conditions are not shown clearly next to the offer.</w:t>
            </w:r>
          </w:p>
        </w:tc>
        <w:tc>
          <w:tcPr>
            <w:tcW w:type="dxa" w:w="27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Show the main conditions alongside the headline rate.</w:t>
            </w:r>
          </w:p>
        </w:tc>
      </w:tr>
      <w:tr>
        <w:tc>
          <w:tcPr>
            <w:tcW w:type="dxa" w:w="30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A social post promoting a high-risk investment with no risk warning.</w:t>
            </w:r>
          </w:p>
        </w:tc>
        <w:tc>
          <w:tcPr>
            <w:tcW w:type="dxa" w:w="3300"/>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Required risk warnings are missing for this channel.</w:t>
            </w:r>
          </w:p>
        </w:tc>
        <w:tc>
          <w:tcPr>
            <w:tcW w:type="dxa" w:w="2726"/>
            <w:tcBorders>
              <w:top w:val="single" w:color="CBD5E1" w:sz="4"/>
              <w:left w:val="single" w:color="CBD5E1" w:sz="4"/>
              <w:bottom w:val="single" w:color="CBD5E1" w:sz="4"/>
              <w:right w:val="single" w:color="CBD5E1" w:sz="4"/>
            </w:tcBorders>
            <w:tcMar>
              <w:top w:type="dxa" w:w="90"/>
              <w:left w:type="dxa" w:w="120"/>
              <w:bottom w:type="dxa" w:w="90"/>
              <w:right w:type="dxa" w:w="120"/>
            </w:tcMar>
          </w:tcPr>
          <w:p>
            <w:pPr>
              <w:spacing w:after="0" w:line="264"/>
            </w:pPr>
            <w:r>
              <w:rPr>
                <w:rFonts w:ascii="Arial" w:cs="Arial" w:eastAsia="Arial" w:hAnsi="Arial"/>
                <w:sz w:val="19"/>
                <w:szCs w:val="19"/>
              </w:rPr>
              <w:t xml:space="preserve">Add the required risk warning in a prominent position.</w:t>
            </w:r>
          </w:p>
        </w:tc>
      </w:tr>
    </w:tbl>
    <w:p>
      <w:pPr>
        <w:pStyle w:val="Heading1"/>
        <w:pBdr>
          <w:bottom w:val="single" w:color="2563EB" w:sz="6" w:space="4"/>
        </w:pBdr>
        <w:spacing w:after="140" w:before="320"/>
      </w:pPr>
      <w:r>
        <w:rPr>
          <w:rFonts w:ascii="Arial" w:cs="Arial" w:eastAsia="Arial" w:hAnsi="Arial"/>
        </w:rPr>
        <w:t xml:space="preserve">7. What your team gets</w:t>
      </w:r>
    </w:p>
    <w:p>
      <w:pPr>
        <w:pStyle w:val="ListParagraph"/>
        <w:numPr>
          <w:ilvl w:val="0"/>
          <w:numId w:val="2"/>
        </w:numPr>
        <w:spacing w:after="80" w:line="276"/>
      </w:pPr>
      <w:r>
        <w:rPr>
          <w:rFonts w:ascii="Arial" w:cs="Arial" w:eastAsia="Arial" w:hAnsi="Arial"/>
        </w:rPr>
        <w:t xml:space="preserve">Regulations and internal policies turned into a structured, reusable rule set</w:t>
      </w:r>
    </w:p>
    <w:p>
      <w:pPr>
        <w:pStyle w:val="ListParagraph"/>
        <w:numPr>
          <w:ilvl w:val="0"/>
          <w:numId w:val="2"/>
        </w:numPr>
        <w:spacing w:after="80" w:line="276"/>
      </w:pPr>
      <w:r>
        <w:rPr>
          <w:rFonts w:ascii="Arial" w:cs="Arial" w:eastAsia="Arial" w:hAnsi="Arial"/>
        </w:rPr>
        <w:t xml:space="preserve">The same rules applied to every reviewer and every channel</w:t>
      </w:r>
    </w:p>
    <w:p>
      <w:pPr>
        <w:pStyle w:val="ListParagraph"/>
        <w:numPr>
          <w:ilvl w:val="0"/>
          <w:numId w:val="2"/>
        </w:numPr>
        <w:spacing w:after="80" w:line="276"/>
      </w:pPr>
      <w:r>
        <w:rPr>
          <w:rFonts w:ascii="Arial" w:cs="Arial" w:eastAsia="Arial" w:hAnsi="Arial"/>
        </w:rPr>
        <w:t xml:space="preserve">Each finding linked to the rule and evidence behind it</w:t>
      </w:r>
    </w:p>
    <w:p>
      <w:pPr>
        <w:pStyle w:val="ListParagraph"/>
        <w:numPr>
          <w:ilvl w:val="0"/>
          <w:numId w:val="2"/>
        </w:numPr>
        <w:spacing w:after="80" w:line="276"/>
      </w:pPr>
      <w:r>
        <w:rPr>
          <w:rFonts w:ascii="Arial" w:cs="Arial" w:eastAsia="Arial" w:hAnsi="Arial"/>
        </w:rPr>
        <w:t xml:space="preserve">Suggested fixes your team can accept, edit or reject</w:t>
      </w:r>
    </w:p>
    <w:p>
      <w:pPr>
        <w:pStyle w:val="ListParagraph"/>
        <w:numPr>
          <w:ilvl w:val="0"/>
          <w:numId w:val="2"/>
        </w:numPr>
        <w:spacing w:after="80" w:line="276"/>
      </w:pPr>
      <w:r>
        <w:rPr>
          <w:rFonts w:ascii="Arial" w:cs="Arial" w:eastAsia="Arial" w:hAnsi="Arial"/>
        </w:rPr>
        <w:t xml:space="preserve">A recorded decision trail for audits and regulators</w:t>
      </w:r>
    </w:p>
    <w:p>
      <w:pPr>
        <w:pStyle w:val="ListParagraph"/>
        <w:numPr>
          <w:ilvl w:val="0"/>
          <w:numId w:val="2"/>
        </w:numPr>
        <w:spacing w:after="80" w:line="276"/>
      </w:pPr>
      <w:r>
        <w:rPr>
          <w:rFonts w:ascii="Arial" w:cs="Arial" w:eastAsia="Arial" w:hAnsi="Arial"/>
        </w:rPr>
        <w:t xml:space="preserve">Final decisions always made by authorised people — AI assists, humans decide</w:t>
      </w:r>
    </w:p>
    <w:p>
      <w:pPr>
        <w:pStyle w:val="Heading1"/>
        <w:pBdr>
          <w:bottom w:val="single" w:color="2563EB" w:sz="6" w:space="4"/>
        </w:pBdr>
        <w:spacing w:after="140" w:before="320"/>
      </w:pPr>
      <w:r>
        <w:rPr>
          <w:rFonts w:ascii="Arial" w:cs="Arial" w:eastAsia="Arial" w:hAnsi="Arial"/>
        </w:rPr>
        <w:t xml:space="preserve">8. Next step</w:t>
      </w:r>
    </w:p>
    <w:p>
      <w:pPr>
        <w:spacing w:after="120" w:line="276"/>
      </w:pPr>
      <w:r>
        <w:rPr>
          <w:rFonts w:ascii="Arial" w:cs="Arial" w:eastAsia="Arial" w:hAnsi="Arial"/>
        </w:rPr>
        <w:t xml:space="preserve">Bring a regulation, an internal policy and a few real examples of your financial services content. We will show you, live, how Regulus turns the requirements into structured checks and flags potential risks.</w:t>
      </w:r>
    </w:p>
    <w:p>
      <w:pPr>
        <w:spacing w:after="120" w:line="276"/>
      </w:pPr>
      <w:r>
        <w:rPr>
          <w:rFonts w:ascii="Arial" w:cs="Arial" w:eastAsia="Arial" w:hAnsi="Arial"/>
          <w:b/>
          <w:bCs/>
        </w:rPr>
        <w:t xml:space="preserve">Request a demo: </w:t>
      </w:r>
      <w:r>
        <w:rPr>
          <w:rFonts w:ascii="Arial" w:cs="Arial" w:eastAsia="Arial" w:hAnsi="Arial"/>
        </w:rPr>
        <w:t xml:space="preserve">info@axionast.com</w:t>
      </w:r>
      <w:r>
        <w:rPr>
          <w:rFonts w:ascii="Arial" w:cs="Arial" w:eastAsia="Arial" w:hAnsi="Arial"/>
        </w:rPr>
        <w:t xml:space="preserve">   ·   </w:t>
      </w:r>
      <w:r>
        <w:rPr>
          <w:rFonts w:ascii="Arial" w:cs="Arial" w:eastAsia="Arial" w:hAnsi="Arial"/>
        </w:rPr>
        <w:t xml:space="preserve">axionast.com</w:t>
      </w:r>
    </w:p>
    <w:p>
      <w:pPr>
        <w:pBdr>
          <w:top w:val="single" w:color="CBD5E1" w:sz="4" w:space="6"/>
        </w:pBdr>
        <w:spacing w:before="280"/>
      </w:pPr>
      <w:r>
        <w:rPr>
          <w:rFonts w:ascii="Arial" w:cs="Arial" w:eastAsia="Arial" w:hAnsi="Arial"/>
          <w:i/>
          <w:iCs/>
          <w:color w:val="64748B"/>
          <w:sz w:val="16"/>
          <w:szCs w:val="16"/>
        </w:rPr>
        <w:t xml:space="preserve">Axion Regulus provides AI-assisted compliance analysis and does not replace professional legal, regulatory or compliance advice. Final decisions remain with authorised reviewers in your organisation.</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Axion Consultancy Services  ·  info@axionast.com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6"/>
        <w:szCs w:val="16"/>
      </w:rPr>
      <w:t xml:space="preserve">Axion Regulus  |  Industry Use-Case Brief  |  Financial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2563E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Arial" w:cs="Arial" w:eastAsia="Arial" w:hAnsi="Arial"/>
      <w:b/>
      <w:bCs/>
      <w:color w:val="0F172A"/>
      <w:sz w:val="48"/>
      <w:szCs w:val="48"/>
    </w:rPr>
  </w:style>
  <w:style w:type="paragraph" w:styleId="Heading1">
    <w:name w:val="Heading 1"/>
    <w:basedOn w:val="Normal"/>
    <w:next w:val="Normal"/>
    <w:qFormat/>
    <w:pPr>
      <w:keepNext/>
      <w:outlineLvl w:val="0"/>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7b35747e01f9309e845de2a4ef807c70981ed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Axion Regulus — Industry Use-Case Brief: Financial Services</dc:title>
  <dc:creator>Axion Consultancy Services</dc:creator>
  <cp:lastModifiedBy>Un-named</cp:lastModifiedBy>
  <cp:revision>1</cp:revision>
  <dcterms:created xsi:type="dcterms:W3CDTF">2026-10-11T12:15:39.349Z</dcterms:created>
  <dcterms:modified xsi:type="dcterms:W3CDTF">2026-10-11T12:15:39.349Z</dcterms:modified>
</cp:coreProperties>
</file>

<file path=docProps/custom.xml><?xml version="1.0" encoding="utf-8"?>
<Properties xmlns="http://schemas.openxmlformats.org/officeDocument/2006/custom-properties" xmlns:vt="http://schemas.openxmlformats.org/officeDocument/2006/docPropsVTypes"/>
</file>