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5905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0891B2"/>
          <w:spacing w:val="40"/>
          <w:sz w:val="18"/>
          <w:szCs w:val="18"/>
        </w:rPr>
        <w:t xml:space="preserve">INDUSTRY USE-CASE BRIEF</w:t>
      </w:r>
    </w:p>
    <w:p>
      <w:pPr>
        <w:pStyle w:val="Title"/>
        <w:spacing w:after="120"/>
      </w:pPr>
      <w:r>
        <w:rPr>
          <w:rFonts w:ascii="Arial" w:cs="Arial" w:eastAsia="Arial" w:hAnsi="Arial"/>
        </w:rPr>
        <w:t xml:space="preserve">Axion Regulus for Healthcare &amp; Pharmaceutical</w:t>
      </w:r>
    </w:p>
    <w:p>
      <w:pPr>
        <w:spacing w:after="20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How Regulus turns your sector's regulations into structured checks — and what that looks like on real content.</w:t>
      </w:r>
    </w:p>
    <w:p>
      <w:pPr>
        <w:pBdr>
          <w:left w:val="single" w:color="D97706" w:sz="18" w:space="6"/>
        </w:pBdr>
        <w:shd w:fill="FEF3C7" w:color="auto" w:val="clear"/>
        <w:spacing w:after="200"/>
        <w:ind w:left="120" w:right="120"/>
      </w:pPr>
      <w:r>
        <w:rPr>
          <w:rFonts w:ascii="Arial" w:cs="Arial" w:eastAsia="Arial" w:hAnsi="Arial"/>
          <w:b/>
          <w:bCs/>
          <w:color w:val="92400E"/>
          <w:sz w:val="18"/>
          <w:szCs w:val="18"/>
        </w:rPr>
        <w:t xml:space="preserve">Illustrative example. </w:t>
      </w:r>
      <w:r>
        <w:rPr>
          <w:rFonts w:ascii="Arial" w:cs="Arial" w:eastAsia="Arial" w:hAnsi="Arial"/>
          <w:color w:val="92400E"/>
          <w:sz w:val="18"/>
          <w:szCs w:val="18"/>
        </w:rPr>
        <w:t xml:space="preserve">The frameworks, content and findings below show how the platform can be configured. They are not legal advice, and results depend on the documents configured in your workspace.</w:t>
      </w:r>
    </w:p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1. The challenge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Promotional material for medicines must match the approved product information, give balanced safety information and stay on-label. Material for patients and the public is restricted even further.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Medical, legal and regulatory review (MLR) is careful but slow: each item goes through several reviewers who check the same rules again and again.</w:t>
      </w:r>
    </w:p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2. Who uses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Medical affairs and regulatory affairs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Promotional and MLR review teams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Brand teams and agencies preparing materials</w:t>
      </w:r>
    </w:p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3. Example frameworks you can configure</w:t>
      </w:r>
    </w:p>
    <w:p>
      <w:pPr>
        <w:spacing w:after="120" w:line="276"/>
      </w:pPr>
      <w:r>
        <w:rPr>
          <w:rFonts w:ascii="Arial" w:cs="Arial" w:eastAsia="Arial" w:hAnsi="Arial"/>
          <w:color w:val="0F172A"/>
        </w:rPr>
        <w:t xml:space="preserve">Regulus evaluates content against the regulatory documents and internal policies you configure in your workspace. Typical sources for this sector include: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structures from it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EU Directive 2001/83/EC — Title VIII, advertising of medicinal products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Advertising must match the summary of product characteristics, encourage rational use and not mislead; extra limits for the public.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 FDA prescription drug advertising rules (21 CFR 202.1)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Fair balance, the brief summary and rules against false or misleading statements.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Industry codes of practice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example, the EFPIA code or national industry codes your company follows.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approved product information and internal review SOP</w:t>
            </w:r>
          </w:p>
        </w:tc>
        <w:tc>
          <w:tcPr>
            <w:tcW w:type="dxa" w:w="5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label text, approved indications and your own review steps.</w:t>
            </w:r>
          </w:p>
        </w:tc>
      </w:tr>
    </w:tbl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4. Example workflow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Upload the advertising rules, the approved product information and your review SOP.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Regulus structures rules such as: claims must match the approved label, benefits need balanced safety information, no off-label promotion, no prescription-only promotion to the public.</w:t>
      </w:r>
    </w:p>
    <w:p>
      <w:pPr>
        <w:pStyle w:val="ListParagraph"/>
        <w:keepNext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Submit materials for healthcare professionals, patient leaflets, websites and campaign copy.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</w:rPr>
        <w:t xml:space="preserve">Reviewers see each finding with its rule and source. Medical, legal and regulatory sign-off stays with your team.</w:t>
      </w:r>
    </w:p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5. Worked example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One piece of submitted content, from AI analysis to human decision: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 content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"Fast, safe relief for everyone — with no side effects."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level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 — potential regulatory risk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Applicable requirement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Advertising must be consistent with the approved product information, encourage rational use and not be misleading (Art. 87, Dir. 2001/83/EC).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Why it was flagged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"No side effects" and "safe for everyone" contradict the approved safety information and remove the required balance.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absolute safety claims and align the wording and safety information with the approved product label.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 decision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Approve · Modify · Reject · Request review — chosen by the authorised reviewer and recorded</w:t>
            </w:r>
          </w:p>
        </w:tc>
      </w:tr>
    </w:tbl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6. More checks in this sector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Content submitted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Regulus flags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CFFA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Suggested action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 No. 1 choice of doctors" in a consumer advert.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Advertising to the public must not refer to recommendations by health professionals (Art. 90(f), Dir. 2001/83/EC).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reference.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banner advertising a prescription-only medicine to the public.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Advertising prescription-only medicines to the general public is prohibited (Art. 88(1)).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Restrict the material to healthcare professionals.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detail aid that mentions use in an unapproved indication.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Content goes beyond the approved product information (Art. 87).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off-label reference.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 HCP leaflet without prescribing information.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Essential information compatible with the product characteristics is missing (Art. 91).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the prescribing information before release.</w:t>
            </w:r>
          </w:p>
        </w:tc>
      </w:tr>
    </w:tbl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7. What your team gets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Regulations and internal policies turned into a structured, reusable rule set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The same rules applied to every reviewer and every channel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Each finding linked to the rule and evidence behind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Suggested fixes your team can accept, edit or reject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recorded decision trail for audits and regulators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Final decisions always made by authorised people — AI assists, humans decide</w:t>
      </w:r>
    </w:p>
    <w:p>
      <w:pPr>
        <w:pStyle w:val="Heading1"/>
        <w:pBdr>
          <w:bottom w:val="single" w:color="0891B2" w:sz="6" w:space="4"/>
        </w:pBdr>
        <w:spacing w:after="140" w:before="320"/>
      </w:pPr>
      <w:r>
        <w:rPr>
          <w:rFonts w:ascii="Arial" w:cs="Arial" w:eastAsia="Arial" w:hAnsi="Arial"/>
        </w:rPr>
        <w:t xml:space="preserve">8. Next step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Bring a regulation, an internal policy and a few real examples of your healthcare &amp; pharmaceutical content. We will show you, live, how Regulus turns the requirements into structured checks and flags potential risks.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Request a demo: </w:t>
      </w:r>
      <w:r>
        <w:rPr>
          <w:rFonts w:ascii="Arial" w:cs="Arial" w:eastAsia="Arial" w:hAnsi="Arial"/>
        </w:rPr>
        <w:t xml:space="preserve">info@axionast.com</w:t>
      </w:r>
      <w:r>
        <w:rPr>
          <w:rFonts w:ascii="Arial" w:cs="Arial" w:eastAsia="Arial" w:hAnsi="Arial"/>
        </w:rPr>
        <w:t xml:space="preserve">   ·   </w:t>
      </w:r>
      <w:r>
        <w:rPr>
          <w:rFonts w:ascii="Arial" w:cs="Arial" w:eastAsia="Arial" w:hAnsi="Arial"/>
        </w:rPr>
        <w:t xml:space="preserve">axionast.com</w:t>
      </w:r>
    </w:p>
    <w:p>
      <w:pPr>
        <w:pBdr>
          <w:top w:val="single" w:color="CBD5E1" w:sz="4" w:space="6"/>
        </w:pBdr>
        <w:spacing w:before="28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Axion Regulus provides AI-assisted compliance analysis and does not replace professional legal, regulatory or compliance advice. Final decisions remain with authorised reviewers in your organisation.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Axion Consultancy Services  ·  info@axionast.com  ·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Axion Regulus  |  Industry Use-Case Brief  |  Healthcare &amp; Pharmaceutical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891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F172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c7b35747e01f9309e845de2a4ef807c70981e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Axion Regulus — Industry Use-Case Brief: Healthcare &amp; Pharmaceutical</dc:title>
  <dc:creator>Axion Consultancy Services</dc:creator>
  <cp:lastModifiedBy>Un-named</cp:lastModifiedBy>
  <cp:revision>1</cp:revision>
  <dcterms:created xsi:type="dcterms:W3CDTF">2026-10-11T12:15:39.288Z</dcterms:created>
  <dcterms:modified xsi:type="dcterms:W3CDTF">2026-10-11T12:15:39.288Z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