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期末專題</w:t>
      </w: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both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主題:甜點訂購機器人</w:t>
      </w:r>
    </w:p>
    <w:p>
      <w:pPr>
        <w:jc w:val="both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both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指導教授:謝文川</w:t>
      </w: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</w:p>
    <w:p>
      <w:pPr>
        <w:jc w:val="center"/>
        <w:rPr>
          <w:rFonts w:hint="eastAsia"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組員: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Arial" w:hAnsi="Arial" w:eastAsia="標楷體"/>
          <w:sz w:val="36"/>
          <w:szCs w:val="36"/>
          <w:lang w:eastAsia="zh-TW"/>
        </w:rPr>
      </w:pPr>
      <w:r>
        <w:rPr>
          <w:rFonts w:hint="eastAsia" w:ascii="Arial" w:hAnsi="Arial" w:eastAsia="標楷體"/>
          <w:sz w:val="36"/>
          <w:szCs w:val="36"/>
          <w:lang w:eastAsia="zh-TW"/>
        </w:rPr>
        <w:t>C112156106洪翔恩 C112156110 楊淳仁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Arial" w:hAnsi="Arial" w:eastAsia="標楷體"/>
          <w:sz w:val="36"/>
          <w:szCs w:val="36"/>
          <w:lang w:eastAsia="zh-TW"/>
        </w:rPr>
      </w:pPr>
      <w:r>
        <w:rPr>
          <w:rFonts w:hint="eastAsia" w:ascii="Arial" w:hAnsi="Arial" w:eastAsia="標楷體"/>
          <w:sz w:val="36"/>
          <w:szCs w:val="36"/>
          <w:lang w:eastAsia="zh-TW"/>
        </w:rPr>
        <w:t>C112196103游彗珊</w:t>
      </w:r>
      <w:r>
        <w:rPr>
          <w:rFonts w:hint="eastAsia" w:ascii="Arial" w:hAnsi="Arial" w:eastAsia="標楷體"/>
          <w:sz w:val="36"/>
          <w:szCs w:val="36"/>
          <w:lang w:val="en-US" w:eastAsia="zh-TW"/>
        </w:rPr>
        <w:t xml:space="preserve"> </w:t>
      </w:r>
      <w:r>
        <w:rPr>
          <w:rFonts w:hint="eastAsia" w:ascii="Arial" w:hAnsi="Arial" w:eastAsia="標楷體"/>
          <w:sz w:val="36"/>
          <w:szCs w:val="36"/>
          <w:lang w:eastAsia="zh-TW"/>
        </w:rPr>
        <w:t>C112156109 趙子禔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Arial" w:hAnsi="Arial" w:eastAsia="標楷體"/>
          <w:sz w:val="36"/>
          <w:szCs w:val="36"/>
          <w:lang w:eastAsia="zh-TW"/>
        </w:rPr>
      </w:pPr>
      <w:r>
        <w:rPr>
          <w:rFonts w:hint="eastAsia" w:ascii="Arial" w:hAnsi="Arial" w:eastAsia="標楷體"/>
          <w:sz w:val="36"/>
          <w:szCs w:val="36"/>
          <w:lang w:eastAsia="zh-TW"/>
        </w:rPr>
        <w:t>C111135131黃詩涵 C112156112馬翌翔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Arial" w:hAnsi="Arial" w:eastAsia="標楷體"/>
          <w:sz w:val="36"/>
          <w:szCs w:val="36"/>
          <w:lang w:val="en-US" w:eastAsia="zh-TW"/>
        </w:rPr>
        <w:sectPr>
          <w:headerReference r:id="rId3" w:type="default"/>
          <w:footerReference r:id="rId4" w:type="default"/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Arial" w:hAnsi="Arial" w:eastAsia="標楷體"/>
          <w:sz w:val="36"/>
          <w:szCs w:val="36"/>
          <w:lang w:val="en-US" w:eastAsia="zh-TW"/>
        </w:rPr>
        <w:t>C112156111王政勛</w:t>
      </w:r>
    </w:p>
    <w:p>
      <w:pPr>
        <w:pStyle w:val="2"/>
        <w:rPr>
          <w:rFonts w:ascii="Arial" w:hAnsi="Arial" w:eastAsia="新細明體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目錄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緒論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專題</w:t>
      </w: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背景</w:t>
      </w: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介紹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1.2 研究動機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1.3 研究目的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文獻回顧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 自動回覆機器人的應用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 LINE Bot 技術概述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2.3 甜點訂單處理系統相關研究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研究方法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研究設計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3.2 訂單流程設計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研究過程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4.1 LINE </w:t>
      </w:r>
      <w:r>
        <w:rPr>
          <w:rFonts w:hint="eastAsia" w:ascii="Arial" w:hAnsi="Arial" w:eastAsia="新細明體"/>
          <w:color w:val="000000" w:themeColor="text1"/>
          <w:sz w:val="24"/>
          <w:szCs w:val="24"/>
          <w:lang w:val="en-US" w:eastAsia="zh-TW"/>
          <w14:textFill>
            <w14:solidFill>
              <w14:schemeClr w14:val="tx1"/>
            </w14:solidFill>
          </w14:textFill>
        </w:rPr>
        <w:t>BOT</w:t>
      </w: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開發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4.2</w:t>
      </w: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畫面呈現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4.3 資料庫設計與管理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研究</w:t>
      </w: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結果</w:t>
      </w: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與</w:t>
      </w: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5.1 功能測試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5.2 使用者回饋與改善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5.3 系統效能評估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結論與建議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6.1 研究結論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6.2 系統優化建議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6.3 未來研究方向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footerReference r:id="rId5" w:type="default"/>
          <w:pgSz w:w="12240" w:h="15840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rPr>
          <w:rFonts w:hint="eastAsia" w:ascii="Arial" w:hAnsi="Arial" w:eastAsia="新細明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緒論</w:t>
      </w:r>
    </w:p>
    <w:p>
      <w:pP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專題背景介紹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80" w:leftChars="400" w:right="0" w:rightChars="0" w:firstLine="480" w:firstLineChars="200"/>
        <w:jc w:val="left"/>
        <w:textAlignment w:val="auto"/>
        <w:outlineLvl w:val="9"/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在數位科技快速發展的時代，消費者對於即時、便捷的服務需求日益提升。傳統的甜點訂購流程往往需要人工操作，可能因人力限制或溝通不便而導致訂單處理效率低下。為提升顧客服務品質，企業開始採用自動化技術來簡化流程和提升用戶體驗。甜點訂購自動回覆機器人便是其中的創新應用之一，它能根據顧客需求提供甜點選項、價格資訊、訂購流程等相關回覆，並自動記錄和確認</w:t>
      </w:r>
      <w:bookmarkStart w:id="0" w:name="_GoBack"/>
      <w:bookmarkEnd w:id="0"/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訂單，提醒付款方式，同時提供即時配送狀態更新。這不僅縮短了訂購流程，還顯著提高了客戶滿意度。</w:t>
      </w:r>
      <w:r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研究動機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80" w:leftChars="400" w:right="0" w:rightChars="0" w:firstLine="480" w:firstLineChars="200"/>
        <w:jc w:val="left"/>
        <w:textAlignment w:val="auto"/>
        <w:outlineLvl w:val="9"/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隨著數位化服務的普及，顧客服務流程逐漸朝向自動化和智能化發展。傳統的甜點訂購流程往往耗時且易受人工操作影響，導致訂單處理效率低下，進而影響顧客體驗。本研究旨在設計一款甜點訂購自動回覆機器人，期望透過自動化系統簡化顧客服務流程，增強用戶體驗。機器人可以根據顧客的需求快速提供甜點選項、價格資訊以及訂購指引，並自動記錄訂單資訊、確認內容與付款方式，實現全流程自動化服務。此外，即時的配送狀態更新功能將確保顧客隨時了解訂單進展，有效提升顧客滿意度。本研究希望透過此智能回覆機器人的應用，縮短訂購流程、提高訂單處理效率，並為企業帶來更優質的客戶服務體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研究目的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80" w:leftChars="400" w:right="0" w:rightChars="0" w:firstLine="480" w:firstLineChars="200"/>
        <w:jc w:val="left"/>
        <w:textAlignment w:val="auto"/>
        <w:outlineLvl w:val="9"/>
        <w:rPr>
          <w:rFonts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現代越來越多人有選擇困難症，因此我們想創作出一款</w:t>
      </w: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訂購甜點的自動回覆機器人，可簡化顧客服務流程。當顧客發送甜點訂購需求時，機器人會根據用戶需求，提供甜點選項、價格資訊、訂購流程等相關回覆。機器人還能自動記錄顧客訂單資訊、確認訂單內容並提示付款方式。為增加用戶體驗，機器人會提供即時的配送狀態更新和聯絡資訊，確保顧客隨時了解訂單進展。此回覆機器人不僅縮短訂購流程，還提高了訂單處理效率及客戶滿意度。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40" w:after="0" w:line="276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Arial" w:hAnsi="Arial" w:eastAsia="新細明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76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Arial" w:hAnsi="Arial" w:eastAsia="新細明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文獻回顧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自動回覆機器人的應用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LINE Bot 技術概述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</w:pPr>
      <w:r>
        <w:rPr>
          <w:rFonts w:hint="eastAsia" w:ascii="Arial" w:hAnsi="Arial" w:eastAsia="新細明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甜點訂單處理系統相關研究</w:t>
      </w:r>
    </w:p>
    <w:p>
      <w:pP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="Arial" w:hAnsi="Arial" w:eastAsia="新細明體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研究方法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研究設計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80" w:leftChars="400" w:right="0" w:rightChars="0" w:firstLine="440" w:firstLineChars="20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在本研究中，我們將使用 LINE Bot 作為開發平台，設計並實作一個甜點訂單自動回覆機器人，以簡化訂購流程並提升顧客服務效率。研究設計主要包括系統需求分析、功能開發、測試及優化等過程。首先，透過需求分析確定機器人的核心功能，如提供甜點選項、價格資訊、訂購流程指引、自動記錄訂單資訊、訂單確認及付款提醒等功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880" w:leftChars="400" w:right="0" w:rightChars="0" w:firstLine="440" w:firstLineChars="200"/>
        <w:jc w:val="left"/>
        <w:textAlignment w:val="auto"/>
        <w:outlineLvl w:val="9"/>
        <w:rPr>
          <w:rFonts w:hint="eastAsia"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在開發過程中，透過 LINE Messaging API 設計出可自動回覆的互動功能，讓顧客能夠發送甜點訂購需求後，即時獲得訂購選項和價格資訊。機器人會利用後端資料庫管理顧客的訂單資訊，自動確認訂單內容並提供付款方式說明，並於訂單確認後，提供即時的配送狀態更新。為提高系統的可用性與穩定性，開發過程中將進行多輪測試，並根據使用者回饋進行優化，最終實現能即時應對顧客需求的自動回覆機器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新細明體"/>
          <w:lang w:eastAsia="zh-TW"/>
        </w:rPr>
        <w:t>訂單流程設計</w:t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rPr>
          <w:rFonts w:ascii="Arial" w:hAnsi="Arial" w:eastAsia="新細明體"/>
          <w:color w:val="000000" w:themeColor="text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研究</w:t>
      </w:r>
      <w:r>
        <w:rPr>
          <w:rFonts w:hint="eastAsia" w:ascii="Arial" w:hAnsi="Arial" w:eastAsia="新細明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過程</w:t>
      </w:r>
    </w:p>
    <w:tbl>
      <w:tblPr>
        <w:tblStyle w:val="3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97"/>
        <w:gridCol w:w="5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97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jc w:val="center"/>
              <w:textAlignment w:val="auto"/>
              <w:outlineLvl w:val="0"/>
              <w:rPr>
                <w:rFonts w:hint="eastAsia" w:ascii="Arial" w:hAnsi="Arial" w:eastAsia="新細明體"/>
                <w:color w:val="000000" w:themeColor="text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9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textAlignment w:val="auto"/>
              <w:outlineLvl w:val="0"/>
              <w:rPr>
                <w:rFonts w:ascii="Arial" w:hAnsi="Arial" w:eastAsia="新細明體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3632835" cy="1229995"/>
                  <wp:effectExtent l="0" t="0" r="9525" b="4445"/>
                  <wp:docPr id="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122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97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textAlignment w:val="auto"/>
              <w:outlineLvl w:val="0"/>
              <w:rPr>
                <w:rFonts w:ascii="Arial" w:hAnsi="Arial" w:eastAsia="新細明體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9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textAlignment w:val="auto"/>
              <w:outlineLvl w:val="0"/>
              <w:rPr>
                <w:rFonts w:ascii="Arial" w:hAnsi="Arial" w:eastAsia="新細明體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3636645" cy="1864360"/>
                  <wp:effectExtent l="0" t="0" r="5715" b="10160"/>
                  <wp:docPr id="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645" cy="186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97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textAlignment w:val="auto"/>
              <w:outlineLvl w:val="0"/>
              <w:rPr>
                <w:rFonts w:ascii="Arial" w:hAnsi="Arial" w:eastAsia="新細明體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9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textAlignment w:val="auto"/>
              <w:outlineLvl w:val="0"/>
              <w:rPr>
                <w:rFonts w:ascii="Arial" w:hAnsi="Arial" w:eastAsia="新細明體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3640455" cy="1861820"/>
                  <wp:effectExtent l="0" t="0" r="1905" b="1270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455" cy="186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97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textAlignment w:val="auto"/>
              <w:outlineLvl w:val="0"/>
              <w:rPr>
                <w:rFonts w:ascii="Arial" w:hAnsi="Arial" w:eastAsia="新細明體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9" w:type="dxa"/>
          </w:tcPr>
          <w:p>
            <w:pPr>
              <w:pStyle w:val="2"/>
              <w:keepNext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after="0" w:line="276" w:lineRule="auto"/>
              <w:ind w:left="0" w:leftChars="0" w:right="0" w:rightChars="0" w:firstLine="0" w:firstLineChars="0"/>
              <w:jc w:val="left"/>
              <w:textAlignment w:val="auto"/>
              <w:outlineLvl w:val="0"/>
              <w:rPr>
                <w:rFonts w:ascii="Arial" w:hAnsi="Arial" w:eastAsia="新細明體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3383915" cy="2430145"/>
                  <wp:effectExtent l="0" t="0" r="14605" b="8255"/>
                  <wp:docPr id="6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915" cy="243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使用圖表、統計數據等方式呈現結果</w:t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結果分析與重點說明</w:t>
      </w:r>
    </w:p>
    <w:p>
      <w:pPr>
        <w:pStyle w:val="2"/>
        <w:rPr>
          <w:rFonts w:hint="eastAsia" w:ascii="Arial" w:hAnsi="Arial" w:eastAsia="新細明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新細明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研究結果與分析</w:t>
      </w:r>
    </w:p>
    <w:p>
      <w:pP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對研究結果的深入分析</w:t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結果與假設或理論的比較</w:t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結果的意涵與限制</w:t>
      </w:r>
    </w:p>
    <w:p>
      <w:pPr>
        <w:pStyle w:val="2"/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結論</w:t>
      </w:r>
      <w:r>
        <w:rPr>
          <w:rFonts w:hint="eastAsia" w:ascii="Arial" w:hAnsi="Arial" w:eastAsia="新細明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與建議</w:t>
      </w:r>
    </w:p>
    <w:p>
      <w:pP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研究總結</w:t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對未來研究的建議</w:t>
      </w:r>
    </w:p>
    <w:p>
      <w:pPr>
        <w:pStyle w:val="2"/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參考文獻</w:t>
      </w:r>
    </w:p>
    <w:p>
      <w:pP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列出引用過的所有文獻</w:t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按指定的格式排列（如APA、MLA等格式）</w:t>
      </w:r>
    </w:p>
    <w:p>
      <w:pPr>
        <w:pStyle w:val="2"/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附錄</w:t>
      </w:r>
    </w:p>
    <w:p>
      <w:pP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新細明體"/>
          <w:color w:val="000000" w:themeColor="text1"/>
          <w14:textFill>
            <w14:solidFill>
              <w14:schemeClr w14:val="tx1"/>
            </w14:solidFill>
          </w14:textFill>
        </w:rPr>
        <w:t>補充說明或額外資料（如問卷、訪談內容、計算過程等）</w:t>
      </w:r>
    </w:p>
    <w:sectPr>
      <w:pgSz w:w="12240" w:h="15840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Kaiti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Caiyun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tabs>
        <w:tab w:val="center" w:pos="4320"/>
        <w:tab w:val="clear" w:pos="4680"/>
      </w:tabs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</w:pP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sZv+YGQIAABY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新細明體"/>
                        <w:sz w:val="18"/>
                        <w:lang w:eastAsia="zh-TW"/>
                      </w:rPr>
                    </w:pP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fldChar w:fldCharType="begin"/>
                    </w: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新細明體"/>
        <w:lang w:eastAsia="zh-TW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4AB"/>
    <w:rsid w:val="00B47730"/>
    <w:rsid w:val="00CB0664"/>
    <w:rsid w:val="00FC693F"/>
    <w:rsid w:val="063028CF"/>
    <w:rsid w:val="08F711C7"/>
    <w:rsid w:val="12B13243"/>
    <w:rsid w:val="157D778F"/>
    <w:rsid w:val="1BA93F56"/>
    <w:rsid w:val="27EE1B1C"/>
    <w:rsid w:val="64795599"/>
    <w:rsid w:val="72696E6D"/>
    <w:rsid w:val="78D55F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2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3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6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7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Bullet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3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4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6">
    <w:name w:val="Body Text"/>
    <w:basedOn w:val="1"/>
    <w:link w:val="144"/>
    <w:unhideWhenUsed/>
    <w:qFormat/>
    <w:uiPriority w:val="99"/>
    <w:pPr>
      <w:spacing w:after="120"/>
    </w:pPr>
  </w:style>
  <w:style w:type="paragraph" w:styleId="2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2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1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3"/>
    <w:uiPriority w:val="99"/>
  </w:style>
  <w:style w:type="character" w:customStyle="1" w:styleId="136">
    <w:name w:val="Footer Char"/>
    <w:basedOn w:val="32"/>
    <w:link w:val="28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2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26"/>
    <w:uiPriority w:val="99"/>
  </w:style>
  <w:style w:type="character" w:customStyle="1" w:styleId="145">
    <w:name w:val="Body Text 2 Char"/>
    <w:basedOn w:val="32"/>
    <w:link w:val="17"/>
    <w:uiPriority w:val="99"/>
  </w:style>
  <w:style w:type="character" w:customStyle="1" w:styleId="146">
    <w:name w:val="Body Text 3 Char"/>
    <w:basedOn w:val="32"/>
    <w:link w:val="27"/>
    <w:uiPriority w:val="99"/>
    <w:rPr>
      <w:sz w:val="16"/>
      <w:szCs w:val="16"/>
    </w:rPr>
  </w:style>
  <w:style w:type="character" w:customStyle="1" w:styleId="147">
    <w:name w:val="Macro Text Char"/>
    <w:basedOn w:val="32"/>
    <w:link w:val="16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2024-10-29T11:21:00Z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