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83642"/>
          <w:sz w:val="36"/>
        </w:rPr>
        <w:t>NovaAlloc 本地 Streamlit App 界面说明</w:t>
      </w:r>
    </w:p>
    <w:p>
      <w:pPr>
        <w:jc w:val="center"/>
      </w:pPr>
      <w:r>
        <w:rPr>
          <w:rFonts w:ascii="Microsoft YaHei" w:hAnsi="Microsoft YaHei" w:eastAsia="Microsoft YaHei"/>
          <w:color w:val="657176"/>
          <w:sz w:val="20"/>
        </w:rPr>
        <w:t>用于快速理解 ProjectB app 的页面、数据来源和报告图表审计区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核心结论：</w:t>
      </w:r>
      <w:r>
        <w:rPr>
          <w:rFonts w:ascii="Microsoft YaHei" w:hAnsi="Microsoft YaHei" w:eastAsia="Microsoft YaHei"/>
          <w:sz w:val="21"/>
        </w:rPr>
        <w:t>这个本地 app 是 NovaAlloc 的产品展示入口。主导航现在只保留真正的用户分析流程：Overview、Funds、Allocation、Sentiment、Fusion、Data Health。报告图片文件不再单独作为主页面展示，而是放在 Data Health 的折叠审计区。</w:t>
      </w:r>
    </w:p>
    <w:p>
      <w:pPr>
        <w:pStyle w:val="Heading1"/>
      </w:pPr>
      <w:r>
        <w:t>1. 本地网址是什么意思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本地查看地址通常是 http://127.0.0.1:8501 或 http://localhost:8501。它只在你的电脑上有效，前提是 Streamlit 服务正在运行。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启动命令：在 ProjectB 根目录运行 streamlit run streamlit_app.py。如果 8501 被占用，可以换端口，例如 --server.port 8507。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提交课程时，本地网址不能代替正式线上链接。最终一般需要 Streamlit Community Cloud 的公开 URL，以及老师可访问的 GitHub repo。</w:t>
      </w:r>
    </w:p>
    <w:p>
      <w:pPr>
        <w:pStyle w:val="Heading1"/>
      </w:pPr>
      <w:r>
        <w:t>2. App 的运行原则</w:t>
      </w:r>
    </w:p>
    <w:p>
      <w:pPr>
        <w:pStyle w:val="ListBullet"/>
      </w:pPr>
      <w:r>
        <w:t>读取 canonical 未编号文件：app 使用 results/data 和 results/tables 下的稳定文件名，例如 fund_returns.csv、performance_metrics.csv、sector_sentiment_index.csv。</w:t>
      </w:r>
    </w:p>
    <w:p>
      <w:pPr>
        <w:pStyle w:val="ListBullet"/>
      </w:pPr>
      <w:r>
        <w:t>编号文件只帮助理解：01_、02_、03_、04_、05_ 文件主要用于人工管理和阶段追踪，不是 app 的核心读取路径。</w:t>
      </w:r>
    </w:p>
    <w:p>
      <w:pPr>
        <w:pStyle w:val="ListBullet"/>
      </w:pPr>
      <w:r>
        <w:t>不重算模型：portfolio optimisation、sentiment scoring、fusion test 都在 scripts/run_part_b.py 中提前完成。</w:t>
      </w:r>
    </w:p>
    <w:p>
      <w:pPr>
        <w:pStyle w:val="ListBullet"/>
      </w:pPr>
      <w:r>
        <w:t>报告图片只做审计：results/figures/Redesign 中的 PNG/PDF 用于 Word report 和可复现性检查，不是 app 的主要业务功能。</w:t>
      </w:r>
    </w:p>
    <w:p>
      <w:pPr>
        <w:pStyle w:val="Heading1"/>
      </w:pPr>
      <w:r>
        <w:t>3. 左侧导航每个页面的作用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24536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498"/>
            <w:vAlign w:val="center"/>
            <w:shd w:fill="24536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主要作用</w:t>
            </w:r>
          </w:p>
        </w:tc>
        <w:tc>
          <w:tcPr>
            <w:tcW w:type="dxa" w:w="2498"/>
            <w:vAlign w:val="center"/>
            <w:shd w:fill="24536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读取/使用的文件</w:t>
            </w:r>
          </w:p>
        </w:tc>
        <w:tc>
          <w:tcPr>
            <w:tcW w:type="dxa" w:w="2498"/>
            <w:vAlign w:val="center"/>
            <w:shd w:fill="24536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你应该重点看什么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Overview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提供产品总览和关键绩效指标。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performance_metrics.csv、fund_returns.csv、sector_sentiment_index.csv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先看最佳 Sharpe、最佳增长、OOS 测试窗口、top funds 的增长路径和风险收益关系。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Funds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比较 12 个 systematic funds，并查看单个 fund fact sheet。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performance_metrics.csv、fund_returns.csv、latest_holdings.csv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 universe/method，比较 return、volatility、Sharpe、drawdown 和 holdings。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Allocation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用已经生成的 fund returns 做假设组合配置。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fund_returns.csv、performance_metrics.csv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调整选择的 funds 和权重，观察组合价值、Sharpe 和最大回撤。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Sentiment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 headline sentiment 转换后的 sector 和 market fear/greed 指标。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sector_sentiment_index.csv、market_fear_greed_index.csv、sector_sentiment_summary.csv、sentiment_coverage_summary.csv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 sector sentiment 的时间变化、coverage 和不同 sector 的相对情绪。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Fusion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比较 base portfolio 和 lagged sentiment tilt。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fusion_fund_returns.csv、fusion_comparison.csv、fusion_diagnostics.csv、fund_returns.csv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重点看 sentiment tilt 是否改善 Sharpe、growth 和 drawdown，以及 lag check 是否为 0。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 Health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 app 读取文件、行数、列数，以及报告图表文件是否完整。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REQUIRED_FILES、OPTIONAL_FILES、results/figures/Redesign/png、results/figures/Redesign/pdf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 required CSV 是否 loaded；如果需要，展开 report figure audit 检查 13 张 PNG 和 13 个 PDF。</w:t>
            </w:r>
          </w:p>
        </w:tc>
      </w:tr>
    </w:tbl>
    <w:p>
      <w:pPr>
        <w:pStyle w:val="Heading1"/>
      </w:pPr>
      <w:r>
        <w:t>4. 为什么不再保留 Report Figures 主页面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Report Figures 原本的作用是检查 Word report 使用的 redesigned PNG/PDF 是否存在，并提供下载。它不是投资者用来分析组合的页面，因此放在主导航中会让用户误以为它是核心功能。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现在更合理的做法是：主导航展示业务逻辑，报告图片检查放到 Data Health 的折叠审计区。这样既保留可复现性，又不干扰 app 的主要叙事。</w:t>
      </w:r>
    </w:p>
    <w:p>
      <w:pPr>
        <w:pStyle w:val="Heading1"/>
      </w:pPr>
      <w:r>
        <w:t>5. 常见问题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网页打不开：</w:t>
      </w:r>
      <w:r>
        <w:rPr>
          <w:rFonts w:ascii="Microsoft YaHei" w:hAnsi="Microsoft YaHei" w:eastAsia="Microsoft YaHei"/>
          <w:sz w:val="21"/>
        </w:rPr>
        <w:t>确认 Streamlit 命令还在运行；如果终端关闭，本地 localhost 会失效。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Overview 日期显示不完整：</w:t>
      </w:r>
      <w:r>
        <w:rPr>
          <w:rFonts w:ascii="Microsoft YaHei" w:hAnsi="Microsoft YaHei" w:eastAsia="Microsoft YaHei"/>
          <w:sz w:val="21"/>
        </w:rPr>
        <w:t>已改为自定义 KPI 卡片，长日期区间会自动换行，不再显示成省略号。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为什么有编号文件和未编号文件：</w:t>
      </w:r>
      <w:r>
        <w:rPr>
          <w:rFonts w:ascii="Microsoft YaHei" w:hAnsi="Microsoft YaHei" w:eastAsia="Microsoft YaHei"/>
          <w:sz w:val="21"/>
        </w:rPr>
        <w:t>未编号文件是 app 和检查脚本读取的 canonical 文件；编号文件是为了人类理解每一步产出。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报告图片在哪里看：</w:t>
      </w:r>
      <w:r>
        <w:rPr>
          <w:rFonts w:ascii="Microsoft YaHei" w:hAnsi="Microsoft YaHei" w:eastAsia="Microsoft YaHei"/>
          <w:sz w:val="21"/>
        </w:rPr>
        <w:t>进入 Data Health，展开 Report figure files - audit only；默认折叠是为了避免干扰主分析页面。</w:t>
      </w:r>
    </w:p>
    <w:p>
      <w:pPr>
        <w:pStyle w:val="Heading1"/>
      </w:pPr>
      <w:r>
        <w:t>6. 下一步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如果你继续修改 report 的文字或图片顺序，需要回到 Data Health 检查报告图表文件是否仍然完整。最终提交前，还要确认 report PDF、线上 Streamlit URL 和 GitHub repo URL。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64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3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