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83642"/>
          <w:sz w:val="34"/>
        </w:rPr>
        <w:t>Number_figures 快速理解指南</w:t>
      </w:r>
    </w:p>
    <w:p>
      <w:pPr>
        <w:jc w:val="center"/>
      </w:pPr>
      <w:r>
        <w:rPr>
          <w:rFonts w:ascii="Calibri" w:hAnsi="Calibri" w:eastAsia="Microsoft YaHei"/>
          <w:b w:val="0"/>
          <w:color w:val="56636A"/>
          <w:sz w:val="21"/>
        </w:rPr>
        <w:t>根据当前 results/figures/Number_figures 更新；覆盖 00-05 阶段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B"/>
          </w:tcPr>
          <w:p>
            <w:r/>
            <w:r>
              <w:rPr>
                <w:rFonts w:ascii="Calibri" w:hAnsi="Calibri" w:eastAsia="Microsoft YaHei"/>
                <w:b/>
                <w:color w:val="1F4E79"/>
                <w:sz w:val="20"/>
              </w:rPr>
              <w:t>核心规则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8"/>
              </w:rPr>
              <w:t>Number_figures 中的编号 PNG 是 report/app 理解用的阶段副本；除 00 Word guide 外，每张编号图都应对应外层无编号 canonical 图。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1. 阶段怎么读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792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文件数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用途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Output guides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说明文档。帮助快速理解本 Number 文件夹当前文件。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Portfolios and OOS backtest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Funds、OOS backtest、fact sheet 输入。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Sentiment and fusion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Sentiment index 和 fusion 输出。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consumption layer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App 阶段读取关系和页面映射。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Report and submission support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Report/submission 阶段使用关系和完整性审计。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2. Number_figures 文件总览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66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文件</w:t>
            </w:r>
          </w:p>
        </w:tc>
        <w:tc>
          <w:tcPr>
            <w:tcW w:type="dxa" w:w="64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阶段</w:t>
            </w:r>
          </w:p>
        </w:tc>
        <w:tc>
          <w:tcPr>
            <w:tcW w:type="dxa" w:w="2664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外层对应文件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尺寸/类型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用途</w:t>
            </w:r>
          </w:p>
        </w:tc>
        <w:tc>
          <w:tcPr>
            <w:tcW w:type="dxa" w:w="1080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3"/>
              </w:rPr>
              <w:t>一致性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00_figures_output_guide.docx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无；00 是说明文档本身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Word guide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阶段辅助文件。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00 guide，不需要对应外层文件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02_combined_fund_drawdowns.png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combined_fund_drawdowns.png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1871 x 1057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展示 combined funds 的 drawdown path。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02_combined_risk_parity_weights.png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combined_risk_parity_weights.png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1956 x 1093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展示 combined risk parity fund 的权重变化。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02_fund_growth_of_1.png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fund_growth_of_1.png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2050 x 1237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比较各 fund 的 out-of-sample growth of $1。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02_fund_risk_return_scatter.png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fund_risk_return_scatter.png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1557 x 1129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风险-收益散点图，用于比较 fund trade-off。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02_fund_sharpe_barplot.png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02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fund_sharpe_barplot.png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1871 x 1237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按 fund 和 method 比较 Sharpe ratio。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03_fusion_drawdown_comparison.png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fusion_drawdown_comparison.png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1817 x 1021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Base fund vs Sentiment Tilt 的 drawdown 对比。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03_fusion_growth_comparison.png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fusion_growth_comparison.png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1816 x 1021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Base fund vs Sentiment Tilt 的 growth 对比。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03_market_fear_greed_index.png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market_fear_greed_index.png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1924 x 1021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market-level news fear/greed index 图。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03_sector_sentiment_index.png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sector_sentiment_index.png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2051 x 1237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 fear/greed index 的时间序列图。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03_sector_sentiment_ranking.png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sector_sentiment_ranking.png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1636 x 1093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sector sentiment 排名图。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04_app_page_data_map.png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04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app_page_data_map.png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2354 x 1342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展示 Streamlit app 页面如何读取 precomputed results。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05_report_combined_asset_class_weights.png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report_combined_asset_class_weights.png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1778 x 1361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报告用 combined fund equity/crypto weight-over-time 图。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05_report_projectb_workflow_data_flow.png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05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report_projectb_workflow_data_flow.png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2942 x 1737 px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报告用 workflow/data linkage 流程图。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3"/>
              </w:rPr>
              <w:t>一致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1F4E79"/>
          <w:sz w:val="26"/>
        </w:rPr>
        <w:t>3. 图表预览</w:t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02_combined_fund_drawdowns.png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展示 combined funds 的 drawdown path。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6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bined_fund_drawdow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02_combined_risk_parity_weights.png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展示 combined risk parity fund 的权重变化。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63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bined_risk_parity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3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02_fund_growth_of_1.png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比较各 fund 的 out-of-sample growth of $1。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00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d_growth_of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02_fund_risk_return_scatter.png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风险-收益散点图，用于比较 fund trade-off。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45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d_risk_return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4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02_fund_sharpe_barplot.png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按 fund 和 method 比较 Sharpe ratio。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63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d_sharpe_bar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6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03_fusion_drawdown_comparison.png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Base fund vs Sentiment Tilt 的 drawdown 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01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sion_drawdow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0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03_fusion_growth_comparison.png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Base fund vs Sentiment Tilt 的 growth 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usion_growth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03_market_fear_greed_index.png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market-level news fear/greed index 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4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rket_fear_greed_inde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03_sector_sentiment_index.png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sector fear/greed index 的时间序列图。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986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tor_sentiment_ind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03_sector_sentiment_ranking.png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sector sentiment 排名图。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432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tor_sentiment_ran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43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04_app_page_data_map.png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展示 Streamlit app 页面如何读取 precomputed results。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35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p_page_data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05_report_combined_asset_class_weights.png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报告用 combined fund equity/crypto weight-over-time 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596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_combined_asset_class_weigh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b/>
          <w:color w:val="1F4E79"/>
          <w:sz w:val="22"/>
        </w:rPr>
        <w:t>05_report_projectb_workflow_data_flow.png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sz w:val="18"/>
        </w:rPr>
        <w:t>报告用 workflow/data linkage 流程图。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12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_projectb_workflow_data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12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