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83642"/>
          <w:sz w:val="34"/>
        </w:rPr>
        <w:t>Number_tables 快速理解指南</w:t>
      </w:r>
    </w:p>
    <w:p>
      <w:pPr>
        <w:jc w:val="center"/>
      </w:pPr>
      <w:r>
        <w:rPr>
          <w:rFonts w:ascii="Calibri" w:hAnsi="Calibri" w:eastAsia="Microsoft YaHei"/>
          <w:b w:val="0"/>
          <w:color w:val="56636A"/>
          <w:sz w:val="21"/>
        </w:rPr>
        <w:t>根据当前 results/tables/Number_tables 更新；覆盖 00-05 阶段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B"/>
          </w:tcPr>
          <w:p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核心规则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除 00 说明文档外，Number_tables 中每个编号 CSV 都应有外层无编号 canonical 文件。最新审计表本身也保存在这里，方便复查。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1F4E79"/>
          <w:sz w:val="26"/>
        </w:rPr>
        <w:t>1. 阶段怎么读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792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文件数</w:t>
            </w:r>
          </w:p>
        </w:tc>
        <w:tc>
          <w:tcPr>
            <w:tcW w:type="dxa" w:w="6624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用途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00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Output guides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说明文档。帮助快速理解本 Number 文件夹当前文件。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02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Portfolios and OOS backtest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Funds、OOS backtest、fact sheet 输入。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03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Sentiment and fusion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5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Sentiment index 和 fusion 输出。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04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App consumption layer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App 阶段读取关系和页面映射。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05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Report and submission support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Report/submission 阶段使用关系和完整性审计。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1F4E79"/>
          <w:sz w:val="26"/>
        </w:rPr>
        <w:t>2. Number_tables 文件总览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2664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3"/>
              </w:rPr>
              <w:t>文件</w:t>
            </w:r>
          </w:p>
        </w:tc>
        <w:tc>
          <w:tcPr>
            <w:tcW w:type="dxa" w:w="648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3"/>
              </w:rPr>
              <w:t>阶段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3"/>
              </w:rPr>
              <w:t>外层对应文件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3"/>
              </w:rPr>
              <w:t>规模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3"/>
              </w:rPr>
              <w:t>用途</w:t>
            </w:r>
          </w:p>
        </w:tc>
        <w:tc>
          <w:tcPr>
            <w:tcW w:type="dxa" w:w="108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3"/>
              </w:rPr>
              <w:t>一致性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00_tables_output_guide.docx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无；00 是说明文档本身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Word guide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阶段辅助文件。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00 guide，不需要对应外层文件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02_latest_holdings.csv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02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latest_holdings.csv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281 rows / 9 cols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每个 fund 最新 rebalance 的 holdings，用于 fact sheet。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02_performance_metrics.csv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02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performance_metrics.csv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12 rows / 19 cols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12 个 funds 的核心 performance metrics，是 report 和 app 的主表。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03_fusion_comparison.csv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fusion_comparison.csv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2 rows / 13 cols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Base fund 和 Sentiment Tilt 的 before-vs-after 对比表。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03_fusion_diagnostics.csv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fusion_diagnostics.csv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 rows / 7 cols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fusion 的 lag violation、weight change 等诊断。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03_fusion_metrics.csv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fusion_metrics.csv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 rows / 19 cols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sentiment tilt fund 的补充 performance metrics。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03_sector_sentiment_summary.csv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sector_sentiment_summary.csv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10 rows / 7 cols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按 sector 汇总的平均 sentiment、覆盖率和 headlines 数量。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03_sentiment_coverage_summary.csv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sentiment_coverage_summary.csv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10 rows / 8 cols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按 sector 检查新闻覆盖和 neutral headline share。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04_app_table_manifest.csv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04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app_table_manifest.csv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6 rows / 8 cols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记录 Streamlit app 在 tables 层读取哪些 canonical 文件。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05_numbered_file_integrity_audit.csv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numbered_file_integrity_audit.csv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35 rows / 9 cols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编号文件和外层 canonical 文件的一致性审计副本。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外层存在，未在审计表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05_report_table_manifest.csv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report_table_manifest.csv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5 rows / 7 cols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记录 report 写作使用哪些 table 文件和用途。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1F4E79"/>
          <w:sz w:val="26"/>
        </w:rPr>
        <w:t>3. 重点怎么看</w:t>
      </w:r>
    </w:p>
    <w:p>
      <w:pPr>
        <w:spacing w:after="80" w:line="259" w:lineRule="auto"/>
      </w:pPr>
      <w:r>
        <w:rPr>
          <w:rFonts w:ascii="Calibri" w:hAnsi="Calibri" w:eastAsia="Microsoft YaHei"/>
          <w:b w:val="0"/>
          <w:sz w:val="20"/>
        </w:rPr>
        <w:t>02_performance_metrics.csv 是 funds 结果的核心评分表；02_latest_holdings.csv 支持 fund fact sheet。</w:t>
      </w:r>
    </w:p>
    <w:p>
      <w:pPr>
        <w:spacing w:after="80" w:line="259" w:lineRule="auto"/>
      </w:pPr>
      <w:r>
        <w:rPr>
          <w:rFonts w:ascii="Calibri" w:hAnsi="Calibri" w:eastAsia="Microsoft YaHei"/>
          <w:b w:val="0"/>
          <w:sz w:val="20"/>
        </w:rPr>
        <w:t>03_fusion_comparison.csv 和 03_fusion_diagnostics.csv 用来解释 sentiment tilt 为什么没有提高 Sharpe，以及是否存在 look-ahead 风险。</w:t>
      </w:r>
    </w:p>
    <w:p>
      <w:pPr>
        <w:spacing w:after="80" w:line="259" w:lineRule="auto"/>
      </w:pPr>
      <w:r>
        <w:rPr>
          <w:rFonts w:ascii="Calibri" w:hAnsi="Calibri" w:eastAsia="Microsoft YaHei"/>
          <w:b w:val="0"/>
          <w:sz w:val="20"/>
        </w:rPr>
        <w:t>05_numbered_file_integrity_audit.csv 是当前编号文件与外层 canonical 文件一致性的审计副本；外层 canonical 版本是 results/tables/numbered_file_integrity_audit.csv。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