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262" w:rsidRPr="00EE210D" w:rsidRDefault="00151262" w:rsidP="003925C2">
      <w:pPr>
        <w:spacing w:line="360" w:lineRule="auto"/>
        <w:rPr>
          <w:szCs w:val="21"/>
        </w:rPr>
      </w:pPr>
      <w:r w:rsidRPr="00EE210D">
        <w:rPr>
          <w:rFonts w:hAnsi="宋体" w:hint="eastAsia"/>
          <w:szCs w:val="21"/>
        </w:rPr>
        <w:t>工业生产中常将两种金属在同一容器中加热使其熔化，冷凝后得到具有金属特性的熔融物</w:t>
      </w:r>
      <w:r w:rsidRPr="00EE210D">
        <w:rPr>
          <w:rFonts w:hAnsi="宋体"/>
          <w:szCs w:val="21"/>
        </w:rPr>
        <w:t>——</w:t>
      </w:r>
      <w:r w:rsidRPr="00EE210D">
        <w:rPr>
          <w:rFonts w:hAnsi="宋体" w:hint="eastAsia"/>
          <w:szCs w:val="21"/>
        </w:rPr>
        <w:t>合金。试根据下表所列金属的熔点和沸点的数据（其他条件均已满足），判断不能制得的合金是</w:t>
      </w:r>
      <w:r>
        <w:rPr>
          <w:rFonts w:hAnsi="宋体" w:hint="eastAsia"/>
        </w:rPr>
        <w:t>（</w:t>
      </w:r>
      <w:r>
        <w:rPr>
          <w:rFonts w:hAnsi="宋体"/>
        </w:rPr>
        <w:t xml:space="preserve">    </w:t>
      </w:r>
      <w:r>
        <w:rPr>
          <w:rFonts w:hAnsi="宋体" w:hint="eastAsia"/>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5"/>
        <w:gridCol w:w="764"/>
        <w:gridCol w:w="764"/>
        <w:gridCol w:w="816"/>
        <w:gridCol w:w="816"/>
        <w:gridCol w:w="816"/>
      </w:tblGrid>
      <w:tr w:rsidR="00151262" w:rsidRPr="00EE210D" w:rsidTr="00EC3406">
        <w:trPr>
          <w:jc w:val="center"/>
        </w:trPr>
        <w:tc>
          <w:tcPr>
            <w:tcW w:w="1085" w:type="dxa"/>
            <w:vAlign w:val="center"/>
          </w:tcPr>
          <w:p w:rsidR="00151262" w:rsidRPr="00EE210D" w:rsidRDefault="00151262" w:rsidP="00EC3406">
            <w:pPr>
              <w:spacing w:line="360" w:lineRule="auto"/>
              <w:jc w:val="center"/>
              <w:rPr>
                <w:szCs w:val="21"/>
              </w:rPr>
            </w:pPr>
            <w:r w:rsidRPr="00EE210D">
              <w:rPr>
                <w:rFonts w:hAnsi="宋体" w:hint="eastAsia"/>
                <w:szCs w:val="21"/>
              </w:rPr>
              <w:t>金属</w:t>
            </w:r>
          </w:p>
        </w:tc>
        <w:tc>
          <w:tcPr>
            <w:tcW w:w="764" w:type="dxa"/>
            <w:vAlign w:val="center"/>
          </w:tcPr>
          <w:p w:rsidR="00151262" w:rsidRPr="00EE210D" w:rsidRDefault="00151262" w:rsidP="00EC3406">
            <w:pPr>
              <w:spacing w:line="360" w:lineRule="auto"/>
              <w:jc w:val="center"/>
              <w:rPr>
                <w:szCs w:val="21"/>
              </w:rPr>
            </w:pPr>
            <w:r w:rsidRPr="00EE210D">
              <w:rPr>
                <w:szCs w:val="21"/>
              </w:rPr>
              <w:t>Na</w:t>
            </w:r>
          </w:p>
        </w:tc>
        <w:tc>
          <w:tcPr>
            <w:tcW w:w="764" w:type="dxa"/>
            <w:vAlign w:val="center"/>
          </w:tcPr>
          <w:p w:rsidR="00151262" w:rsidRPr="00EE210D" w:rsidRDefault="00151262" w:rsidP="00EC3406">
            <w:pPr>
              <w:spacing w:line="360" w:lineRule="auto"/>
              <w:jc w:val="center"/>
              <w:rPr>
                <w:szCs w:val="21"/>
              </w:rPr>
            </w:pPr>
            <w:r w:rsidRPr="00EE210D">
              <w:rPr>
                <w:szCs w:val="21"/>
              </w:rPr>
              <w:t>K</w:t>
            </w:r>
          </w:p>
        </w:tc>
        <w:tc>
          <w:tcPr>
            <w:tcW w:w="816" w:type="dxa"/>
            <w:vAlign w:val="center"/>
          </w:tcPr>
          <w:p w:rsidR="00151262" w:rsidRPr="00EE210D" w:rsidRDefault="00151262" w:rsidP="00EC3406">
            <w:pPr>
              <w:spacing w:line="360" w:lineRule="auto"/>
              <w:jc w:val="center"/>
              <w:rPr>
                <w:szCs w:val="21"/>
              </w:rPr>
            </w:pPr>
            <w:r w:rsidRPr="00EE210D">
              <w:rPr>
                <w:szCs w:val="21"/>
              </w:rPr>
              <w:t>Al</w:t>
            </w:r>
          </w:p>
        </w:tc>
        <w:tc>
          <w:tcPr>
            <w:tcW w:w="816" w:type="dxa"/>
            <w:vAlign w:val="center"/>
          </w:tcPr>
          <w:p w:rsidR="00151262" w:rsidRPr="00EE210D" w:rsidRDefault="00151262" w:rsidP="00EC3406">
            <w:pPr>
              <w:spacing w:line="360" w:lineRule="auto"/>
              <w:jc w:val="center"/>
              <w:rPr>
                <w:szCs w:val="21"/>
              </w:rPr>
            </w:pPr>
            <w:r w:rsidRPr="00EE210D">
              <w:rPr>
                <w:szCs w:val="21"/>
              </w:rPr>
              <w:t>Cu</w:t>
            </w:r>
          </w:p>
        </w:tc>
        <w:tc>
          <w:tcPr>
            <w:tcW w:w="816" w:type="dxa"/>
            <w:vAlign w:val="center"/>
          </w:tcPr>
          <w:p w:rsidR="00151262" w:rsidRPr="00EE210D" w:rsidRDefault="00151262" w:rsidP="00EC3406">
            <w:pPr>
              <w:spacing w:line="360" w:lineRule="auto"/>
              <w:jc w:val="center"/>
              <w:rPr>
                <w:szCs w:val="21"/>
              </w:rPr>
            </w:pPr>
            <w:r w:rsidRPr="00EE210D">
              <w:rPr>
                <w:szCs w:val="21"/>
              </w:rPr>
              <w:t>Fe</w:t>
            </w:r>
          </w:p>
        </w:tc>
      </w:tr>
      <w:tr w:rsidR="00151262" w:rsidRPr="00EE210D" w:rsidTr="00EC3406">
        <w:trPr>
          <w:jc w:val="center"/>
        </w:trPr>
        <w:tc>
          <w:tcPr>
            <w:tcW w:w="1085" w:type="dxa"/>
            <w:vAlign w:val="center"/>
          </w:tcPr>
          <w:p w:rsidR="00151262" w:rsidRPr="00EE210D" w:rsidRDefault="00151262" w:rsidP="00EC3406">
            <w:pPr>
              <w:spacing w:line="360" w:lineRule="auto"/>
              <w:jc w:val="center"/>
              <w:rPr>
                <w:szCs w:val="21"/>
              </w:rPr>
            </w:pPr>
            <w:r w:rsidRPr="00EE210D">
              <w:rPr>
                <w:rFonts w:hAnsi="宋体" w:hint="eastAsia"/>
                <w:szCs w:val="21"/>
              </w:rPr>
              <w:t>熔点</w:t>
            </w:r>
            <w:r w:rsidRPr="00EE210D">
              <w:rPr>
                <w:szCs w:val="21"/>
              </w:rPr>
              <w:t>/</w:t>
            </w:r>
            <w:r w:rsidRPr="00EE210D">
              <w:rPr>
                <w:rFonts w:hAnsi="宋体" w:hint="eastAsia"/>
                <w:szCs w:val="21"/>
              </w:rPr>
              <w:t>℃</w:t>
            </w:r>
          </w:p>
        </w:tc>
        <w:tc>
          <w:tcPr>
            <w:tcW w:w="764" w:type="dxa"/>
            <w:vAlign w:val="center"/>
          </w:tcPr>
          <w:p w:rsidR="00151262" w:rsidRPr="00EE210D" w:rsidRDefault="00151262" w:rsidP="00EC3406">
            <w:pPr>
              <w:spacing w:line="360" w:lineRule="auto"/>
              <w:jc w:val="center"/>
              <w:rPr>
                <w:szCs w:val="21"/>
              </w:rPr>
            </w:pPr>
            <w:r w:rsidRPr="00EE210D">
              <w:rPr>
                <w:szCs w:val="21"/>
              </w:rPr>
              <w:t>97.8</w:t>
            </w:r>
          </w:p>
        </w:tc>
        <w:tc>
          <w:tcPr>
            <w:tcW w:w="764" w:type="dxa"/>
            <w:vAlign w:val="center"/>
          </w:tcPr>
          <w:p w:rsidR="00151262" w:rsidRPr="00EE210D" w:rsidRDefault="00151262" w:rsidP="00EC3406">
            <w:pPr>
              <w:spacing w:line="360" w:lineRule="auto"/>
              <w:jc w:val="center"/>
              <w:rPr>
                <w:szCs w:val="21"/>
              </w:rPr>
            </w:pPr>
            <w:r w:rsidRPr="00EE210D">
              <w:rPr>
                <w:szCs w:val="21"/>
              </w:rPr>
              <w:t>63.6</w:t>
            </w:r>
          </w:p>
        </w:tc>
        <w:tc>
          <w:tcPr>
            <w:tcW w:w="816" w:type="dxa"/>
            <w:vAlign w:val="center"/>
          </w:tcPr>
          <w:p w:rsidR="00151262" w:rsidRPr="00EE210D" w:rsidRDefault="00151262" w:rsidP="00EC3406">
            <w:pPr>
              <w:spacing w:line="360" w:lineRule="auto"/>
              <w:jc w:val="center"/>
              <w:rPr>
                <w:szCs w:val="21"/>
              </w:rPr>
            </w:pPr>
            <w:r w:rsidRPr="00EE210D">
              <w:rPr>
                <w:szCs w:val="21"/>
              </w:rPr>
              <w:t>660</w:t>
            </w:r>
          </w:p>
        </w:tc>
        <w:tc>
          <w:tcPr>
            <w:tcW w:w="816" w:type="dxa"/>
            <w:vAlign w:val="center"/>
          </w:tcPr>
          <w:p w:rsidR="00151262" w:rsidRPr="00EE210D" w:rsidRDefault="00151262" w:rsidP="00EC3406">
            <w:pPr>
              <w:spacing w:line="360" w:lineRule="auto"/>
              <w:jc w:val="center"/>
              <w:rPr>
                <w:szCs w:val="21"/>
              </w:rPr>
            </w:pPr>
            <w:r w:rsidRPr="00EE210D">
              <w:rPr>
                <w:szCs w:val="21"/>
              </w:rPr>
              <w:t>1083</w:t>
            </w:r>
          </w:p>
        </w:tc>
        <w:tc>
          <w:tcPr>
            <w:tcW w:w="816" w:type="dxa"/>
            <w:vAlign w:val="center"/>
          </w:tcPr>
          <w:p w:rsidR="00151262" w:rsidRPr="00EE210D" w:rsidRDefault="00151262" w:rsidP="00EC3406">
            <w:pPr>
              <w:spacing w:line="360" w:lineRule="auto"/>
              <w:jc w:val="center"/>
              <w:rPr>
                <w:szCs w:val="21"/>
              </w:rPr>
            </w:pPr>
            <w:r w:rsidRPr="00EE210D">
              <w:rPr>
                <w:szCs w:val="21"/>
              </w:rPr>
              <w:t>1535</w:t>
            </w:r>
          </w:p>
        </w:tc>
      </w:tr>
      <w:tr w:rsidR="00151262" w:rsidRPr="00EE210D" w:rsidTr="00EC3406">
        <w:trPr>
          <w:jc w:val="center"/>
        </w:trPr>
        <w:tc>
          <w:tcPr>
            <w:tcW w:w="1085" w:type="dxa"/>
            <w:vAlign w:val="center"/>
          </w:tcPr>
          <w:p w:rsidR="00151262" w:rsidRPr="00EE210D" w:rsidRDefault="00151262" w:rsidP="00EC3406">
            <w:pPr>
              <w:spacing w:line="360" w:lineRule="auto"/>
              <w:jc w:val="center"/>
              <w:rPr>
                <w:szCs w:val="21"/>
              </w:rPr>
            </w:pPr>
            <w:r w:rsidRPr="00EE210D">
              <w:rPr>
                <w:rFonts w:hAnsi="宋体" w:hint="eastAsia"/>
                <w:szCs w:val="21"/>
              </w:rPr>
              <w:t>沸点</w:t>
            </w:r>
            <w:r w:rsidRPr="00EE210D">
              <w:rPr>
                <w:szCs w:val="21"/>
              </w:rPr>
              <w:t>/</w:t>
            </w:r>
            <w:r w:rsidRPr="00EE210D">
              <w:rPr>
                <w:rFonts w:hAnsi="宋体" w:hint="eastAsia"/>
                <w:szCs w:val="21"/>
              </w:rPr>
              <w:t>℃</w:t>
            </w:r>
          </w:p>
        </w:tc>
        <w:tc>
          <w:tcPr>
            <w:tcW w:w="764" w:type="dxa"/>
            <w:vAlign w:val="center"/>
          </w:tcPr>
          <w:p w:rsidR="00151262" w:rsidRPr="00EE210D" w:rsidRDefault="00151262" w:rsidP="00EC3406">
            <w:pPr>
              <w:spacing w:line="360" w:lineRule="auto"/>
              <w:jc w:val="center"/>
              <w:rPr>
                <w:szCs w:val="21"/>
              </w:rPr>
            </w:pPr>
            <w:r w:rsidRPr="00EE210D">
              <w:rPr>
                <w:szCs w:val="21"/>
              </w:rPr>
              <w:t>883</w:t>
            </w:r>
          </w:p>
        </w:tc>
        <w:tc>
          <w:tcPr>
            <w:tcW w:w="764" w:type="dxa"/>
            <w:vAlign w:val="center"/>
          </w:tcPr>
          <w:p w:rsidR="00151262" w:rsidRPr="00EE210D" w:rsidRDefault="00151262" w:rsidP="00EC3406">
            <w:pPr>
              <w:spacing w:line="360" w:lineRule="auto"/>
              <w:jc w:val="center"/>
              <w:rPr>
                <w:szCs w:val="21"/>
              </w:rPr>
            </w:pPr>
            <w:r w:rsidRPr="00EE210D">
              <w:rPr>
                <w:szCs w:val="21"/>
              </w:rPr>
              <w:t>774</w:t>
            </w:r>
          </w:p>
        </w:tc>
        <w:tc>
          <w:tcPr>
            <w:tcW w:w="816" w:type="dxa"/>
            <w:vAlign w:val="center"/>
          </w:tcPr>
          <w:p w:rsidR="00151262" w:rsidRPr="00EE210D" w:rsidRDefault="00151262" w:rsidP="00EC3406">
            <w:pPr>
              <w:spacing w:line="360" w:lineRule="auto"/>
              <w:jc w:val="center"/>
              <w:rPr>
                <w:szCs w:val="21"/>
              </w:rPr>
            </w:pPr>
            <w:r w:rsidRPr="00EE210D">
              <w:rPr>
                <w:szCs w:val="21"/>
              </w:rPr>
              <w:t>2200</w:t>
            </w:r>
          </w:p>
        </w:tc>
        <w:tc>
          <w:tcPr>
            <w:tcW w:w="816" w:type="dxa"/>
            <w:vAlign w:val="center"/>
          </w:tcPr>
          <w:p w:rsidR="00151262" w:rsidRPr="00EE210D" w:rsidRDefault="00151262" w:rsidP="00EC3406">
            <w:pPr>
              <w:spacing w:line="360" w:lineRule="auto"/>
              <w:jc w:val="center"/>
              <w:rPr>
                <w:szCs w:val="21"/>
              </w:rPr>
            </w:pPr>
            <w:r w:rsidRPr="00EE210D">
              <w:rPr>
                <w:szCs w:val="21"/>
              </w:rPr>
              <w:t>2595</w:t>
            </w:r>
          </w:p>
        </w:tc>
        <w:tc>
          <w:tcPr>
            <w:tcW w:w="816" w:type="dxa"/>
            <w:vAlign w:val="center"/>
          </w:tcPr>
          <w:p w:rsidR="00151262" w:rsidRPr="00EE210D" w:rsidRDefault="00151262" w:rsidP="00EC3406">
            <w:pPr>
              <w:spacing w:line="360" w:lineRule="auto"/>
              <w:jc w:val="center"/>
              <w:rPr>
                <w:szCs w:val="21"/>
              </w:rPr>
            </w:pPr>
            <w:r w:rsidRPr="00EE210D">
              <w:rPr>
                <w:szCs w:val="21"/>
              </w:rPr>
              <w:t>2750</w:t>
            </w:r>
          </w:p>
        </w:tc>
      </w:tr>
    </w:tbl>
    <w:p w:rsidR="00151262" w:rsidRDefault="00151262" w:rsidP="003925C2">
      <w:pPr>
        <w:spacing w:line="360" w:lineRule="auto"/>
        <w:rPr>
          <w:szCs w:val="21"/>
        </w:rPr>
      </w:pPr>
    </w:p>
    <w:p w:rsidR="00151262" w:rsidRPr="00EE210D" w:rsidRDefault="00151262" w:rsidP="003925C2">
      <w:pPr>
        <w:spacing w:line="360" w:lineRule="auto"/>
        <w:rPr>
          <w:szCs w:val="21"/>
        </w:rPr>
      </w:pPr>
      <w:r w:rsidRPr="00EE210D">
        <w:rPr>
          <w:szCs w:val="21"/>
        </w:rPr>
        <w:t>A</w:t>
      </w:r>
      <w:r w:rsidRPr="00EE210D">
        <w:rPr>
          <w:rFonts w:hAnsi="宋体"/>
          <w:szCs w:val="21"/>
        </w:rPr>
        <w:t xml:space="preserve">. </w:t>
      </w:r>
      <w:r w:rsidRPr="00EE210D">
        <w:rPr>
          <w:szCs w:val="21"/>
        </w:rPr>
        <w:t>K</w:t>
      </w:r>
      <w:r w:rsidRPr="00EE210D">
        <w:rPr>
          <w:rFonts w:hAnsi="宋体" w:hint="eastAsia"/>
          <w:szCs w:val="21"/>
        </w:rPr>
        <w:t>、</w:t>
      </w:r>
      <w:r w:rsidRPr="00EE210D">
        <w:rPr>
          <w:szCs w:val="21"/>
        </w:rPr>
        <w:t>Na</w:t>
      </w:r>
      <w:r w:rsidRPr="00EE210D">
        <w:rPr>
          <w:rFonts w:hAnsi="宋体" w:hint="eastAsia"/>
          <w:szCs w:val="21"/>
        </w:rPr>
        <w:t>合金</w:t>
      </w:r>
      <w:r w:rsidRPr="00EE210D">
        <w:rPr>
          <w:rFonts w:hAnsi="宋体"/>
          <w:szCs w:val="21"/>
        </w:rPr>
        <w:t xml:space="preserve">    </w:t>
      </w:r>
      <w:r w:rsidRPr="00EE210D">
        <w:rPr>
          <w:szCs w:val="21"/>
        </w:rPr>
        <w:t>B</w:t>
      </w:r>
      <w:r w:rsidRPr="00EE210D">
        <w:rPr>
          <w:rFonts w:hAnsi="宋体"/>
          <w:szCs w:val="21"/>
        </w:rPr>
        <w:t xml:space="preserve">. </w:t>
      </w:r>
      <w:r w:rsidRPr="00EE210D">
        <w:rPr>
          <w:szCs w:val="21"/>
        </w:rPr>
        <w:t>K</w:t>
      </w:r>
      <w:r w:rsidRPr="00EE210D">
        <w:rPr>
          <w:rFonts w:hAnsi="宋体" w:hint="eastAsia"/>
          <w:szCs w:val="21"/>
        </w:rPr>
        <w:t>、</w:t>
      </w:r>
      <w:r w:rsidRPr="00EE210D">
        <w:rPr>
          <w:szCs w:val="21"/>
        </w:rPr>
        <w:t>Fe</w:t>
      </w:r>
      <w:r w:rsidRPr="00EE210D">
        <w:rPr>
          <w:rFonts w:hAnsi="宋体" w:hint="eastAsia"/>
          <w:szCs w:val="21"/>
        </w:rPr>
        <w:t>合金</w:t>
      </w:r>
      <w:r w:rsidRPr="00EE210D">
        <w:rPr>
          <w:szCs w:val="21"/>
        </w:rPr>
        <w:t xml:space="preserve">    C</w:t>
      </w:r>
      <w:r w:rsidRPr="00EE210D">
        <w:rPr>
          <w:rFonts w:hAnsi="宋体"/>
          <w:szCs w:val="21"/>
        </w:rPr>
        <w:t xml:space="preserve">. </w:t>
      </w:r>
      <w:r w:rsidRPr="00EE210D">
        <w:rPr>
          <w:szCs w:val="21"/>
        </w:rPr>
        <w:t>Na</w:t>
      </w:r>
      <w:r w:rsidRPr="00EE210D">
        <w:rPr>
          <w:rFonts w:hAnsi="宋体" w:hint="eastAsia"/>
          <w:szCs w:val="21"/>
        </w:rPr>
        <w:t>、</w:t>
      </w:r>
      <w:r w:rsidRPr="00EE210D">
        <w:rPr>
          <w:szCs w:val="21"/>
        </w:rPr>
        <w:t>Al</w:t>
      </w:r>
      <w:r w:rsidRPr="00EE210D">
        <w:rPr>
          <w:rFonts w:hAnsi="宋体" w:hint="eastAsia"/>
          <w:szCs w:val="21"/>
        </w:rPr>
        <w:t>合金</w:t>
      </w:r>
      <w:r w:rsidRPr="00EE210D">
        <w:rPr>
          <w:szCs w:val="21"/>
        </w:rPr>
        <w:t xml:space="preserve">    D</w:t>
      </w:r>
      <w:r w:rsidRPr="00EE210D">
        <w:rPr>
          <w:rFonts w:hAnsi="宋体"/>
          <w:szCs w:val="21"/>
        </w:rPr>
        <w:t xml:space="preserve">. </w:t>
      </w:r>
      <w:r w:rsidRPr="00EE210D">
        <w:rPr>
          <w:szCs w:val="21"/>
        </w:rPr>
        <w:t>Fe</w:t>
      </w:r>
      <w:r w:rsidRPr="00EE210D">
        <w:rPr>
          <w:rFonts w:hAnsi="宋体" w:hint="eastAsia"/>
          <w:szCs w:val="21"/>
        </w:rPr>
        <w:t>、</w:t>
      </w:r>
      <w:r w:rsidRPr="00EE210D">
        <w:rPr>
          <w:szCs w:val="21"/>
        </w:rPr>
        <w:t>Cu</w:t>
      </w:r>
      <w:r w:rsidRPr="00EE210D">
        <w:rPr>
          <w:rFonts w:hAnsi="宋体" w:hint="eastAsia"/>
          <w:szCs w:val="21"/>
        </w:rPr>
        <w:t>合金</w:t>
      </w:r>
    </w:p>
    <w:p w:rsidR="00151262" w:rsidRPr="00EE210D" w:rsidRDefault="00151262" w:rsidP="003925C2">
      <w:pPr>
        <w:spacing w:line="360" w:lineRule="auto"/>
        <w:rPr>
          <w:rFonts w:hAnsi="宋体"/>
          <w:szCs w:val="21"/>
        </w:rPr>
      </w:pPr>
      <w:r w:rsidRPr="00EE210D">
        <w:rPr>
          <w:rFonts w:hAnsi="宋体" w:hint="eastAsia"/>
          <w:szCs w:val="21"/>
        </w:rPr>
        <w:t>解析：</w:t>
      </w:r>
    </w:p>
    <w:p w:rsidR="00151262" w:rsidRDefault="00151262" w:rsidP="003925C2">
      <w:pPr>
        <w:spacing w:line="360" w:lineRule="auto"/>
        <w:rPr>
          <w:rFonts w:hAnsi="宋体"/>
          <w:szCs w:val="21"/>
        </w:rPr>
      </w:pPr>
      <w:r w:rsidRPr="00EE210D">
        <w:rPr>
          <w:rFonts w:hAnsi="宋体" w:hint="eastAsia"/>
          <w:szCs w:val="21"/>
        </w:rPr>
        <w:t>合金是在金属中加热熔合某些金属或非金属而制得的具有金属特性的混合物。判断两金属能否形成合金的关键在于：一定温度范围内同时都能熔化为液体。通过对比观察表中金属熔点和沸点可以看出：</w:t>
      </w:r>
      <w:r w:rsidRPr="00EE210D">
        <w:rPr>
          <w:szCs w:val="21"/>
        </w:rPr>
        <w:t>A</w:t>
      </w:r>
      <w:r w:rsidRPr="00EE210D">
        <w:rPr>
          <w:rFonts w:hAnsi="宋体" w:hint="eastAsia"/>
          <w:szCs w:val="21"/>
        </w:rPr>
        <w:t>、</w:t>
      </w:r>
      <w:r w:rsidRPr="00EE210D">
        <w:rPr>
          <w:szCs w:val="21"/>
        </w:rPr>
        <w:t>C</w:t>
      </w:r>
      <w:r w:rsidRPr="00EE210D">
        <w:rPr>
          <w:rFonts w:hAnsi="宋体" w:hint="eastAsia"/>
          <w:szCs w:val="21"/>
        </w:rPr>
        <w:t>、</w:t>
      </w:r>
      <w:r w:rsidRPr="00EE210D">
        <w:rPr>
          <w:szCs w:val="21"/>
        </w:rPr>
        <w:t>D</w:t>
      </w:r>
      <w:r>
        <w:rPr>
          <w:rFonts w:hAnsi="宋体" w:hint="eastAsia"/>
          <w:szCs w:val="21"/>
        </w:rPr>
        <w:t>选项</w:t>
      </w:r>
      <w:r w:rsidRPr="00EE210D">
        <w:rPr>
          <w:rFonts w:hAnsi="宋体" w:hint="eastAsia"/>
          <w:szCs w:val="21"/>
        </w:rPr>
        <w:t>均可制得合金。</w:t>
      </w:r>
      <w:r w:rsidRPr="00EE210D">
        <w:rPr>
          <w:szCs w:val="21"/>
        </w:rPr>
        <w:t>B</w:t>
      </w:r>
      <w:r>
        <w:rPr>
          <w:rFonts w:hAnsi="宋体" w:hint="eastAsia"/>
          <w:szCs w:val="21"/>
        </w:rPr>
        <w:t>选项</w:t>
      </w:r>
      <w:r w:rsidRPr="00EE210D">
        <w:rPr>
          <w:rFonts w:hAnsi="宋体" w:hint="eastAsia"/>
          <w:szCs w:val="21"/>
        </w:rPr>
        <w:t>中，</w:t>
      </w:r>
      <w:r w:rsidRPr="00EE210D">
        <w:rPr>
          <w:szCs w:val="21"/>
        </w:rPr>
        <w:t>K</w:t>
      </w:r>
      <w:r w:rsidRPr="00EE210D">
        <w:rPr>
          <w:rFonts w:hAnsi="宋体" w:hint="eastAsia"/>
          <w:szCs w:val="21"/>
        </w:rPr>
        <w:t>的沸点为</w:t>
      </w:r>
      <w:smartTag w:uri="urn:schemas-microsoft-com:office:smarttags" w:element="chmetcnv">
        <w:smartTagPr>
          <w:attr w:name="UnitName" w:val="℃"/>
          <w:attr w:name="SourceValue" w:val="774"/>
          <w:attr w:name="HasSpace" w:val="False"/>
          <w:attr w:name="Negative" w:val="False"/>
          <w:attr w:name="NumberType" w:val="1"/>
          <w:attr w:name="TCSC" w:val="0"/>
        </w:smartTagPr>
        <w:r w:rsidRPr="00EE210D">
          <w:rPr>
            <w:szCs w:val="21"/>
          </w:rPr>
          <w:t>774</w:t>
        </w:r>
        <w:r w:rsidRPr="00EE210D">
          <w:rPr>
            <w:rFonts w:hAnsi="宋体" w:hint="eastAsia"/>
            <w:szCs w:val="21"/>
          </w:rPr>
          <w:t>℃</w:t>
        </w:r>
      </w:smartTag>
      <w:r w:rsidRPr="00EE210D">
        <w:rPr>
          <w:rFonts w:hAnsi="宋体" w:hint="eastAsia"/>
          <w:szCs w:val="21"/>
        </w:rPr>
        <w:t>，而</w:t>
      </w:r>
      <w:r w:rsidRPr="00EE210D">
        <w:rPr>
          <w:szCs w:val="21"/>
        </w:rPr>
        <w:t>Fe</w:t>
      </w:r>
      <w:r w:rsidRPr="00EE210D">
        <w:rPr>
          <w:rFonts w:hAnsi="宋体" w:hint="eastAsia"/>
          <w:szCs w:val="21"/>
        </w:rPr>
        <w:t>的熔点为</w:t>
      </w:r>
      <w:smartTag w:uri="urn:schemas-microsoft-com:office:smarttags" w:element="chmetcnv">
        <w:smartTagPr>
          <w:attr w:name="UnitName" w:val="℃"/>
          <w:attr w:name="SourceValue" w:val="1535"/>
          <w:attr w:name="HasSpace" w:val="False"/>
          <w:attr w:name="Negative" w:val="False"/>
          <w:attr w:name="NumberType" w:val="1"/>
          <w:attr w:name="TCSC" w:val="0"/>
        </w:smartTagPr>
        <w:r w:rsidRPr="00EE210D">
          <w:rPr>
            <w:szCs w:val="21"/>
          </w:rPr>
          <w:t>1535</w:t>
        </w:r>
        <w:r w:rsidRPr="00EE210D">
          <w:rPr>
            <w:rFonts w:hAnsi="宋体" w:hint="eastAsia"/>
            <w:szCs w:val="21"/>
          </w:rPr>
          <w:t>℃</w:t>
        </w:r>
      </w:smartTag>
      <w:r w:rsidRPr="00EE210D">
        <w:rPr>
          <w:rFonts w:hAnsi="宋体" w:hint="eastAsia"/>
          <w:szCs w:val="21"/>
        </w:rPr>
        <w:t>，若将两者在同一容器中加热当铁熔化时，钾已汽化成蒸气了。</w:t>
      </w:r>
    </w:p>
    <w:p w:rsidR="00151262" w:rsidRPr="00EE210D" w:rsidRDefault="00151262" w:rsidP="003925C2">
      <w:pPr>
        <w:spacing w:line="360" w:lineRule="auto"/>
        <w:rPr>
          <w:szCs w:val="21"/>
        </w:rPr>
      </w:pPr>
      <w:r w:rsidRPr="00EE210D">
        <w:rPr>
          <w:rFonts w:hAnsi="宋体" w:hint="eastAsia"/>
          <w:szCs w:val="21"/>
        </w:rPr>
        <w:t>答案：</w:t>
      </w:r>
      <w:r w:rsidRPr="00EE210D">
        <w:rPr>
          <w:szCs w:val="21"/>
        </w:rPr>
        <w:t>B</w:t>
      </w:r>
    </w:p>
    <w:p w:rsidR="00151262" w:rsidRPr="007A7473" w:rsidRDefault="00151262" w:rsidP="003925C2">
      <w:pPr>
        <w:spacing w:line="360" w:lineRule="auto"/>
      </w:pPr>
    </w:p>
    <w:p w:rsidR="00151262" w:rsidRPr="00BA094B" w:rsidRDefault="00151262" w:rsidP="003925C2"/>
    <w:p w:rsidR="00151262" w:rsidRPr="003925C2" w:rsidRDefault="00151262" w:rsidP="003925C2"/>
    <w:sectPr w:rsidR="00151262" w:rsidRPr="003925C2" w:rsidSect="00B31140">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262" w:rsidRDefault="00151262" w:rsidP="007A7473">
      <w:pPr>
        <w:spacing w:line="240" w:lineRule="auto"/>
      </w:pPr>
      <w:r>
        <w:separator/>
      </w:r>
    </w:p>
  </w:endnote>
  <w:endnote w:type="continuationSeparator" w:id="1">
    <w:p w:rsidR="00151262" w:rsidRDefault="00151262" w:rsidP="007A747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262" w:rsidRDefault="0015126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262" w:rsidRDefault="0015126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262" w:rsidRDefault="001512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262" w:rsidRDefault="00151262" w:rsidP="007A7473">
      <w:pPr>
        <w:spacing w:line="240" w:lineRule="auto"/>
      </w:pPr>
      <w:r>
        <w:separator/>
      </w:r>
    </w:p>
  </w:footnote>
  <w:footnote w:type="continuationSeparator" w:id="1">
    <w:p w:rsidR="00151262" w:rsidRDefault="00151262" w:rsidP="007A747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262" w:rsidRDefault="0015126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262" w:rsidRDefault="00151262" w:rsidP="003925C2">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1262" w:rsidRDefault="0015126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7473"/>
    <w:rsid w:val="00151262"/>
    <w:rsid w:val="0018406C"/>
    <w:rsid w:val="003925C2"/>
    <w:rsid w:val="004B50B0"/>
    <w:rsid w:val="007A7473"/>
    <w:rsid w:val="00A52B66"/>
    <w:rsid w:val="00B31140"/>
    <w:rsid w:val="00BA094B"/>
    <w:rsid w:val="00EC3406"/>
    <w:rsid w:val="00EE210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473"/>
    <w:pPr>
      <w:widowControl w:val="0"/>
      <w:adjustRightInd w:val="0"/>
      <w:spacing w:line="312" w:lineRule="atLeast"/>
      <w:jc w:val="both"/>
      <w:textAlignment w:val="baseline"/>
    </w:pPr>
    <w:rPr>
      <w:rFonts w:ascii="Times New Roman" w:hAnsi="Times New Roman"/>
      <w:kern w:val="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A7473"/>
    <w:pPr>
      <w:pBdr>
        <w:bottom w:val="single" w:sz="6" w:space="1" w:color="auto"/>
      </w:pBdr>
      <w:tabs>
        <w:tab w:val="center" w:pos="4153"/>
        <w:tab w:val="right" w:pos="8306"/>
      </w:tabs>
      <w:adjustRightInd/>
      <w:snapToGrid w:val="0"/>
      <w:spacing w:line="240" w:lineRule="auto"/>
      <w:jc w:val="center"/>
      <w:textAlignment w:val="auto"/>
    </w:pPr>
    <w:rPr>
      <w:rFonts w:ascii="Calibri" w:hAnsi="Calibri"/>
      <w:kern w:val="2"/>
      <w:sz w:val="18"/>
      <w:szCs w:val="18"/>
    </w:rPr>
  </w:style>
  <w:style w:type="character" w:customStyle="1" w:styleId="HeaderChar">
    <w:name w:val="Header Char"/>
    <w:basedOn w:val="DefaultParagraphFont"/>
    <w:link w:val="Header"/>
    <w:uiPriority w:val="99"/>
    <w:semiHidden/>
    <w:locked/>
    <w:rsid w:val="007A7473"/>
    <w:rPr>
      <w:rFonts w:cs="Times New Roman"/>
      <w:sz w:val="18"/>
      <w:szCs w:val="18"/>
    </w:rPr>
  </w:style>
  <w:style w:type="paragraph" w:styleId="Footer">
    <w:name w:val="footer"/>
    <w:basedOn w:val="Normal"/>
    <w:link w:val="FooterChar"/>
    <w:uiPriority w:val="99"/>
    <w:semiHidden/>
    <w:rsid w:val="007A7473"/>
    <w:pPr>
      <w:tabs>
        <w:tab w:val="center" w:pos="4153"/>
        <w:tab w:val="right" w:pos="8306"/>
      </w:tabs>
      <w:adjustRightInd/>
      <w:snapToGrid w:val="0"/>
      <w:spacing w:line="240" w:lineRule="auto"/>
      <w:jc w:val="left"/>
      <w:textAlignment w:val="auto"/>
    </w:pPr>
    <w:rPr>
      <w:rFonts w:ascii="Calibri" w:hAnsi="Calibri"/>
      <w:kern w:val="2"/>
      <w:sz w:val="18"/>
      <w:szCs w:val="18"/>
    </w:rPr>
  </w:style>
  <w:style w:type="character" w:customStyle="1" w:styleId="FooterChar">
    <w:name w:val="Footer Char"/>
    <w:basedOn w:val="DefaultParagraphFont"/>
    <w:link w:val="Footer"/>
    <w:uiPriority w:val="99"/>
    <w:semiHidden/>
    <w:locked/>
    <w:rsid w:val="007A7473"/>
    <w:rPr>
      <w:rFonts w:cs="Times New Roman"/>
      <w:sz w:val="18"/>
      <w:szCs w:val="18"/>
    </w:rPr>
  </w:style>
  <w:style w:type="paragraph" w:customStyle="1" w:styleId="CharCharCharCharCharCharCharCharCharCharCharCharCharCharCharCharCharCharChar">
    <w:name w:val="Char Char Char Char Char Char Char Char Char Char Char Char Char Char Char Char Char Char Char"/>
    <w:basedOn w:val="Normal"/>
    <w:uiPriority w:val="99"/>
    <w:rsid w:val="007A7473"/>
    <w:pPr>
      <w:widowControl/>
      <w:adjustRightInd/>
      <w:spacing w:line="300" w:lineRule="auto"/>
      <w:ind w:firstLineChars="200" w:firstLine="200"/>
      <w:textAlignment w:val="auto"/>
    </w:pPr>
    <w:rPr>
      <w:kern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Pages>
  <Words>58</Words>
  <Characters>331</Characters>
  <Application>Microsoft Office Outlook</Application>
  <DocSecurity>0</DocSecurity>
  <Lines>0</Lines>
  <Paragraphs>0</Paragraphs>
  <ScaleCrop>false</ScaleCrop>
  <Company>SkyUN.Org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wang</cp:lastModifiedBy>
  <cp:revision>3</cp:revision>
  <dcterms:created xsi:type="dcterms:W3CDTF">2011-05-23T05:52:00Z</dcterms:created>
  <dcterms:modified xsi:type="dcterms:W3CDTF">2011-05-26T01:41:00Z</dcterms:modified>
</cp:coreProperties>
</file>