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第一次迭代报告</w:t>
      </w:r>
    </w:p>
    <w:p>
      <w:pPr>
        <w:pStyle w:val="1"/>
        <w:spacing w:before="380" w:after="140" w:line="288" w:lineRule="auto"/>
        <w:ind w:left="0"/>
        <w:jc w:val="left"/>
        <w:outlineLvl w:val="0"/>
      </w:pPr>
      <w:r>
        <w:rPr>
          <w:rFonts w:eastAsia="等线" w:ascii="Arial" w:cs="Arial" w:hAnsi="Arial"/>
          <w:b w:val="true"/>
          <w:sz w:val="36"/>
        </w:rPr>
        <w:t>迭代计划</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35"/>
        <w:gridCol w:w="1635"/>
        <w:gridCol w:w="1635"/>
        <w:gridCol w:w="1635"/>
        <w:gridCol w:w="1740"/>
      </w:tblGrid>
      <w:tr>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迭代名称</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起止时间</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所缓解的风险</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需完成的任务</w:t>
            </w:r>
          </w:p>
        </w:tc>
        <w:tc>
          <w:tcPr>
            <w:tcW w:w="17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需提交的成果</w:t>
            </w:r>
          </w:p>
        </w:tc>
      </w:tr>
      <w:tr>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基本技术迭代</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2023.6.19——2023.7.5</w:t>
            </w:r>
          </w:p>
        </w:tc>
        <w:tc>
          <w:tcPr>
            <w:tcW w:w="16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进度风险、</w:t>
            </w:r>
          </w:p>
          <w:p>
            <w:pPr>
              <w:spacing w:before="120" w:after="120" w:line="288" w:lineRule="auto"/>
              <w:ind w:left="0"/>
              <w:jc w:val="left"/>
            </w:pPr>
            <w:r>
              <w:rPr>
                <w:rFonts w:eastAsia="等线" w:ascii="Arial" w:cs="Arial" w:hAnsi="Arial"/>
                <w:sz w:val="22"/>
              </w:rPr>
              <w:t>需求风险</w:t>
            </w:r>
          </w:p>
        </w:tc>
        <w:tc>
          <w:tcPr>
            <w:tcW w:w="1635" w:type="dxa"/>
            <w:tcMar>
              <w:top w:type="dxa" w:w="60"/>
              <w:left w:type="dxa" w:w="120"/>
              <w:bottom w:type="dxa" w:w="30"/>
              <w:right w:type="dxa" w:w="120"/>
            </w:tcMar>
          </w:tcPr>
          <w:p>
            <w:pPr>
              <w:numPr>
                <w:numId w:val="1"/>
              </w:numPr>
              <w:spacing w:before="120" w:after="120" w:line="288" w:lineRule="auto"/>
              <w:ind w:left="0"/>
              <w:jc w:val="left"/>
            </w:pPr>
            <w:r>
              <w:rPr>
                <w:rFonts w:eastAsia="等线" w:ascii="Arial" w:cs="Arial" w:hAnsi="Arial"/>
                <w:sz w:val="22"/>
              </w:rPr>
              <w:t>学习并设计系统架构（</w:t>
            </w:r>
            <w:r>
              <w:rPr>
                <w:rFonts w:eastAsia="等线" w:ascii="Arial" w:cs="Arial" w:hAnsi="Arial"/>
                <w:sz w:val="22"/>
              </w:rPr>
              <w:t>微服务架构</w:t>
            </w:r>
            <w:r>
              <w:rPr>
                <w:rFonts w:eastAsia="等线" w:ascii="Arial" w:cs="Arial" w:hAnsi="Arial"/>
                <w:sz w:val="22"/>
              </w:rPr>
              <w:t>）</w:t>
            </w:r>
          </w:p>
          <w:p>
            <w:pPr>
              <w:numPr>
                <w:numId w:val="2"/>
              </w:numPr>
              <w:spacing w:before="120" w:after="120" w:line="288" w:lineRule="auto"/>
              <w:ind w:left="0"/>
              <w:jc w:val="left"/>
            </w:pPr>
            <w:r>
              <w:rPr>
                <w:rFonts w:eastAsia="等线" w:ascii="Arial" w:cs="Arial" w:hAnsi="Arial"/>
                <w:sz w:val="22"/>
              </w:rPr>
              <w:t>设计基本界面组件，跳转逻辑</w:t>
            </w:r>
          </w:p>
          <w:p>
            <w:pPr>
              <w:numPr>
                <w:numId w:val="3"/>
              </w:numPr>
              <w:spacing w:before="120" w:after="120" w:line="288" w:lineRule="auto"/>
              <w:ind w:left="0"/>
              <w:jc w:val="left"/>
            </w:pPr>
            <w:r>
              <w:rPr>
                <w:rFonts w:eastAsia="等线" w:ascii="Arial" w:cs="Arial" w:hAnsi="Arial"/>
                <w:sz w:val="22"/>
              </w:rPr>
              <w:t>搭建数据库：完成用户部分资料的</w:t>
            </w:r>
            <w:r>
              <w:rPr>
                <w:rFonts w:eastAsia="等线" w:ascii="Arial" w:cs="Arial" w:hAnsi="Arial"/>
                <w:sz w:val="22"/>
              </w:rPr>
              <w:t>增删改查</w:t>
            </w:r>
          </w:p>
          <w:p>
            <w:pPr>
              <w:numPr>
                <w:numId w:val="4"/>
              </w:numPr>
              <w:spacing w:before="120" w:after="120" w:line="288" w:lineRule="auto"/>
              <w:ind w:left="0"/>
              <w:jc w:val="left"/>
            </w:pPr>
            <w:r>
              <w:rPr>
                <w:rFonts w:eastAsia="等线" w:ascii="Arial" w:cs="Arial" w:hAnsi="Arial"/>
                <w:sz w:val="22"/>
              </w:rPr>
              <w:t>数据库实现高效的版本历史记录，并比较修订差异</w:t>
            </w:r>
          </w:p>
          <w:p>
            <w:pPr>
              <w:numPr>
                <w:numId w:val="5"/>
              </w:numPr>
              <w:spacing w:before="120" w:after="120" w:line="288" w:lineRule="auto"/>
              <w:ind w:left="0"/>
              <w:jc w:val="left"/>
            </w:pPr>
            <w:r>
              <w:rPr>
                <w:rFonts w:eastAsia="等线" w:ascii="Arial" w:cs="Arial" w:hAnsi="Arial"/>
                <w:sz w:val="22"/>
              </w:rPr>
              <w:t>学习华为</w:t>
            </w:r>
            <w:r>
              <w:rPr>
                <w:rFonts w:eastAsia="等线" w:ascii="Arial" w:cs="Arial" w:hAnsi="Arial"/>
                <w:sz w:val="22"/>
              </w:rPr>
              <w:t>云技术</w:t>
            </w:r>
          </w:p>
          <w:p>
            <w:pPr>
              <w:numPr>
                <w:numId w:val="6"/>
              </w:numPr>
              <w:spacing w:before="120" w:after="120" w:line="288" w:lineRule="auto"/>
              <w:ind w:left="0"/>
              <w:jc w:val="left"/>
            </w:pPr>
            <w:r>
              <w:rPr>
                <w:rFonts w:eastAsia="等线" w:ascii="Arial" w:cs="Arial" w:hAnsi="Arial"/>
                <w:sz w:val="22"/>
              </w:rPr>
              <w:t>后端数据库</w:t>
            </w:r>
            <w:r>
              <w:rPr>
                <w:rFonts w:eastAsia="等线" w:ascii="Arial" w:cs="Arial" w:hAnsi="Arial"/>
                <w:sz w:val="22"/>
              </w:rPr>
              <w:t>增删改查</w:t>
            </w:r>
            <w:r>
              <w:rPr>
                <w:rFonts w:eastAsia="等线" w:ascii="Arial" w:cs="Arial" w:hAnsi="Arial"/>
                <w:sz w:val="22"/>
              </w:rPr>
              <w:t>单元测试、性能测试</w:t>
            </w:r>
          </w:p>
        </w:tc>
        <w:tc>
          <w:tcPr>
            <w:tcW w:w="1740" w:type="dxa"/>
            <w:tcMar>
              <w:top w:type="dxa" w:w="60"/>
              <w:left w:type="dxa" w:w="120"/>
              <w:bottom w:type="dxa" w:w="30"/>
              <w:right w:type="dxa" w:w="120"/>
            </w:tcMar>
          </w:tcPr>
          <w:p>
            <w:pPr>
              <w:numPr>
                <w:numId w:val="7"/>
              </w:numPr>
              <w:spacing w:before="120" w:after="120" w:line="288" w:lineRule="auto"/>
              <w:ind w:left="0"/>
              <w:jc w:val="left"/>
            </w:pPr>
            <w:r>
              <w:rPr>
                <w:rFonts w:eastAsia="等线" w:ascii="Arial" w:cs="Arial" w:hAnsi="Arial"/>
                <w:sz w:val="22"/>
              </w:rPr>
              <w:t>需求文档</w:t>
            </w:r>
          </w:p>
          <w:p>
            <w:pPr>
              <w:numPr>
                <w:numId w:val="8"/>
              </w:numPr>
              <w:spacing w:before="120" w:after="120" w:line="288" w:lineRule="auto"/>
              <w:ind w:left="0"/>
              <w:jc w:val="left"/>
            </w:pPr>
            <w:r>
              <w:rPr>
                <w:rFonts w:eastAsia="等线" w:ascii="Arial" w:cs="Arial" w:hAnsi="Arial"/>
                <w:sz w:val="22"/>
              </w:rPr>
              <w:t>前后端代码</w:t>
            </w:r>
          </w:p>
          <w:p>
            <w:pPr>
              <w:numPr>
                <w:numId w:val="9"/>
              </w:numPr>
              <w:spacing w:before="120" w:after="120" w:line="288" w:lineRule="auto"/>
              <w:ind w:left="0"/>
              <w:jc w:val="left"/>
            </w:pPr>
            <w:r>
              <w:rPr>
                <w:rFonts w:eastAsia="等线" w:ascii="Arial" w:cs="Arial" w:hAnsi="Arial"/>
                <w:sz w:val="22"/>
              </w:rPr>
              <w:t>数据库脚本</w:t>
            </w:r>
          </w:p>
          <w:p>
            <w:pPr>
              <w:numPr>
                <w:numId w:val="10"/>
              </w:numPr>
              <w:spacing w:before="120" w:after="120" w:line="288" w:lineRule="auto"/>
              <w:ind w:left="0"/>
              <w:jc w:val="left"/>
            </w:pPr>
            <w:r>
              <w:rPr>
                <w:rFonts w:eastAsia="等线" w:ascii="Arial" w:cs="Arial" w:hAnsi="Arial"/>
                <w:sz w:val="22"/>
              </w:rPr>
              <w:t>单元测试、性能测试结果</w:t>
            </w:r>
          </w:p>
          <w:p>
            <w:pPr>
              <w:numPr>
                <w:numId w:val="11"/>
              </w:numPr>
              <w:spacing w:before="120" w:after="120" w:line="288" w:lineRule="auto"/>
              <w:ind w:left="0"/>
              <w:jc w:val="left"/>
            </w:pPr>
            <w:r>
              <w:rPr>
                <w:rFonts w:eastAsia="等线" w:ascii="Arial" w:cs="Arial" w:hAnsi="Arial"/>
                <w:sz w:val="22"/>
              </w:rPr>
              <w:t>迭代评估报告</w:t>
            </w:r>
          </w:p>
          <w:p>
            <w:pPr>
              <w:spacing w:before="120" w:after="120" w:line="288" w:lineRule="auto"/>
              <w:ind w:left="0"/>
              <w:jc w:val="left"/>
            </w:pPr>
          </w:p>
        </w:tc>
      </w:tr>
    </w:tbl>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前端展示</w:t>
      </w:r>
    </w:p>
    <w:p>
      <w:pPr>
        <w:spacing w:before="120" w:after="120" w:line="288" w:lineRule="auto"/>
        <w:ind w:left="0"/>
        <w:jc w:val="left"/>
      </w:pPr>
      <w:r>
        <w:rPr>
          <w:rFonts w:eastAsia="等线" w:ascii="Arial" w:cs="Arial" w:hAnsi="Arial"/>
          <w:sz w:val="22"/>
        </w:rPr>
        <w:t>前端选取</w:t>
      </w:r>
      <w:r>
        <w:rPr>
          <w:rFonts w:eastAsia="等线" w:ascii="Arial" w:cs="Arial" w:hAnsi="Arial"/>
          <w:sz w:val="22"/>
        </w:rPr>
        <w:t>react</w:t>
      </w:r>
      <w:r>
        <w:rPr>
          <w:rFonts w:eastAsia="等线" w:ascii="Arial" w:cs="Arial" w:hAnsi="Arial"/>
          <w:sz w:val="22"/>
        </w:rPr>
        <w:t>框架</w:t>
      </w:r>
    </w:p>
    <w:p>
      <w:pPr>
        <w:pStyle w:val="2"/>
        <w:spacing w:before="320" w:after="120" w:line="288" w:lineRule="auto"/>
        <w:ind w:left="0"/>
        <w:jc w:val="left"/>
        <w:outlineLvl w:val="1"/>
      </w:pPr>
      <w:r>
        <w:rPr>
          <w:rFonts w:eastAsia="等线" w:ascii="Arial" w:cs="Arial" w:hAnsi="Arial"/>
          <w:b w:val="true"/>
          <w:sz w:val="32"/>
        </w:rPr>
        <w:t>登录注册</w:t>
      </w:r>
    </w:p>
    <w:p>
      <w:pPr>
        <w:spacing w:before="120" w:after="120" w:line="288" w:lineRule="auto"/>
        <w:ind w:left="0"/>
        <w:jc w:val="left"/>
      </w:pPr>
      <w:r>
        <w:rPr>
          <w:rFonts w:eastAsia="等线" w:ascii="Arial" w:cs="Arial" w:hAnsi="Arial"/>
          <w:sz w:val="22"/>
        </w:rPr>
        <w:t>登录注册输入用户名和密码。</w:t>
      </w:r>
    </w:p>
    <w:p>
      <w:pPr>
        <w:spacing w:before="120" w:after="120" w:line="288" w:lineRule="auto"/>
        <w:ind w:left="0"/>
        <w:jc w:val="left"/>
      </w:pPr>
      <w:r>
        <w:rPr>
          <w:rFonts w:eastAsia="等线" w:ascii="Arial" w:cs="Arial" w:hAnsi="Arial"/>
          <w:sz w:val="22"/>
        </w:rPr>
        <w:t>还未实现后端交互。</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4452"/>
        <w:gridCol w:w="3827"/>
      </w:tblGrid>
      <w:tr>
        <w:tc>
          <w:tcPr>
            <w:tcW w:w="4452" w:type="dxa"/>
            <w:tcMar>
              <w:top w:type="dxa" w:w="60"/>
              <w:left w:type="dxa" w:w="120"/>
              <w:bottom w:type="dxa" w:w="30"/>
              <w:right w:type="dxa" w:w="120"/>
            </w:tcMar>
          </w:tcPr>
          <w:p>
            <w:pPr>
              <w:spacing w:before="120" w:after="120" w:line="288" w:lineRule="auto"/>
              <w:ind w:left="0"/>
              <w:jc w:val="left"/>
            </w:pPr>
            <w:r>
              <w:drawing>
                <wp:inline distT="0" distR="0" distB="0" distL="0">
                  <wp:extent cx="2667000" cy="40481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2667000" cy="4048125"/>
                          </a:xfrm>
                          <a:prstGeom prst="rect">
                            <a:avLst/>
                          </a:prstGeom>
                        </pic:spPr>
                      </pic:pic>
                    </a:graphicData>
                  </a:graphic>
                </wp:inline>
              </w:drawing>
            </w:r>
          </w:p>
        </w:tc>
        <w:tc>
          <w:tcPr>
            <w:tcW w:w="3827" w:type="dxa"/>
            <w:tcMar>
              <w:top w:type="dxa" w:w="60"/>
              <w:left w:type="dxa" w:w="120"/>
              <w:bottom w:type="dxa" w:w="30"/>
              <w:right w:type="dxa" w:w="120"/>
            </w:tcMar>
          </w:tcPr>
          <w:p>
            <w:pPr>
              <w:spacing w:before="120" w:after="120" w:line="288" w:lineRule="auto"/>
              <w:ind w:left="0"/>
              <w:jc w:val="right"/>
            </w:pPr>
            <w:r>
              <w:drawing>
                <wp:inline distT="0" distR="0" distB="0" distL="0">
                  <wp:extent cx="2276475" cy="40195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2276475" cy="4019550"/>
                          </a:xfrm>
                          <a:prstGeom prst="rect">
                            <a:avLst/>
                          </a:prstGeom>
                        </pic:spPr>
                      </pic:pic>
                    </a:graphicData>
                  </a:graphic>
                </wp:inline>
              </w:drawing>
            </w:r>
          </w:p>
        </w:tc>
      </w:tr>
    </w:tbl>
    <w:p>
      <w:pPr>
        <w:pStyle w:val="2"/>
        <w:spacing w:before="320" w:after="120" w:line="288" w:lineRule="auto"/>
        <w:ind w:left="0"/>
        <w:jc w:val="left"/>
        <w:outlineLvl w:val="1"/>
      </w:pPr>
      <w:r>
        <w:rPr>
          <w:rFonts w:eastAsia="等线" w:ascii="Arial" w:cs="Arial" w:hAnsi="Arial"/>
          <w:b w:val="true"/>
          <w:sz w:val="32"/>
        </w:rPr>
        <w:t>主页</w:t>
      </w:r>
    </w:p>
    <w:p>
      <w:pPr>
        <w:spacing w:before="120" w:after="120" w:line="288" w:lineRule="auto"/>
        <w:ind w:left="0"/>
        <w:jc w:val="left"/>
      </w:pPr>
      <w:r>
        <w:rPr>
          <w:rFonts w:eastAsia="等线" w:ascii="Arial" w:cs="Arial" w:hAnsi="Arial"/>
          <w:sz w:val="22"/>
        </w:rPr>
        <w:t>展示</w:t>
      </w:r>
      <w:r>
        <w:rPr>
          <w:rFonts w:eastAsia="等线" w:ascii="Arial" w:cs="Arial" w:hAnsi="Arial"/>
          <w:sz w:val="22"/>
        </w:rPr>
        <w:t>所有指标的近期平均</w:t>
      </w:r>
      <w:r>
        <w:rPr>
          <w:rFonts w:eastAsia="等线" w:ascii="Arial" w:cs="Arial" w:hAnsi="Arial"/>
          <w:sz w:val="22"/>
        </w:rPr>
        <w:t>健康数据，有一张图表展示身高、体重、睡眠、步数的详细表格</w:t>
      </w:r>
      <w:r>
        <w:rPr>
          <w:rFonts w:eastAsia="等线" w:ascii="Arial" w:cs="Arial" w:hAnsi="Arial"/>
          <w:sz w:val="22"/>
        </w:rPr>
        <w:t>，可通过点击对应卡片切换内容</w:t>
      </w:r>
      <w:r>
        <w:rPr>
          <w:rFonts w:eastAsia="等线" w:ascii="Arial" w:cs="Arial" w:hAnsi="Arial"/>
          <w:sz w:val="22"/>
        </w:rPr>
        <w:t>。</w:t>
      </w:r>
      <w:r>
        <w:rPr>
          <w:rFonts w:eastAsia="等线" w:ascii="Arial" w:cs="Arial" w:hAnsi="Arial"/>
          <w:sz w:val="22"/>
        </w:rPr>
        <w:t>通过点击对应数据的卡片，</w:t>
      </w:r>
      <w:r>
        <w:rPr>
          <w:rFonts w:eastAsia="等线" w:ascii="Arial" w:cs="Arial" w:hAnsi="Arial"/>
          <w:sz w:val="22"/>
        </w:rPr>
        <w:t>可以跳转到详细数据界面。</w:t>
      </w:r>
    </w:p>
    <w:p>
      <w:pPr>
        <w:spacing w:before="120" w:after="120" w:line="288" w:lineRule="auto"/>
        <w:ind w:left="0"/>
        <w:jc w:val="center"/>
      </w:pPr>
      <w:r>
        <w:drawing>
          <wp:inline distT="0" distR="0" distB="0" distL="0">
            <wp:extent cx="5257800" cy="25527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255270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数据界面</w:t>
      </w:r>
    </w:p>
    <w:p>
      <w:pPr>
        <w:pStyle w:val="3"/>
        <w:spacing w:before="300" w:after="120" w:line="288" w:lineRule="auto"/>
        <w:ind w:left="0"/>
        <w:jc w:val="left"/>
        <w:outlineLvl w:val="2"/>
      </w:pPr>
      <w:r>
        <w:rPr>
          <w:rFonts w:eastAsia="等线" w:ascii="Arial" w:cs="Arial" w:hAnsi="Arial"/>
          <w:b w:val="true"/>
          <w:sz w:val="30"/>
        </w:rPr>
        <w:t>睡眠界面</w:t>
      </w:r>
    </w:p>
    <w:p>
      <w:pPr>
        <w:spacing w:before="120" w:after="120" w:line="288" w:lineRule="auto"/>
        <w:ind w:left="0"/>
        <w:jc w:val="left"/>
      </w:pPr>
      <w:r>
        <w:rPr>
          <w:rFonts w:eastAsia="等线" w:ascii="Arial" w:cs="Arial" w:hAnsi="Arial"/>
          <w:sz w:val="22"/>
        </w:rPr>
        <w:t>表格展示详细数据，根据</w:t>
      </w:r>
      <w:r>
        <w:rPr>
          <w:rFonts w:eastAsia="等线" w:ascii="Arial" w:cs="Arial" w:hAnsi="Arial"/>
          <w:sz w:val="22"/>
        </w:rPr>
        <w:t>tag</w:t>
      </w:r>
      <w:r>
        <w:rPr>
          <w:rFonts w:eastAsia="等线" w:ascii="Arial" w:cs="Arial" w:hAnsi="Arial"/>
          <w:sz w:val="22"/>
        </w:rPr>
        <w:t>切换不同类型的表格，根据时间展示不同的数据。表格处可以添加数据。</w:t>
      </w:r>
    </w:p>
    <w:p>
      <w:pPr>
        <w:spacing w:before="120" w:after="120" w:line="288" w:lineRule="auto"/>
        <w:ind w:left="0"/>
        <w:jc w:val="left"/>
      </w:pPr>
      <w:r>
        <w:rPr>
          <w:rFonts w:eastAsia="等线" w:ascii="Arial" w:cs="Arial" w:hAnsi="Arial"/>
          <w:sz w:val="22"/>
        </w:rPr>
        <w:t>所有定时卡片类似闹钟，用于设置睡眠提醒，分别在就寝和起床时间提醒。</w:t>
      </w:r>
    </w:p>
    <w:p>
      <w:pPr>
        <w:spacing w:before="120" w:after="120" w:line="288" w:lineRule="auto"/>
        <w:ind w:left="0"/>
        <w:jc w:val="left"/>
      </w:pPr>
      <w:r>
        <w:rPr>
          <w:rFonts w:eastAsia="等线" w:ascii="Arial" w:cs="Arial" w:hAnsi="Arial"/>
          <w:sz w:val="22"/>
        </w:rPr>
        <w:t>下一次卡片展示最近一次的提醒。</w:t>
      </w:r>
    </w:p>
    <w:p>
      <w:pPr>
        <w:spacing w:before="120" w:after="120" w:line="288" w:lineRule="auto"/>
        <w:ind w:left="0"/>
        <w:jc w:val="left"/>
      </w:pPr>
      <w:r>
        <w:rPr>
          <w:rFonts w:eastAsia="等线" w:ascii="Arial" w:cs="Arial" w:hAnsi="Arial"/>
          <w:sz w:val="22"/>
        </w:rPr>
        <w:t>右侧tips栏展示睡眠质量，内容跟随选取时间变化。</w:t>
      </w:r>
    </w:p>
    <w:p>
      <w:pPr>
        <w:spacing w:before="120" w:after="120" w:line="288" w:lineRule="auto"/>
        <w:ind w:left="0"/>
        <w:jc w:val="left"/>
      </w:pPr>
      <w:r>
        <w:rPr>
          <w:rFonts w:eastAsia="等线" w:ascii="Arial" w:cs="Arial" w:hAnsi="Arial"/>
          <w:sz w:val="22"/>
        </w:rPr>
        <w:t>关于睡眠展示有关睡眠的介绍和小知识，内容不打算有太多变化。</w:t>
      </w:r>
    </w:p>
    <w:p>
      <w:pPr>
        <w:spacing w:before="120" w:after="120" w:line="288" w:lineRule="auto"/>
        <w:ind w:left="0"/>
        <w:jc w:val="center"/>
      </w:pPr>
      <w:r>
        <w:drawing>
          <wp:inline distT="0" distR="0" distB="0" distL="0">
            <wp:extent cx="5257800" cy="25622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2562225"/>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运动步数</w:t>
      </w:r>
    </w:p>
    <w:p>
      <w:pPr>
        <w:spacing w:before="120" w:after="120" w:line="288" w:lineRule="auto"/>
        <w:ind w:left="0"/>
        <w:jc w:val="left"/>
      </w:pPr>
      <w:r>
        <w:rPr>
          <w:rFonts w:eastAsia="等线" w:ascii="Arial" w:cs="Arial" w:hAnsi="Arial"/>
          <w:sz w:val="22"/>
        </w:rPr>
        <w:t>表格展示详细数据，根据</w:t>
      </w:r>
      <w:r>
        <w:rPr>
          <w:rFonts w:eastAsia="等线" w:ascii="Arial" w:cs="Arial" w:hAnsi="Arial"/>
          <w:sz w:val="22"/>
        </w:rPr>
        <w:t>tag</w:t>
      </w:r>
      <w:r>
        <w:rPr>
          <w:rFonts w:eastAsia="等线" w:ascii="Arial" w:cs="Arial" w:hAnsi="Arial"/>
          <w:sz w:val="22"/>
        </w:rPr>
        <w:t>切换不同类型的表格，根据时间展示不同的数据。表格处可以添加数据。</w:t>
      </w:r>
    </w:p>
    <w:p>
      <w:pPr>
        <w:spacing w:before="120" w:after="120" w:line="288" w:lineRule="auto"/>
        <w:ind w:left="0"/>
        <w:jc w:val="left"/>
      </w:pPr>
      <w:r>
        <w:rPr>
          <w:rFonts w:eastAsia="等线" w:ascii="Arial" w:cs="Arial" w:hAnsi="Arial"/>
          <w:sz w:val="22"/>
        </w:rPr>
        <w:t>日界面右侧展示每日目标完成情况，和步数详情。</w:t>
      </w:r>
    </w:p>
    <w:p>
      <w:pPr>
        <w:spacing w:before="120" w:after="120" w:line="288" w:lineRule="auto"/>
        <w:ind w:left="0"/>
        <w:jc w:val="left"/>
      </w:pPr>
      <w:r>
        <w:rPr>
          <w:rFonts w:eastAsia="等线" w:ascii="Arial" w:cs="Arial" w:hAnsi="Arial"/>
          <w:sz w:val="22"/>
        </w:rPr>
        <w:t>周月界面展示步数趋势，达标情况，总距离。</w:t>
      </w:r>
    </w:p>
    <w:p>
      <w:pPr>
        <w:spacing w:before="120" w:after="120" w:line="288" w:lineRule="auto"/>
        <w:ind w:left="0"/>
        <w:jc w:val="center"/>
      </w:pPr>
      <w:r>
        <w:drawing>
          <wp:inline distT="0" distR="0" distB="0" distL="0">
            <wp:extent cx="5257800" cy="25908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2590800"/>
                    </a:xfrm>
                    <a:prstGeom prst="rect">
                      <a:avLst/>
                    </a:prstGeom>
                  </pic:spPr>
                </pic:pic>
              </a:graphicData>
            </a:graphic>
          </wp:inline>
        </w:drawing>
      </w:r>
    </w:p>
    <w:p>
      <w:pPr>
        <w:spacing w:before="120" w:after="120" w:line="288" w:lineRule="auto"/>
        <w:ind w:left="0"/>
        <w:jc w:val="center"/>
      </w:pPr>
      <w:r>
        <w:drawing>
          <wp:inline distT="0" distR="0" distB="0" distL="0">
            <wp:extent cx="5257800" cy="216217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2162175"/>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体重界面</w:t>
      </w:r>
    </w:p>
    <w:p>
      <w:pPr>
        <w:spacing w:before="120" w:after="120" w:line="288" w:lineRule="auto"/>
        <w:ind w:left="0"/>
        <w:jc w:val="left"/>
      </w:pPr>
      <w:r>
        <w:rPr>
          <w:rFonts w:eastAsia="等线" w:ascii="Arial" w:cs="Arial" w:hAnsi="Arial"/>
          <w:sz w:val="22"/>
        </w:rPr>
        <w:t>界面包括体重数据展示图、体重目标设定、</w:t>
      </w:r>
      <w:r>
        <w:rPr>
          <w:rFonts w:eastAsia="等线" w:ascii="Arial" w:cs="Arial" w:hAnsi="Arial"/>
          <w:sz w:val="22"/>
        </w:rPr>
        <w:t>bmi</w:t>
      </w:r>
      <w:r>
        <w:rPr>
          <w:rFonts w:eastAsia="等线" w:ascii="Arial" w:cs="Arial" w:hAnsi="Arial"/>
          <w:sz w:val="22"/>
        </w:rPr>
        <w:t>展示、体重健康小贴士等。体重数据展示图可切换周/月显示不同时期的数据；右侧目标卡片可以让用户设定体重目标；下方从左至右依次展示</w:t>
      </w:r>
      <w:r>
        <w:rPr>
          <w:rFonts w:eastAsia="等线" w:ascii="Arial" w:cs="Arial" w:hAnsi="Arial"/>
          <w:sz w:val="22"/>
        </w:rPr>
        <w:t>bmi值</w:t>
      </w:r>
      <w:r>
        <w:rPr>
          <w:rFonts w:eastAsia="等线" w:ascii="Arial" w:cs="Arial" w:hAnsi="Arial"/>
          <w:sz w:val="22"/>
        </w:rPr>
        <w:t>、当前体重状况和体重健康小贴士</w:t>
      </w:r>
    </w:p>
    <w:p>
      <w:pPr>
        <w:spacing w:before="120" w:after="120" w:line="288" w:lineRule="auto"/>
        <w:ind w:left="0"/>
        <w:jc w:val="center"/>
      </w:pPr>
      <w:r>
        <w:drawing>
          <wp:inline distT="0" distR="0" distB="0" distL="0">
            <wp:extent cx="5257800" cy="24860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2486025"/>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血压血糖界面</w:t>
      </w:r>
    </w:p>
    <w:p>
      <w:pPr>
        <w:spacing w:before="120" w:after="120" w:line="288" w:lineRule="auto"/>
        <w:ind w:left="0"/>
        <w:jc w:val="left"/>
      </w:pPr>
      <w:r>
        <w:rPr>
          <w:rFonts w:eastAsia="等线" w:ascii="Arial" w:cs="Arial" w:hAnsi="Arial"/>
          <w:sz w:val="22"/>
        </w:rPr>
        <w:t>左侧展示血压界面，可选择不同的时间范围（周/月），左下方展示血压相关知识卡片；</w:t>
      </w:r>
    </w:p>
    <w:p>
      <w:pPr>
        <w:spacing w:before="120" w:after="120" w:line="288" w:lineRule="auto"/>
        <w:ind w:left="0"/>
        <w:jc w:val="left"/>
      </w:pPr>
      <w:r>
        <w:rPr>
          <w:rFonts w:eastAsia="等线" w:ascii="Arial" w:cs="Arial" w:hAnsi="Arial"/>
          <w:sz w:val="22"/>
        </w:rPr>
        <w:t>右侧展示血糖界面，可选择不同的时间范围（周/月），右下方展示血糖相关知识卡片；</w:t>
      </w:r>
    </w:p>
    <w:p>
      <w:pPr>
        <w:spacing w:before="120" w:after="120" w:line="288" w:lineRule="auto"/>
        <w:ind w:left="0"/>
        <w:jc w:val="center"/>
      </w:pPr>
      <w:r>
        <w:drawing>
          <wp:inline distT="0" distR="0" distB="0" distL="0">
            <wp:extent cx="5257800" cy="248602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2486025"/>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心率界面</w:t>
      </w:r>
    </w:p>
    <w:p>
      <w:pPr>
        <w:spacing w:before="120" w:after="120" w:line="288" w:lineRule="auto"/>
        <w:ind w:left="0"/>
        <w:jc w:val="left"/>
      </w:pPr>
      <w:r>
        <w:rPr>
          <w:rFonts w:eastAsia="等线" w:ascii="Arial" w:cs="Arial" w:hAnsi="Arial"/>
          <w:sz w:val="22"/>
        </w:rPr>
        <w:t>左上方展示双图例心率柱状统计图，用于展示近一周、一月、一年的平均静止心率和运动心率，可通过点击切换，下方展示当天的静止心率和运动心率的平均值、最小值、最大值。右侧用于设置目标和手动录入数据。</w:t>
      </w:r>
    </w:p>
    <w:p>
      <w:pPr>
        <w:spacing w:before="120" w:after="120" w:line="288" w:lineRule="auto"/>
        <w:ind w:left="0"/>
        <w:jc w:val="center"/>
      </w:pPr>
      <w:r>
        <w:drawing>
          <wp:inline distT="0" distR="0" distB="0" distL="0">
            <wp:extent cx="5257800" cy="256222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257800" cy="2562225"/>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分析界面</w:t>
      </w:r>
    </w:p>
    <w:p>
      <w:pPr>
        <w:spacing w:before="120" w:after="120" w:line="288" w:lineRule="auto"/>
        <w:ind w:left="0"/>
        <w:jc w:val="left"/>
      </w:pPr>
      <w:r>
        <w:rPr>
          <w:rFonts w:eastAsia="等线" w:ascii="Arial" w:cs="Arial" w:hAnsi="Arial"/>
          <w:sz w:val="22"/>
        </w:rPr>
        <w:t>左上方三个卡片分别展示当前身高、体重和心率值，左下方展示当前行走步数、消耗卡路里等值；中间部分包括柱状图展示的最近一周睡眠数据和折线图展示的最近一周步数统计；右侧部分显示根据用户的个人健康数据给出的个性化建议</w:t>
      </w:r>
    </w:p>
    <w:p>
      <w:pPr>
        <w:spacing w:before="120" w:after="120" w:line="288" w:lineRule="auto"/>
        <w:ind w:left="0"/>
        <w:jc w:val="center"/>
      </w:pPr>
      <w:r>
        <w:drawing>
          <wp:inline distT="0" distR="0" distB="0" distL="0">
            <wp:extent cx="5257800" cy="225742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5257800" cy="2257425"/>
                    </a:xfrm>
                    <a:prstGeom prst="rect">
                      <a:avLst/>
                    </a:prstGeom>
                  </pic:spPr>
                </pic:pic>
              </a:graphicData>
            </a:graphic>
          </wp:inline>
        </w:drawing>
      </w:r>
    </w:p>
    <w:p>
      <w:pPr>
        <w:pStyle w:val="1"/>
        <w:spacing w:before="380" w:after="140" w:line="288" w:lineRule="auto"/>
        <w:ind w:left="0"/>
        <w:jc w:val="left"/>
        <w:outlineLvl w:val="0"/>
      </w:pPr>
      <w:r>
        <w:rPr>
          <w:rFonts w:eastAsia="等线" w:ascii="Arial" w:cs="Arial" w:hAnsi="Arial"/>
          <w:b w:val="true"/>
          <w:sz w:val="36"/>
        </w:rPr>
        <w:t>后端展示</w:t>
      </w:r>
    </w:p>
    <w:p>
      <w:pPr>
        <w:spacing w:before="120" w:after="120" w:line="288" w:lineRule="auto"/>
        <w:ind w:left="0"/>
        <w:jc w:val="left"/>
      </w:pPr>
    </w:p>
    <w:sectPr>
      <w:footerReference w:type="default" r:id="rId3"/>
      <w:headerReference w:type="default" r:id="rId1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99805">
    <w:lvl>
      <w:numFmt w:val="bullet"/>
      <w:suff w:val="tab"/>
      <w:lvlText w:val="•"/>
      <w:rPr>
        <w:color w:val="3370ff"/>
      </w:rPr>
    </w:lvl>
  </w:abstractNum>
  <w:abstractNum w:abstractNumId="199806">
    <w:lvl>
      <w:numFmt w:val="bullet"/>
      <w:suff w:val="tab"/>
      <w:lvlText w:val="•"/>
      <w:rPr>
        <w:color w:val="3370ff"/>
      </w:rPr>
    </w:lvl>
  </w:abstractNum>
  <w:abstractNum w:abstractNumId="199807">
    <w:lvl>
      <w:numFmt w:val="bullet"/>
      <w:suff w:val="tab"/>
      <w:lvlText w:val="•"/>
      <w:rPr>
        <w:color w:val="3370ff"/>
      </w:rPr>
    </w:lvl>
  </w:abstractNum>
  <w:abstractNum w:abstractNumId="199808">
    <w:lvl>
      <w:numFmt w:val="bullet"/>
      <w:suff w:val="tab"/>
      <w:lvlText w:val="•"/>
      <w:rPr>
        <w:color w:val="3370ff"/>
      </w:rPr>
    </w:lvl>
  </w:abstractNum>
  <w:abstractNum w:abstractNumId="199809">
    <w:lvl>
      <w:numFmt w:val="bullet"/>
      <w:suff w:val="tab"/>
      <w:lvlText w:val="•"/>
      <w:rPr>
        <w:color w:val="3370ff"/>
      </w:rPr>
    </w:lvl>
  </w:abstractNum>
  <w:abstractNum w:abstractNumId="199810">
    <w:lvl>
      <w:numFmt w:val="bullet"/>
      <w:suff w:val="tab"/>
      <w:lvlText w:val="•"/>
      <w:rPr>
        <w:color w:val="3370ff"/>
      </w:rPr>
    </w:lvl>
  </w:abstractNum>
  <w:abstractNum w:abstractNumId="199811">
    <w:lvl>
      <w:numFmt w:val="bullet"/>
      <w:suff w:val="tab"/>
      <w:lvlText w:val="•"/>
      <w:rPr>
        <w:color w:val="3370ff"/>
      </w:rPr>
    </w:lvl>
  </w:abstractNum>
  <w:abstractNum w:abstractNumId="199812">
    <w:lvl>
      <w:numFmt w:val="bullet"/>
      <w:suff w:val="tab"/>
      <w:lvlText w:val="•"/>
      <w:rPr>
        <w:color w:val="3370ff"/>
      </w:rPr>
    </w:lvl>
  </w:abstractNum>
  <w:abstractNum w:abstractNumId="199813">
    <w:lvl>
      <w:numFmt w:val="bullet"/>
      <w:suff w:val="tab"/>
      <w:lvlText w:val="•"/>
      <w:rPr>
        <w:color w:val="3370ff"/>
      </w:rPr>
    </w:lvl>
  </w:abstractNum>
  <w:abstractNum w:abstractNumId="199814">
    <w:lvl>
      <w:numFmt w:val="bullet"/>
      <w:suff w:val="tab"/>
      <w:lvlText w:val="•"/>
      <w:rPr>
        <w:color w:val="3370ff"/>
      </w:rPr>
    </w:lvl>
  </w:abstractNum>
  <w:abstractNum w:abstractNumId="199815">
    <w:lvl>
      <w:numFmt w:val="bullet"/>
      <w:suff w:val="tab"/>
      <w:lvlText w:val="•"/>
      <w:rPr>
        <w:color w:val="3370ff"/>
      </w:rPr>
    </w:lvl>
  </w:abstractNum>
  <w:num w:numId="1">
    <w:abstractNumId w:val="199805"/>
  </w:num>
  <w:num w:numId="2">
    <w:abstractNumId w:val="199806"/>
  </w:num>
  <w:num w:numId="3">
    <w:abstractNumId w:val="199807"/>
  </w:num>
  <w:num w:numId="4">
    <w:abstractNumId w:val="199808"/>
  </w:num>
  <w:num w:numId="5">
    <w:abstractNumId w:val="199809"/>
  </w:num>
  <w:num w:numId="6">
    <w:abstractNumId w:val="199810"/>
  </w:num>
  <w:num w:numId="7">
    <w:abstractNumId w:val="199811"/>
  </w:num>
  <w:num w:numId="8">
    <w:abstractNumId w:val="199812"/>
  </w:num>
  <w:num w:numId="9">
    <w:abstractNumId w:val="199813"/>
  </w:num>
  <w:num w:numId="10">
    <w:abstractNumId w:val="199814"/>
  </w:num>
  <w:num w:numId="11">
    <w:abstractNumId w:val="19981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2023-09-10T08:52:41Z</dcterms:created>
  <dc:creator>Apache POI</dc:creator>
</cp:coreProperties>
</file>