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docProps/custom.xml" ContentType="application/vnd.openxmlformats-officedocument.custom-properti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30"/>
          <w:szCs w:val="30"/>
          <w:color w:val="000000"/>
        </w:rPr>
        <w:t xml:space="preserve">Obesity and cardiometabolic multimorbidity in Canadian adults: relative and absolute sex differences</w:t>
      </w:r>
    </w:p>
    <w:p>
      <w:pPr>
        <w:pStyle w:val="Normal"/>
      </w:pPr>
      <w:r>
        <w:rPr>
          <w:rFonts w:ascii="Arial" w:hAnsi="Arial" w:eastAsia="Arial" w:cs="Arial"/>
          <w:i w:val="false"/>
          <w:b w:val="false"/>
          <w:u w:val="none"/>
          <w:strike w:val="false"/>
          <w:sz w:val="21"/>
          <w:szCs w:val="21"/>
          <w:color w:val="000000"/>
        </w:rPr>
        <w:t xml:space="preserve">Hayley So | h2so@uwaterloo.ca</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The question</w:t>
      </w:r>
    </w:p>
    <w:p>
      <w:pPr>
        <w:pStyle w:val="Normal"/>
      </w:pPr>
      <w:r>
        <w:rPr>
          <w:rFonts w:ascii="Arial" w:hAnsi="Arial" w:eastAsia="Arial" w:cs="Arial"/>
          <w:i w:val="false"/>
          <w:b w:val="false"/>
          <w:u w:val="none"/>
          <w:strike w:val="false"/>
          <w:sz w:val="21"/>
          <w:szCs w:val="21"/>
          <w:color w:val="000000"/>
        </w:rPr>
        <w:t xml:space="preserve">Does the link between body weight and having two or more of hypertension, diabetes and heart disease differ between women and men? Most studies compare odds ratios (the relative scale). This study also measures the absolute excess, the extra percentage of people with multimorbidity, which is what matters for planning prevention and services.</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Data and methods</w:t>
      </w:r>
    </w:p>
    <w:p>
      <w:pPr>
        <w:pStyle w:val="Normal"/>
        <w:jc w:val="left"/>
        <w:pBdr>
          <w:bottom w:val="none" w:sz="0" w:space="0" w:color="000000"/>
          <w:top w:val="none" w:sz="0" w:space="0" w:color="000000"/>
          <w:left w:val="none" w:sz="0" w:space="0" w:color="000000"/>
          <w:right w:val="none" w:sz="0" w:space="0" w:color="000000"/>
        </w:pBdr>
        <w:spacing w:after="40" w:before="0" w:line="276"/>
        <w:ind w:left="280" w:right="0" w:firstLine="0" w:firstLineChars="0"/>
      </w:pPr>
      <w:r>
        <w:rPr>
          <w:rFonts w:ascii="Arial" w:hAnsi="Arial" w:eastAsia="Arial" w:cs="Arial"/>
          <w:i w:val="false"/>
          <w:b w:val="false"/>
          <w:u w:val="none"/>
          <w:strike w:val="false"/>
          <w:sz w:val="21"/>
          <w:szCs w:val="21"/>
          <w:color w:val="000000"/>
        </w:rPr>
        <w:t xml:space="preserve">•  Canadian Community Health Survey 2017-2018 public use file: 104,611 adults, weighted to represent the Canadian household population.</w:t>
      </w:r>
    </w:p>
    <w:p>
      <w:pPr>
        <w:pStyle w:val="Normal"/>
        <w:jc w:val="left"/>
        <w:pBdr>
          <w:bottom w:val="none" w:sz="0" w:space="0" w:color="000000"/>
          <w:top w:val="none" w:sz="0" w:space="0" w:color="000000"/>
          <w:left w:val="none" w:sz="0" w:space="0" w:color="000000"/>
          <w:right w:val="none" w:sz="0" w:space="0" w:color="000000"/>
        </w:pBdr>
        <w:spacing w:after="40" w:before="0" w:line="276"/>
        <w:ind w:left="280" w:right="0" w:firstLine="0" w:firstLineChars="0"/>
      </w:pPr>
      <w:r>
        <w:rPr>
          <w:rFonts w:ascii="Arial" w:hAnsi="Arial" w:eastAsia="Arial" w:cs="Arial"/>
          <w:i w:val="false"/>
          <w:b w:val="false"/>
          <w:u w:val="none"/>
          <w:strike w:val="false"/>
          <w:sz w:val="21"/>
          <w:szCs w:val="21"/>
          <w:color w:val="000000"/>
        </w:rPr>
        <w:t xml:space="preserve">•  BMI from self-reported height and weight, adjusted for reporting bias. Survey-weighted logistic regression adjusted for age, income, education, smoking, alcohol and physical activity, with bootstrap variance and 20 multiple imputations.</w:t>
      </w:r>
    </w:p>
    <w:p>
      <w:pPr>
        <w:pStyle w:val="Normal"/>
        <w:jc w:val="left"/>
        <w:pBdr>
          <w:bottom w:val="none" w:sz="0" w:space="0" w:color="000000"/>
          <w:top w:val="none" w:sz="0" w:space="0" w:color="000000"/>
          <w:left w:val="none" w:sz="0" w:space="0" w:color="000000"/>
          <w:right w:val="none" w:sz="0" w:space="0" w:color="000000"/>
        </w:pBdr>
        <w:spacing w:after="40" w:before="0" w:line="276"/>
        <w:ind w:left="280" w:right="0" w:firstLine="0" w:firstLineChars="0"/>
      </w:pPr>
      <w:r>
        <w:rPr>
          <w:rFonts w:ascii="Arial" w:hAnsi="Arial" w:eastAsia="Arial" w:cs="Arial"/>
          <w:i w:val="false"/>
          <w:b w:val="false"/>
          <w:u w:val="none"/>
          <w:strike w:val="false"/>
          <w:sz w:val="21"/>
          <w:szCs w:val="21"/>
          <w:color w:val="000000"/>
        </w:rPr>
        <w:t xml:space="preserve">•  Interaction measured on both scales: ratio of odds ratios, relative excess risk due to interaction (RERI), and model-standardized prevalence differences.</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Main findings</w:t>
      </w:r>
    </w:p>
    <w:p>
      <w:pPr>
        <w:pStyle w:val="Normal"/>
        <w:jc w:val="left"/>
        <w:pBdr>
          <w:bottom w:val="none" w:sz="0" w:space="0" w:color="000000"/>
          <w:top w:val="none" w:sz="0" w:space="0" w:color="000000"/>
          <w:left w:val="none" w:sz="0" w:space="0" w:color="000000"/>
          <w:right w:val="none" w:sz="0" w:space="0" w:color="000000"/>
        </w:pBdr>
        <w:spacing w:after="40" w:before="0" w:line="276"/>
        <w:ind w:left="280" w:right="0" w:firstLine="0" w:firstLineChars="0"/>
      </w:pPr>
      <w:r>
        <w:rPr>
          <w:rFonts w:ascii="Arial" w:hAnsi="Arial" w:eastAsia="Arial" w:cs="Arial"/>
          <w:i w:val="false"/>
          <w:b w:val="false"/>
          <w:u w:val="none"/>
          <w:strike w:val="false"/>
          <w:sz w:val="21"/>
          <w:szCs w:val="21"/>
          <w:color w:val="000000"/>
        </w:rPr>
        <w:t xml:space="preserve">•  Obesity was associated with higher odds of multimorbidity in women (odds ratio 4.32 [95% CI 3.62 to 5.14]) and men (3.63 [95% CI 3.06 to 4.31]). On the relative scale there was no clear sex difference.</w:t>
      </w:r>
    </w:p>
    <w:p>
      <w:pPr>
        <w:pStyle w:val="Normal"/>
        <w:jc w:val="left"/>
        <w:pBdr>
          <w:bottom w:val="none" w:sz="0" w:space="0" w:color="000000"/>
          <w:top w:val="none" w:sz="0" w:space="0" w:color="000000"/>
          <w:left w:val="none" w:sz="0" w:space="0" w:color="000000"/>
          <w:right w:val="none" w:sz="0" w:space="0" w:color="000000"/>
        </w:pBdr>
        <w:spacing w:after="40" w:before="0" w:line="276"/>
        <w:ind w:left="280" w:right="0" w:firstLine="0" w:firstLineChars="0"/>
      </w:pPr>
      <w:r>
        <w:rPr>
          <w:rFonts w:ascii="Arial" w:hAnsi="Arial" w:eastAsia="Arial" w:cs="Arial"/>
          <w:i w:val="false"/>
          <w:b w:val="false"/>
          <w:u w:val="none"/>
          <w:strike w:val="false"/>
          <w:sz w:val="21"/>
          <w:szCs w:val="21"/>
          <w:color w:val="000000"/>
        </w:rPr>
        <w:t xml:space="preserve">•  On the absolute scale, obesity was associated with 6.5 more percentage points of multimorbidity in women and 7.8 in men (difference -1.4 [95% CI -2.5 to -0.2]; RERI 1.29 [95% CI 0.58 to 2.00]).</w:t>
      </w:r>
    </w:p>
    <w:p>
      <w:pPr>
        <w:pStyle w:val="Normal"/>
        <w:jc w:val="left"/>
        <w:pBdr>
          <w:bottom w:val="none" w:sz="0" w:space="0" w:color="000000"/>
          <w:top w:val="none" w:sz="0" w:space="0" w:color="000000"/>
          <w:left w:val="none" w:sz="0" w:space="0" w:color="000000"/>
          <w:right w:val="none" w:sz="0" w:space="0" w:color="000000"/>
        </w:pBdr>
        <w:spacing w:after="40" w:before="0" w:line="276"/>
        <w:ind w:left="280" w:right="0" w:firstLine="0" w:firstLineChars="0"/>
      </w:pPr>
      <w:r>
        <w:rPr>
          <w:rFonts w:ascii="Arial" w:hAnsi="Arial" w:eastAsia="Arial" w:cs="Arial"/>
          <w:i w:val="false"/>
          <w:b w:val="false"/>
          <w:u w:val="none"/>
          <w:strike w:val="false"/>
          <w:sz w:val="21"/>
          <w:szCs w:val="21"/>
          <w:color w:val="000000"/>
        </w:rPr>
        <w:t xml:space="preserve">•  The absolute excess rose steeply with age. At 65 and older it was 14.9 percentage points in women and 18.3 in men.</w:t>
      </w:r>
    </w:p>
    <w:p>
      <w:pPr>
        <w:pStyle w:val="Normal"/>
        <w:jc w:val="left"/>
        <w:pBdr>
          <w:bottom w:val="none" w:sz="0" w:space="0" w:color="000000"/>
          <w:top w:val="none" w:sz="0" w:space="0" w:color="000000"/>
          <w:left w:val="none" w:sz="0" w:space="0" w:color="000000"/>
          <w:right w:val="none" w:sz="0" w:space="0" w:color="000000"/>
        </w:pBdr>
        <w:spacing w:after="40" w:before="0" w:line="276"/>
        <w:ind w:left="280" w:right="0" w:firstLine="0" w:firstLineChars="0"/>
      </w:pPr>
      <w:r>
        <w:rPr>
          <w:rFonts w:ascii="Arial" w:hAnsi="Arial" w:eastAsia="Arial" w:cs="Arial"/>
          <w:i w:val="false"/>
          <w:b w:val="false"/>
          <w:u w:val="none"/>
          <w:strike w:val="false"/>
          <w:sz w:val="21"/>
          <w:szCs w:val="21"/>
          <w:color w:val="000000"/>
        </w:rPr>
        <w:t xml:space="preserve">•  For diabetes alone, the relative association with obesity was stronger in women (ratio of odds ratios 1.62 [95% CI 1.27 to 2.06]), yet the absolute excess was similar in both sexes.</w:t>
      </w:r>
    </w:p>
    <w:p>
      <w:pPr>
        <w:pStyle w:val="Normal"/>
        <w:jc w:val="left"/>
        <w:pBdr>
          <w:bottom w:val="none" w:sz="0" w:space="0" w:color="000000"/>
          <w:top w:val="none" w:sz="0" w:space="0" w:color="000000"/>
          <w:left w:val="none" w:sz="0" w:space="0" w:color="000000"/>
          <w:right w:val="none" w:sz="0" w:space="0" w:color="000000"/>
        </w:pBdr>
        <w:spacing w:after="40" w:before="0" w:line="276"/>
        <w:ind w:left="280" w:right="0" w:firstLine="0" w:firstLineChars="0"/>
      </w:pPr>
      <w:r>
        <w:rPr>
          <w:rFonts w:ascii="Arial" w:hAnsi="Arial" w:eastAsia="Arial" w:cs="Arial"/>
          <w:i w:val="false"/>
          <w:b w:val="false"/>
          <w:u w:val="none"/>
          <w:strike w:val="false"/>
          <w:sz w:val="21"/>
          <w:szCs w:val="21"/>
          <w:color w:val="000000"/>
        </w:rPr>
        <w:t xml:space="preserve">•  Findings were consistent with complete cases, unadjusted self-reported BMI and covariate-adjusted propensity score weighting.</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Why it matters</w:t>
      </w:r>
    </w:p>
    <w:p>
      <w:pPr>
        <w:pStyle w:val="Normal"/>
      </w:pPr>
      <w:r>
        <w:rPr>
          <w:rFonts w:ascii="Arial" w:hAnsi="Arial" w:eastAsia="Arial" w:cs="Arial"/>
          <w:i w:val="false"/>
          <w:b w:val="false"/>
          <w:u w:val="none"/>
          <w:strike w:val="false"/>
          <w:sz w:val="21"/>
          <w:szCs w:val="21"/>
          <w:color w:val="000000"/>
        </w:rPr>
        <w:t xml:space="preserve">Looking only at relative measures suggests obesity matters as much or more for women. The absolute scale shows more of the obesity-associated burden of multimorbidity among men, especially older men. Both views are needed to decide where prevention will reach the most people.</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Limitations</w:t>
      </w:r>
    </w:p>
    <w:p>
      <w:pPr>
        <w:pStyle w:val="Normal"/>
      </w:pPr>
      <w:r>
        <w:rPr>
          <w:rFonts w:ascii="Arial" w:hAnsi="Arial" w:eastAsia="Arial" w:cs="Arial"/>
          <w:i w:val="false"/>
          <w:b w:val="false"/>
          <w:u w:val="none"/>
          <w:strike w:val="false"/>
          <w:sz w:val="21"/>
          <w:szCs w:val="21"/>
          <w:color w:val="000000"/>
        </w:rPr>
        <w:t xml:space="preserve">Cross-sectional data show associations, not cause and effect. Weight, height and conditions were self-reported, so undiagnosed conditions were missed and misclassification is likely. Menopausal status and gender were not available. Data were collected before the COVID-19 pandemic.</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Data and code</w:t>
      </w:r>
    </w:p>
    <w:p>
      <w:pPr>
        <w:pStyle w:val="Normal"/>
      </w:pPr>
      <w:r>
        <w:rPr>
          <w:rFonts w:ascii="Arial" w:hAnsi="Arial" w:eastAsia="Arial" w:cs="Arial"/>
          <w:i w:val="false"/>
          <w:b w:val="false"/>
          <w:u w:val="none"/>
          <w:strike w:val="false"/>
          <w:sz w:val="21"/>
          <w:szCs w:val="21"/>
          <w:color w:val="000000"/>
        </w:rPr>
        <w:t xml:space="preserve">Statistics Canada public use microdata (Open Licence). Analysis code: https://github.com/summerarcadia/cchs-bmi-sex. Preprint: [link to be added].</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Summary: BMI, sex and cardiometabolic multimorbidity in Canadian adults</dc:title>
  <dc:subject/>
  <dc:creator>Hayley So</dc:creator>
  <cp:keywords/>
  <dc:description/>
  <cp:lastModifiedBy>hayleyso</cp:lastModifiedBy>
  <cp:revision>9</cp:revision>
  <dcterms:created xsi:type="dcterms:W3CDTF">2026-10-17T22:39:39Z</dcterms:created>
  <dcterms:modified xsi:type="dcterms:W3CDTF">2026-10-17T22:39:39Z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eywords">
    <vt:lpwstr/>
  </property>
</Properties>
</file>