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33.png" ContentType="image/png"/>
  <Override PartName="/word/media/rId26.png" ContentType="image/png"/>
  <Override PartName="/word/media/rId23.png" ContentType="image/png"/>
  <Override PartName="/word/media/rId41.png" ContentType="image/png"/>
  <Override PartName="/word/media/rId45.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Take-home</w:t>
      </w:r>
      <w:r>
        <w:t xml:space="preserve"> </w:t>
      </w:r>
      <w:r>
        <w:t xml:space="preserve">Exercise</w:t>
      </w:r>
      <w:r>
        <w:t xml:space="preserve"> </w:t>
      </w:r>
      <w:r>
        <w:t xml:space="preserve">1</w:t>
      </w:r>
      <w:r>
        <w:t xml:space="preserve"> </w:t>
      </w:r>
      <w:r>
        <w:t xml:space="preserve">–</w:t>
      </w:r>
      <w:r>
        <w:t xml:space="preserve"> </w:t>
      </w:r>
      <w:r>
        <w:t xml:space="preserve">Phase</w:t>
      </w:r>
      <w:r>
        <w:t xml:space="preserve"> </w:t>
      </w:r>
      <w:r>
        <w:t xml:space="preserve">2</w:t>
      </w:r>
    </w:p>
    <w:p>
      <w:pPr>
        <w:pStyle w:val="Author"/>
      </w:pPr>
      <w:r>
        <w:t xml:space="preserve">Nguyen</w:t>
      </w:r>
      <w:r>
        <w:t xml:space="preserve"> </w:t>
      </w:r>
      <w:r>
        <w:t xml:space="preserve">Nguyen</w:t>
      </w:r>
      <w:r>
        <w:t xml:space="preserve"> </w:t>
      </w:r>
      <w:r>
        <w:t xml:space="preserve">Ha</w:t>
      </w:r>
      <w:r>
        <w:t xml:space="preserve"> </w:t>
      </w:r>
      <w:r>
        <w:t xml:space="preserve">(Summer)</w:t>
      </w:r>
    </w:p>
    <w:p>
      <w:pPr>
        <w:pStyle w:val="Date"/>
      </w:pPr>
      <w:r>
        <w:t xml:space="preserve">2025-05-08</w:t>
      </w:r>
    </w:p>
    <w:bookmarkStart w:id="21" w:name="overview"/>
    <w:p>
      <w:pPr>
        <w:pStyle w:val="Heading1"/>
      </w:pPr>
      <w:r>
        <w:t xml:space="preserve">1. Overview</w:t>
      </w:r>
    </w:p>
    <w:p>
      <w:pPr>
        <w:pStyle w:val="FirstParagraph"/>
      </w:pPr>
      <w:r>
        <w:t xml:space="preserve">This exercise involves reviewing a classmate’s submission -</w:t>
      </w:r>
      <w:r>
        <w:t xml:space="preserve"> </w:t>
      </w:r>
      <w:hyperlink r:id="rId20">
        <w:r>
          <w:rPr>
            <w:rStyle w:val="Hyperlink"/>
          </w:rPr>
          <w:t xml:space="preserve">Enrico Sebastian</w:t>
        </w:r>
      </w:hyperlink>
      <w:r>
        <w:t xml:space="preserve">. The review will identify three effective design principles applied and three areas where the visualization can be improved. Based on this feedback, a redesigned version of the data visualization will be created.</w:t>
      </w:r>
    </w:p>
    <w:bookmarkEnd w:id="21"/>
    <w:bookmarkStart w:id="22" w:name="importing-data-and-packages"/>
    <w:p>
      <w:pPr>
        <w:pStyle w:val="Heading1"/>
      </w:pPr>
      <w:r>
        <w:t xml:space="preserve">2. Importing data and packages</w:t>
      </w:r>
    </w:p>
    <w:p>
      <w:pPr>
        <w:pStyle w:val="FirstParagraph"/>
      </w:pPr>
      <w:r>
        <w:t xml:space="preserve">First, all of his used packages and data are loaded.</w:t>
      </w:r>
    </w:p>
    <w:p>
      <w:pPr>
        <w:pStyle w:val="SourceCode"/>
      </w:pPr>
      <w:r>
        <w:rPr>
          <w:rStyle w:val="FunctionTok"/>
        </w:rPr>
        <w:t xml:space="preserve">library</w:t>
      </w:r>
      <w:r>
        <w:rPr>
          <w:rStyle w:val="NormalTok"/>
        </w:rPr>
        <w:t xml:space="preserve">(</w:t>
      </w:r>
      <w:r>
        <w:rPr>
          <w:rStyle w:val="StringTok"/>
        </w:rPr>
        <w:t xml:space="preserve">"pacman"</w:t>
      </w:r>
      <w:r>
        <w:rPr>
          <w:rStyle w:val="NormalTok"/>
        </w:rPr>
        <w:t xml:space="preserve">)</w:t>
      </w:r>
      <w:r>
        <w:br/>
      </w:r>
      <w:r>
        <w:rPr>
          <w:rStyle w:val="FunctionTok"/>
        </w:rPr>
        <w:t xml:space="preserve">suppressWarnings</w:t>
      </w:r>
      <w:r>
        <w:rPr>
          <w:rStyle w:val="NormalTok"/>
        </w:rPr>
        <w:t xml:space="preserve">(</w:t>
      </w:r>
      <w:r>
        <w:rPr>
          <w:rStyle w:val="FunctionTok"/>
        </w:rPr>
        <w:t xml:space="preserve">library</w:t>
      </w:r>
      <w:r>
        <w:rPr>
          <w:rStyle w:val="NormalTok"/>
        </w:rPr>
        <w:t xml:space="preserve">(</w:t>
      </w:r>
      <w:r>
        <w:rPr>
          <w:rStyle w:val="StringTok"/>
        </w:rPr>
        <w:t xml:space="preserve">"lubridate"</w:t>
      </w:r>
      <w:r>
        <w:rPr>
          <w:rStyle w:val="NormalTok"/>
        </w:rPr>
        <w:t xml:space="preserve">))</w:t>
      </w:r>
      <w:r>
        <w:br/>
      </w:r>
      <w:r>
        <w:rPr>
          <w:rStyle w:val="FunctionTok"/>
        </w:rPr>
        <w:t xml:space="preserve">library</w:t>
      </w:r>
      <w:r>
        <w:rPr>
          <w:rStyle w:val="NormalTok"/>
        </w:rPr>
        <w:t xml:space="preserve">(readr)</w:t>
      </w:r>
    </w:p>
    <w:p>
      <w:pPr>
        <w:pStyle w:val="SourceCode"/>
      </w:pPr>
      <w:r>
        <w:rPr>
          <w:rStyle w:val="NormalTok"/>
        </w:rPr>
        <w:t xml:space="preserve">pacman</w:t>
      </w:r>
      <w:r>
        <w:rPr>
          <w:rStyle w:val="SpecialCharTok"/>
        </w:rPr>
        <w:t xml:space="preserve">::</w:t>
      </w:r>
      <w:r>
        <w:rPr>
          <w:rStyle w:val="FunctionTok"/>
        </w:rPr>
        <w:t xml:space="preserve">p_load</w:t>
      </w:r>
      <w:r>
        <w:rPr>
          <w:rStyle w:val="NormalTok"/>
        </w:rPr>
        <w:t xml:space="preserve">(tidyverse, readxl, </w:t>
      </w:r>
      <w:r>
        <w:br/>
      </w:r>
      <w:r>
        <w:rPr>
          <w:rStyle w:val="NormalTok"/>
        </w:rPr>
        <w:t xml:space="preserve">               janitor, lubridate, </w:t>
      </w:r>
      <w:r>
        <w:br/>
      </w:r>
      <w:r>
        <w:rPr>
          <w:rStyle w:val="NormalTok"/>
        </w:rPr>
        <w:t xml:space="preserve">               ggplot2, ggthemes, </w:t>
      </w:r>
      <w:r>
        <w:br/>
      </w:r>
      <w:r>
        <w:rPr>
          <w:rStyle w:val="NormalTok"/>
        </w:rPr>
        <w:t xml:space="preserve">               scales, ggridges, </w:t>
      </w:r>
      <w:r>
        <w:br/>
      </w:r>
      <w:r>
        <w:rPr>
          <w:rStyle w:val="NormalTok"/>
        </w:rPr>
        <w:t xml:space="preserve">               ggdist, patchwork)</w:t>
      </w:r>
    </w:p>
    <w:p>
      <w:pPr>
        <w:pStyle w:val="SourceCode"/>
      </w:pPr>
      <w:r>
        <w:rPr>
          <w:rStyle w:val="NormalTok"/>
        </w:rPr>
        <w:t xml:space="preserve">Resident_Data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"data/singapore_population.csv"</w:t>
      </w:r>
      <w:r>
        <w:rPr>
          <w:rStyle w:val="NormalTok"/>
        </w:rPr>
        <w:t xml:space="preserve">)</w:t>
      </w:r>
    </w:p>
    <w:p>
      <w:pPr>
        <w:pStyle w:val="SourceCode"/>
      </w:pPr>
      <w:r>
        <w:rPr>
          <w:rStyle w:val="NormalTok"/>
        </w:rPr>
        <w:t xml:space="preserve">Resident_Data </w:t>
      </w:r>
      <w:r>
        <w:rPr>
          <w:rStyle w:val="OtherTok"/>
        </w:rPr>
        <w:t xml:space="preserve">&lt;-</w:t>
      </w:r>
      <w:r>
        <w:rPr>
          <w:rStyle w:val="NormalTok"/>
        </w:rPr>
        <w:t xml:space="preserve"> Resident_Data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FA =</w:t>
      </w:r>
      <w:r>
        <w:rPr>
          <w:rStyle w:val="NormalTok"/>
        </w:rPr>
        <w:t xml:space="preserve"> </w:t>
      </w:r>
      <w:r>
        <w:rPr>
          <w:rStyle w:val="FunctionTok"/>
        </w:rPr>
        <w:t xml:space="preserve">case_when</w:t>
      </w:r>
      <w:r>
        <w:rPr>
          <w:rStyle w:val="NormalTok"/>
        </w:rPr>
        <w:t xml:space="preserve">(</w:t>
      </w:r>
      <w:r>
        <w:br/>
      </w:r>
      <w:r>
        <w:rPr>
          <w:rStyle w:val="NormalTok"/>
        </w:rPr>
        <w:t xml:space="preserve">      Age </w:t>
      </w:r>
      <w:r>
        <w:rPr>
          <w:rStyle w:val="SpecialCharTok"/>
        </w:rPr>
        <w:t xml:space="preserve">&lt;=</w:t>
      </w:r>
      <w:r>
        <w:rPr>
          <w:rStyle w:val="NormalTok"/>
        </w:rPr>
        <w:t xml:space="preserve"> </w:t>
      </w:r>
      <w:r>
        <w:rPr>
          <w:rStyle w:val="DecValTok"/>
        </w:rPr>
        <w:t xml:space="preserve">60</w:t>
      </w:r>
      <w:r>
        <w:rPr>
          <w:rStyle w:val="NormalTok"/>
        </w:rPr>
        <w:t xml:space="preserve"> </w:t>
      </w:r>
      <w:r>
        <w:rPr>
          <w:rStyle w:val="SpecialCharTok"/>
        </w:rPr>
        <w:t xml:space="preserve">~</w:t>
      </w:r>
      <w:r>
        <w:rPr>
          <w:rStyle w:val="NormalTok"/>
        </w:rPr>
        <w:t xml:space="preserve"> </w:t>
      </w:r>
      <w:r>
        <w:rPr>
          <w:rStyle w:val="StringTok"/>
        </w:rPr>
        <w:t xml:space="preserve">"&lt;= 60"</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60</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80</w:t>
      </w:r>
      <w:r>
        <w:rPr>
          <w:rStyle w:val="NormalTok"/>
        </w:rPr>
        <w:t xml:space="preserve"> </w:t>
      </w:r>
      <w:r>
        <w:rPr>
          <w:rStyle w:val="SpecialCharTok"/>
        </w:rPr>
        <w:t xml:space="preserve">~</w:t>
      </w:r>
      <w:r>
        <w:rPr>
          <w:rStyle w:val="NormalTok"/>
        </w:rPr>
        <w:t xml:space="preserve"> </w:t>
      </w:r>
      <w:r>
        <w:rPr>
          <w:rStyle w:val="StringTok"/>
        </w:rPr>
        <w:t xml:space="preserve">"&gt;60 to 80"</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80</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StringTok"/>
        </w:rPr>
        <w:t xml:space="preserve">"&gt;80 to 100"</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100</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120</w:t>
      </w:r>
      <w:r>
        <w:rPr>
          <w:rStyle w:val="NormalTok"/>
        </w:rPr>
        <w:t xml:space="preserve"> </w:t>
      </w:r>
      <w:r>
        <w:rPr>
          <w:rStyle w:val="SpecialCharTok"/>
        </w:rPr>
        <w:t xml:space="preserve">~</w:t>
      </w:r>
      <w:r>
        <w:rPr>
          <w:rStyle w:val="NormalTok"/>
        </w:rPr>
        <w:t xml:space="preserve"> </w:t>
      </w:r>
      <w:r>
        <w:rPr>
          <w:rStyle w:val="StringTok"/>
        </w:rPr>
        <w:t xml:space="preserve">"&gt;100 to 120"</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120</w:t>
      </w:r>
      <w:r>
        <w:rPr>
          <w:rStyle w:val="NormalTok"/>
        </w:rPr>
        <w:t xml:space="preserve"> </w:t>
      </w:r>
      <w:r>
        <w:rPr>
          <w:rStyle w:val="SpecialCharTok"/>
        </w:rPr>
        <w:t xml:space="preserve">~</w:t>
      </w:r>
      <w:r>
        <w:rPr>
          <w:rStyle w:val="NormalTok"/>
        </w:rPr>
        <w:t xml:space="preserve"> </w:t>
      </w:r>
      <w:r>
        <w:rPr>
          <w:rStyle w:val="StringTok"/>
        </w:rPr>
        <w:t xml:space="preserve">"&gt;120"</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"Not Available"</w:t>
      </w:r>
      <w:r>
        <w:br/>
      </w:r>
      <w:r>
        <w:rPr>
          <w:rStyle w:val="NormalTok"/>
        </w:rPr>
        <w:t xml:space="preserve">    )</w:t>
      </w:r>
      <w:r>
        <w:br/>
      </w:r>
      <w:r>
        <w:rPr>
          <w:rStyle w:val="NormalTok"/>
        </w:rPr>
        <w:t xml:space="preserve">  )</w:t>
      </w:r>
    </w:p>
    <w:bookmarkEnd w:id="22"/>
    <w:bookmarkStart w:id="32" w:name="Xc6f10c09e387a7c3ce03a9c8f7f02825bda35c1"/>
    <w:p>
      <w:pPr>
        <w:pStyle w:val="Heading1"/>
      </w:pPr>
      <w:r>
        <w:t xml:space="preserve">3. Orignal visualization - Using Box Plot based on Age Range</w:t>
      </w:r>
    </w:p>
    <w:p>
      <w:pPr>
        <w:pStyle w:val="Compact"/>
        <w:numPr>
          <w:ilvl w:val="0"/>
          <w:numId w:val="1001"/>
        </w:numPr>
      </w:pPr>
      <w:r>
        <w:rPr>
          <w:b/>
          <w:bCs/>
        </w:rPr>
        <w:t xml:space="preserve">Purpose</w:t>
      </w:r>
      <w:r>
        <w:t xml:space="preserve">: The classmate used a box plot to visually present the distribution and variability of the data, aiming to compare population distributions across different Functional Age (FA) Bands.</w:t>
      </w:r>
    </w:p>
    <w:p>
      <w:pPr>
        <w:pStyle w:val="Heading3"/>
      </w:pPr>
      <w:r>
        <w:t xml:space="preserve">Plot</w:t>
      </w:r>
    </w:p>
    <w:p>
      <w:pPr>
        <w:pStyle w:val="FirstParagraph"/>
      </w:pPr>
      <w:r>
        <w:drawing>
          <wp:inline>
            <wp:extent cx="5334000" cy="4267200"/>
            <wp:effectExtent b="0" l="0" r="0" t="0"/>
            <wp:docPr descr="" title="" id="24" name="Picture"/>
            <a:graphic>
              <a:graphicData uri="http://schemas.openxmlformats.org/drawingml/2006/picture">
                <pic:pic>
                  <pic:nvPicPr>
                    <pic:cNvPr descr="Take-home_Ex01_Phrase-2_files/figure-docx/unnamed-chunk-5-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3"/>
      </w:pPr>
      <w:r>
        <w:t xml:space="preserve">Code</w:t>
      </w:r>
    </w:p>
    <w:p>
      <w:pPr>
        <w:pStyle w:val="SourceCode"/>
      </w:pPr>
      <w:r>
        <w:rPr>
          <w:rStyle w:val="NormalTok"/>
        </w:rPr>
        <w:t xml:space="preserve">FA_order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"&lt;= 60"</w:t>
      </w:r>
      <w:r>
        <w:rPr>
          <w:rStyle w:val="NormalTok"/>
        </w:rPr>
        <w:t xml:space="preserve">, </w:t>
      </w:r>
      <w:r>
        <w:rPr>
          <w:rStyle w:val="StringTok"/>
        </w:rPr>
        <w:t xml:space="preserve">"&gt;60 to 80"</w:t>
      </w:r>
      <w:r>
        <w:rPr>
          <w:rStyle w:val="NormalTok"/>
        </w:rPr>
        <w:t xml:space="preserve">, </w:t>
      </w:r>
      <w:r>
        <w:rPr>
          <w:rStyle w:val="StringTok"/>
        </w:rPr>
        <w:t xml:space="preserve">"&gt;80 to 100"</w:t>
      </w:r>
      <w:r>
        <w:rPr>
          <w:rStyle w:val="NormalTok"/>
        </w:rPr>
        <w:t xml:space="preserve">, </w:t>
      </w:r>
      <w:r>
        <w:rPr>
          <w:rStyle w:val="StringTok"/>
        </w:rPr>
        <w:t xml:space="preserve">"&gt;100 to 120"</w:t>
      </w:r>
      <w:r>
        <w:rPr>
          <w:rStyle w:val="NormalTok"/>
        </w:rPr>
        <w:t xml:space="preserve">, </w:t>
      </w:r>
      <w:r>
        <w:rPr>
          <w:rStyle w:val="StringTok"/>
        </w:rPr>
        <w:t xml:space="preserve">"&gt;120"</w:t>
      </w:r>
      <w:r>
        <w:rPr>
          <w:rStyle w:val="NormalTok"/>
        </w:rPr>
        <w:t xml:space="preserve">, </w:t>
      </w:r>
      <w:r>
        <w:rPr>
          <w:rStyle w:val="StringTok"/>
        </w:rPr>
        <w:t xml:space="preserve">"Not Available"</w:t>
      </w:r>
      <w:r>
        <w:rPr>
          <w:rStyle w:val="NormalTok"/>
        </w:rPr>
        <w:t xml:space="preserve">)</w:t>
      </w:r>
      <w:r>
        <w:br/>
      </w:r>
      <w:r>
        <w:rPr>
          <w:rStyle w:val="NormalTok"/>
        </w:rPr>
        <w:t xml:space="preserve">Resident_Data</w:t>
      </w:r>
      <w:r>
        <w:rPr>
          <w:rStyle w:val="SpecialCharTok"/>
        </w:rPr>
        <w:t xml:space="preserve">$</w:t>
      </w:r>
      <w:r>
        <w:rPr>
          <w:rStyle w:val="NormalTok"/>
        </w:rPr>
        <w:t xml:space="preserve">FA </w:t>
      </w:r>
      <w:r>
        <w:rPr>
          <w:rStyle w:val="OtherTok"/>
        </w:rPr>
        <w:t xml:space="preserve">&lt;-</w:t>
      </w:r>
      <w:r>
        <w:rPr>
          <w:rStyle w:val="NormalTok"/>
        </w:rPr>
        <w:t xml:space="preserve"> </w:t>
      </w:r>
      <w:r>
        <w:rPr>
          <w:rStyle w:val="FunctionTok"/>
        </w:rPr>
        <w:t xml:space="preserve">factor</w:t>
      </w:r>
      <w:r>
        <w:rPr>
          <w:rStyle w:val="NormalTok"/>
        </w:rPr>
        <w:t xml:space="preserve">(Resident_Data</w:t>
      </w:r>
      <w:r>
        <w:rPr>
          <w:rStyle w:val="SpecialCharTok"/>
        </w:rPr>
        <w:t xml:space="preserve">$</w:t>
      </w:r>
      <w:r>
        <w:rPr>
          <w:rStyle w:val="NormalTok"/>
        </w:rPr>
        <w:t xml:space="preserve">FA, </w:t>
      </w:r>
      <w:r>
        <w:rPr>
          <w:rStyle w:val="AttributeTok"/>
        </w:rPr>
        <w:t xml:space="preserve">levels =</w:t>
      </w:r>
      <w:r>
        <w:rPr>
          <w:rStyle w:val="NormalTok"/>
        </w:rPr>
        <w:t xml:space="preserve"> FA_order)</w:t>
      </w:r>
      <w:r>
        <w:br/>
      </w:r>
      <w:r>
        <w:br/>
      </w:r>
      <w:r>
        <w:rPr>
          <w:rStyle w:val="FunctionTok"/>
        </w:rPr>
        <w:t xml:space="preserve">ggplot</w:t>
      </w:r>
      <w:r>
        <w:rPr>
          <w:rStyle w:val="NormalTok"/>
        </w:rPr>
        <w:t xml:space="preserve">(Resident_Data, </w:t>
      </w:r>
      <w:r>
        <w:rPr>
          <w:rStyle w:val="FunctionTok"/>
        </w:rPr>
        <w:t xml:space="preserve">aes</w:t>
      </w:r>
      <w:r>
        <w:rPr>
          <w:rStyle w:val="NormalTok"/>
        </w:rPr>
        <w:t xml:space="preserve">(</w:t>
      </w:r>
      <w:r>
        <w:rPr>
          <w:rStyle w:val="AttributeTok"/>
        </w:rPr>
        <w:t xml:space="preserve">x =</w:t>
      </w:r>
      <w:r>
        <w:rPr>
          <w:rStyle w:val="NormalTok"/>
        </w:rPr>
        <w:t xml:space="preserve"> FA, </w:t>
      </w:r>
      <w:r>
        <w:rPr>
          <w:rStyle w:val="AttributeTok"/>
        </w:rPr>
        <w:t xml:space="preserve">y =</w:t>
      </w:r>
      <w:r>
        <w:rPr>
          <w:rStyle w:val="NormalTok"/>
        </w:rPr>
        <w:t xml:space="preserve"> Pop))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"lightgreen"</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"Population by Functional Age Range (FA)"</w:t>
      </w:r>
      <w:r>
        <w:rPr>
          <w:rStyle w:val="NormalTok"/>
        </w:rPr>
        <w:t xml:space="preserve">, </w:t>
      </w:r>
      <w:r>
        <w:rPr>
          <w:rStyle w:val="AttributeTok"/>
        </w:rPr>
        <w:t xml:space="preserve">x =</w:t>
      </w:r>
      <w:r>
        <w:rPr>
          <w:rStyle w:val="NormalTok"/>
        </w:rPr>
        <w:t xml:space="preserve"> </w:t>
      </w:r>
      <w:r>
        <w:rPr>
          <w:rStyle w:val="StringTok"/>
        </w:rPr>
        <w:t xml:space="preserve">"FA Band"</w:t>
      </w:r>
      <w:r>
        <w:rPr>
          <w:rStyle w:val="NormalTok"/>
        </w:rPr>
        <w:t xml:space="preserve">, </w:t>
      </w:r>
      <w:r>
        <w:rPr>
          <w:rStyle w:val="AttributeTok"/>
        </w:rPr>
        <w:t xml:space="preserve">y =</w:t>
      </w:r>
      <w:r>
        <w:rPr>
          <w:rStyle w:val="NormalTok"/>
        </w:rPr>
        <w:t xml:space="preserve"> </w:t>
      </w:r>
      <w:r>
        <w:rPr>
          <w:rStyle w:val="StringTok"/>
        </w:rPr>
        <w:t xml:space="preserve">"Population"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Users/summernguyen/Desktop/RStudio.app/Contents/Resources/app/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Using the mate’s provided code, the plot generated is differnt from the original one. For better interpretability, the original plot will be provided as image</w:t>
            </w:r>
          </w:p>
        </w:tc>
      </w:tr>
    </w:tbl>
    <w:p>
      <w:pPr>
        <w:pStyle w:val="BodyText"/>
      </w:pPr>
      <w:r>
        <w:rPr>
          <w:b/>
          <w:bCs/>
        </w:rPr>
        <w:t xml:space="preserve">Original Plot</w:t>
      </w:r>
    </w:p>
    <w:p>
      <w:pPr>
        <w:pStyle w:val="BodyText"/>
      </w:pPr>
      <w:r>
        <w:drawing>
          <wp:inline>
            <wp:extent cx="5334000" cy="3896927"/>
            <wp:effectExtent b="0" l="0" r="0" t="0"/>
            <wp:docPr descr="" title="" id="30" name="Picture"/>
            <a:graphic>
              <a:graphicData uri="http://schemas.openxmlformats.org/drawingml/2006/picture">
                <pic:pic>
                  <pic:nvPicPr>
                    <pic:cNvPr descr="images/2.png" id="31" name="Picture"/>
                    <pic:cNvPicPr>
                      <a:picLocks noChangeArrowheads="1" noChangeAspect="1"/>
                    </pic:cNvPicPr>
                  </pic:nvPicPr>
                  <pic:blipFill>
                    <a:blip r:embed="rId29"/>
                    <a:stretch>
                      <a:fillRect/>
                    </a:stretch>
                  </pic:blipFill>
                  <pic:spPr bwMode="auto">
                    <a:xfrm>
                      <a:off x="0" y="0"/>
                      <a:ext cx="5334000" cy="3896927"/>
                    </a:xfrm>
                    <a:prstGeom prst="rect">
                      <a:avLst/>
                    </a:prstGeom>
                    <a:noFill/>
                    <a:ln w="9525">
                      <a:noFill/>
                      <a:headEnd/>
                      <a:tailEnd/>
                    </a:ln>
                  </pic:spPr>
                </pic:pic>
              </a:graphicData>
            </a:graphic>
          </wp:inline>
        </w:drawing>
      </w:r>
    </w:p>
    <w:p>
      <w:pPr>
        <w:pStyle w:val="BodyText"/>
      </w:pPr>
      <w:r>
        <w:rPr>
          <w:b/>
          <w:bCs/>
        </w:rPr>
        <w:t xml:space="preserve">The classmate’s plot interpretation</w:t>
      </w:r>
      <w:r>
        <w:t xml:space="preserve">:</w:t>
      </w:r>
    </w:p>
    <w:p>
      <w:pPr>
        <w:pStyle w:val="Compact"/>
        <w:numPr>
          <w:ilvl w:val="0"/>
          <w:numId w:val="1002"/>
        </w:numPr>
      </w:pPr>
      <w:r>
        <w:t xml:space="preserve">The population in the &gt;100 to 120 FA Band shows a wider spread and higher population values compared to the &lt;=60 FA Band.</w:t>
      </w:r>
    </w:p>
    <w:p>
      <w:pPr>
        <w:pStyle w:val="Compact"/>
        <w:numPr>
          <w:ilvl w:val="0"/>
          <w:numId w:val="1002"/>
        </w:numPr>
      </w:pPr>
      <w:r>
        <w:t xml:space="preserve">A large spread in the &gt;100 to 120 FA Band indicates greater variability in population within this age range.</w:t>
      </w:r>
    </w:p>
    <w:p>
      <w:pPr>
        <w:pStyle w:val="Compact"/>
        <w:numPr>
          <w:ilvl w:val="0"/>
          <w:numId w:val="1002"/>
        </w:numPr>
      </w:pPr>
      <w:r>
        <w:t xml:space="preserve">The median line is positioned higher in the box, suggesting a higher central tendency for this age band.</w:t>
      </w:r>
    </w:p>
    <w:p>
      <w:pPr>
        <w:pStyle w:val="Compact"/>
        <w:numPr>
          <w:ilvl w:val="0"/>
          <w:numId w:val="1002"/>
        </w:numPr>
      </w:pPr>
      <w:r>
        <w:t xml:space="preserve">The presence of outliers in some bands indicates the existence of extreme population values.</w:t>
      </w:r>
    </w:p>
    <w:p>
      <w:pPr>
        <w:pStyle w:val="Compact"/>
        <w:numPr>
          <w:ilvl w:val="0"/>
          <w:numId w:val="1002"/>
        </w:numPr>
      </w:pPr>
      <w:r>
        <w:t xml:space="preserve">These outliers suggest that certain age groups may have a more diverse or skewed distribution.</w:t>
      </w:r>
    </w:p>
    <w:bookmarkEnd w:id="32"/>
    <w:bookmarkStart w:id="36" w:name="three-good-design-principles"/>
    <w:p>
      <w:pPr>
        <w:pStyle w:val="Heading1"/>
      </w:pPr>
      <w:r>
        <w:t xml:space="preserve">4. Three good design principles</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Users/summernguyen/Desktop/RStudio.app/Contents/Resources/app/quarto/share/formats/docx/tip.png" id="35"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Three good design principles</w:t>
            </w:r>
          </w:p>
        </w:tc>
      </w:tr>
      <w:tr>
        <w:trPr>
          <w:cantSplit/>
        </w:trPr>
        <w:tc>
          <w:tcPr>
            <w:tcMar>
              <w:top w:w="108" w:type="dxa"/>
              <w:bottom w:w="108" w:type="dxa"/>
            </w:tcMar>
          </w:tcPr>
          <w:p>
            <w:pPr>
              <w:numPr>
                <w:ilvl w:val="0"/>
                <w:numId w:val="1003"/>
              </w:numPr>
            </w:pPr>
            <w:r>
              <w:rPr>
                <w:b/>
                <w:bCs/>
              </w:rPr>
              <w:t xml:space="preserve">Clear Axis Labels and Titles</w:t>
            </w:r>
            <w:r>
              <w:t xml:space="preserve">: The x-axis (FA Band) and y-axis (Population) are clearly labeled, and the title</w:t>
            </w:r>
            <w:r>
              <w:t xml:space="preserve"> </w:t>
            </w:r>
            <w:r>
              <w:t xml:space="preserve">“</w:t>
            </w:r>
            <w:r>
              <w:t xml:space="preserve">Population by Functional Age Range (FA)</w:t>
            </w:r>
            <w:r>
              <w:t xml:space="preserve">”</w:t>
            </w:r>
            <w:r>
              <w:t xml:space="preserve"> </w:t>
            </w:r>
            <w:r>
              <w:t xml:space="preserve">clearly explains what the chart is about.</w:t>
            </w:r>
          </w:p>
          <w:p>
            <w:pPr>
              <w:numPr>
                <w:ilvl w:val="0"/>
                <w:numId w:val="1003"/>
              </w:numPr>
            </w:pPr>
            <w:r>
              <w:rPr>
                <w:b/>
                <w:bCs/>
              </w:rPr>
              <w:t xml:space="preserve">Outlier Visibility and Data Granularity</w:t>
            </w:r>
            <w:r>
              <w:t xml:space="preserve">: The inclusion of individual data points (outliers) gives viewers more detailed insight into data distribution beyond quartiles.</w:t>
            </w:r>
          </w:p>
          <w:p>
            <w:pPr>
              <w:numPr>
                <w:ilvl w:val="0"/>
                <w:numId w:val="1003"/>
              </w:numPr>
            </w:pPr>
            <w:r>
              <w:rPr>
                <w:b/>
                <w:bCs/>
              </w:rPr>
              <w:t xml:space="preserve">Logical Ordering of Age Bands</w:t>
            </w:r>
            <w:r>
              <w:t xml:space="preserve">: The FA Bands on the x-axis are ordered logically from youngest (&lt;=60) to oldest (&gt;120), which supports intuitive comparisons.</w:t>
            </w:r>
          </w:p>
        </w:tc>
      </w:tr>
    </w:tbl>
    <w:bookmarkEnd w:id="36"/>
    <w:bookmarkStart w:id="40" w:name="three-areas-for-further-improvement"/>
    <w:p>
      <w:pPr>
        <w:pStyle w:val="Heading1"/>
      </w:pPr>
      <w:r>
        <w:t xml:space="preserve">5. Three areas for further improvement</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Users/summernguyen/Desktop/RStudio.app/Contents/Resources/app/quarto/share/formats/docx/important.png" id="39" name="Picture"/>
                          <pic:cNvPicPr>
                            <a:picLocks noChangeArrowheads="1" noChangeAspect="1"/>
                          </pic:cNvPicPr>
                        </pic:nvPicPr>
                        <pic:blipFill>
                          <a:blip r:embed="rId3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Three areas for further improvement</w:t>
            </w:r>
          </w:p>
        </w:tc>
      </w:tr>
      <w:tr>
        <w:trPr>
          <w:cantSplit/>
        </w:trPr>
        <w:tc>
          <w:tcPr>
            <w:tcMar>
              <w:top w:w="108" w:type="dxa"/>
              <w:bottom w:w="108" w:type="dxa"/>
            </w:tcMar>
          </w:tcPr>
          <w:p>
            <w:pPr>
              <w:numPr>
                <w:ilvl w:val="0"/>
                <w:numId w:val="1004"/>
              </w:numPr>
            </w:pPr>
            <w:r>
              <w:rPr>
                <w:b/>
                <w:bCs/>
              </w:rPr>
              <w:t xml:space="preserve">Mismatch Between Data Type and Visualization Method</w:t>
            </w:r>
            <w:r>
              <w:t xml:space="preserve">: Population count is a form of aggregated count data, not a continuous variable. Since box plots are best suited for showing distributions of continuous data, using them to display aggregated population values per FA Band may mislead viewers.</w:t>
            </w:r>
          </w:p>
          <w:p>
            <w:pPr>
              <w:numPr>
                <w:ilvl w:val="0"/>
                <w:numId w:val="1004"/>
              </w:numPr>
            </w:pPr>
            <w:r>
              <w:rPr>
                <w:b/>
                <w:bCs/>
              </w:rPr>
              <w:t xml:space="preserve">“</w:t>
            </w:r>
            <w:r>
              <w:rPr>
                <w:b/>
                <w:bCs/>
              </w:rPr>
              <w:t xml:space="preserve">Not Available</w:t>
            </w:r>
            <w:r>
              <w:rPr>
                <w:b/>
                <w:bCs/>
              </w:rPr>
              <w:t xml:space="preserve">”</w:t>
            </w:r>
            <w:r>
              <w:rPr>
                <w:b/>
                <w:bCs/>
              </w:rPr>
              <w:t xml:space="preserve"> </w:t>
            </w:r>
            <w:r>
              <w:rPr>
                <w:b/>
                <w:bCs/>
              </w:rPr>
              <w:t xml:space="preserve">Treated as a Comparable Group</w:t>
            </w:r>
            <w:r>
              <w:t xml:space="preserve">: Including</w:t>
            </w:r>
            <w:r>
              <w:t xml:space="preserve"> </w:t>
            </w:r>
            <w:r>
              <w:t xml:space="preserve">“</w:t>
            </w:r>
            <w:r>
              <w:t xml:space="preserve">Not Available</w:t>
            </w:r>
            <w:r>
              <w:t xml:space="preserve">”</w:t>
            </w:r>
            <w:r>
              <w:t xml:space="preserve"> </w:t>
            </w:r>
            <w:r>
              <w:t xml:space="preserve">as a FA Band on the same axis as valid ranges gives the false impression that it’s a meaningful category for comparison. This could be misleading.</w:t>
            </w:r>
          </w:p>
          <w:p>
            <w:pPr>
              <w:numPr>
                <w:ilvl w:val="0"/>
                <w:numId w:val="1004"/>
              </w:numPr>
            </w:pPr>
            <w:r>
              <w:rPr>
                <w:b/>
                <w:bCs/>
              </w:rPr>
              <w:t xml:space="preserve">Lack of Summary Statistics Displayed</w:t>
            </w:r>
            <w:r>
              <w:t xml:space="preserve">: While box plots visually encode the median and interquartile range, the exact values cannot be read directly from the chart, making it difficult to interpret in this case. Viewers are left to estimate the central tendency and spread, which may lead to misunderstanding.</w:t>
            </w:r>
          </w:p>
        </w:tc>
      </w:tr>
    </w:tbl>
    <w:bookmarkEnd w:id="40"/>
    <w:bookmarkStart w:id="49" w:name="makeover-version"/>
    <w:p>
      <w:pPr>
        <w:pStyle w:val="Heading1"/>
      </w:pPr>
      <w:r>
        <w:t xml:space="preserve">6. Makeover version</w:t>
      </w:r>
    </w:p>
    <w:bookmarkStart w:id="44" w:name="X1ca38a25e5433885cf035da60fbfd976c701179"/>
    <w:p>
      <w:pPr>
        <w:pStyle w:val="Heading2"/>
      </w:pPr>
      <w:r>
        <w:t xml:space="preserve">6.1.</w:t>
      </w:r>
      <w:r>
        <w:t xml:space="preserve"> </w:t>
      </w:r>
      <w:r>
        <w:rPr>
          <w:b/>
          <w:bCs/>
        </w:rPr>
        <w:t xml:space="preserve">How the makeover tackles the aforementioned limitations</w:t>
      </w:r>
      <w:r>
        <w:t xml:space="preserve">:</w:t>
      </w:r>
    </w:p>
    <w:tbl>
      <w:tblPr>
        <w:tblStyle w:val="Table"/>
        <w:tblW w:type="pct" w:w="5000"/>
        <w:tblLayout w:type="fixed"/>
        <w:tblLook w:firstRow="1" w:lastRow="0" w:firstColumn="0" w:lastColumn="0" w:noHBand="0" w:noVBand="0" w:val="0020"/>
      </w:tblPr>
      <w:tblGrid>
        <w:gridCol w:w="2517"/>
        <w:gridCol w:w="5402"/>
      </w:tblGrid>
      <w:tr>
        <w:trPr>
          <w:tblHeader w:val="on"/>
        </w:trPr>
        <w:tc>
          <w:tcPr/>
          <w:p>
            <w:pPr>
              <w:pStyle w:val="Compact"/>
              <w:jc w:val="left"/>
            </w:pPr>
            <w:r>
              <w:t xml:space="preserve">Original Issue</w:t>
            </w:r>
          </w:p>
        </w:tc>
        <w:tc>
          <w:tcPr/>
          <w:p>
            <w:pPr>
              <w:pStyle w:val="Compact"/>
              <w:jc w:val="left"/>
            </w:pPr>
            <w:r>
              <w:t xml:space="preserve">Fix in Makeover</w:t>
            </w:r>
          </w:p>
        </w:tc>
      </w:tr>
      <w:tr>
        <w:tc>
          <w:tcPr/>
          <w:p>
            <w:pPr>
              <w:pStyle w:val="Compact"/>
              <w:jc w:val="left"/>
            </w:pPr>
            <w:r>
              <w:t xml:space="preserve">1. Mismatch Between Data Type and Visualization Method</w:t>
            </w:r>
          </w:p>
        </w:tc>
        <w:tc>
          <w:tcPr/>
          <w:p>
            <w:pPr>
              <w:pStyle w:val="Compact"/>
              <w:jc w:val="left"/>
            </w:pPr>
            <w:r>
              <w:t xml:space="preserve">Uses</w:t>
            </w:r>
            <w:r>
              <w:t xml:space="preserve"> </w:t>
            </w:r>
            <w:r>
              <w:rPr>
                <w:b/>
                <w:bCs/>
              </w:rPr>
              <w:t xml:space="preserve">bar chart</w:t>
            </w:r>
            <w:r>
              <w:t xml:space="preserve"> </w:t>
            </w:r>
            <w:r>
              <w:t xml:space="preserve">for aggregated count data instead of boxplot, which is meant for continuous distribution.</w:t>
            </w:r>
          </w:p>
        </w:tc>
      </w:tr>
      <w:tr>
        <w:tc>
          <w:tcPr/>
          <w:p>
            <w:pPr>
              <w:pStyle w:val="Compact"/>
              <w:jc w:val="left"/>
            </w:pPr>
            <w:r>
              <w:t xml:space="preserve">2.</w:t>
            </w:r>
            <w:r>
              <w:t xml:space="preserve"> </w:t>
            </w:r>
            <w:r>
              <w:t xml:space="preserve">“</w:t>
            </w:r>
            <w:r>
              <w:t xml:space="preserve">Not Available</w:t>
            </w:r>
            <w:r>
              <w:t xml:space="preserve">”</w:t>
            </w:r>
            <w:r>
              <w:t xml:space="preserve"> </w:t>
            </w:r>
            <w:r>
              <w:t xml:space="preserve">Treated as Comparable Group</w:t>
            </w:r>
          </w:p>
        </w:tc>
        <w:tc>
          <w:tcPr/>
          <w:p>
            <w:pPr>
              <w:pStyle w:val="Compact"/>
              <w:jc w:val="left"/>
            </w:pPr>
            <w:r>
              <w:t xml:space="preserve">Explicitly</w:t>
            </w:r>
            <w:r>
              <w:t xml:space="preserve"> </w:t>
            </w:r>
            <w:r>
              <w:rPr>
                <w:b/>
                <w:bCs/>
              </w:rPr>
              <w:t xml:space="preserve">filters out</w:t>
            </w:r>
            <w:r>
              <w:rPr>
                <w:b/>
                <w:bCs/>
              </w:rPr>
              <w:t xml:space="preserve"> </w:t>
            </w:r>
            <w:r>
              <w:rPr>
                <w:b/>
                <w:bCs/>
              </w:rPr>
              <w:t xml:space="preserve">‘</w:t>
            </w:r>
            <w:r>
              <w:rPr>
                <w:b/>
                <w:bCs/>
              </w:rPr>
              <w:t xml:space="preserve">Not Available</w:t>
            </w:r>
            <w:r>
              <w:rPr>
                <w:b/>
                <w:bCs/>
              </w:rPr>
              <w:t xml:space="preserve">’</w:t>
            </w:r>
            <w:r>
              <w:t xml:space="preserve"> </w:t>
            </w:r>
            <w:r>
              <w:t xml:space="preserve">to avoid misleading comparison with valid age bands.</w:t>
            </w:r>
          </w:p>
        </w:tc>
      </w:tr>
      <w:tr>
        <w:tc>
          <w:tcPr/>
          <w:p>
            <w:pPr>
              <w:pStyle w:val="Compact"/>
              <w:jc w:val="left"/>
            </w:pPr>
            <w:r>
              <w:t xml:space="preserve">3. Lack of Summary Statistics Displayed</w:t>
            </w:r>
          </w:p>
        </w:tc>
        <w:tc>
          <w:tcPr/>
          <w:p>
            <w:pPr>
              <w:pStyle w:val="Compact"/>
              <w:jc w:val="left"/>
            </w:pPr>
            <w:r>
              <w:t xml:space="preserve">Displays</w:t>
            </w:r>
            <w:r>
              <w:t xml:space="preserve"> </w:t>
            </w:r>
            <w:r>
              <w:rPr>
                <w:b/>
                <w:bCs/>
              </w:rPr>
              <w:t xml:space="preserve">exact totals as labels</w:t>
            </w:r>
            <w:r>
              <w:t xml:space="preserve"> </w:t>
            </w:r>
            <w:r>
              <w:t xml:space="preserve">on bars, making the chart easily interpretable. No need to guess medians or IQRs.</w:t>
            </w:r>
          </w:p>
        </w:tc>
      </w:tr>
    </w:tbl>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br/>
      </w:r>
      <w:r>
        <w:rPr>
          <w:rStyle w:val="CommentTok"/>
        </w:rPr>
        <w:t xml:space="preserve"># Define FA Band order (without "Not Available")</w:t>
      </w:r>
      <w:r>
        <w:br/>
      </w:r>
      <w:r>
        <w:rPr>
          <w:rStyle w:val="NormalTok"/>
        </w:rPr>
        <w:t xml:space="preserve">FA_order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"&lt;= 60"</w:t>
      </w:r>
      <w:r>
        <w:rPr>
          <w:rStyle w:val="NormalTok"/>
        </w:rPr>
        <w:t xml:space="preserve">, </w:t>
      </w:r>
      <w:r>
        <w:rPr>
          <w:rStyle w:val="StringTok"/>
        </w:rPr>
        <w:t xml:space="preserve">"&gt;60 to 80"</w:t>
      </w:r>
      <w:r>
        <w:rPr>
          <w:rStyle w:val="NormalTok"/>
        </w:rPr>
        <w:t xml:space="preserve">, </w:t>
      </w:r>
      <w:r>
        <w:rPr>
          <w:rStyle w:val="StringTok"/>
        </w:rPr>
        <w:t xml:space="preserve">"&gt;80 to 100"</w:t>
      </w:r>
      <w:r>
        <w:rPr>
          <w:rStyle w:val="NormalTok"/>
        </w:rPr>
        <w:t xml:space="preserve">, </w:t>
      </w:r>
      <w:r>
        <w:rPr>
          <w:rStyle w:val="StringTok"/>
        </w:rPr>
        <w:t xml:space="preserve">"&gt;100 to 120"</w:t>
      </w:r>
      <w:r>
        <w:rPr>
          <w:rStyle w:val="NormalTok"/>
        </w:rPr>
        <w:t xml:space="preserve">, </w:t>
      </w:r>
      <w:r>
        <w:rPr>
          <w:rStyle w:val="StringTok"/>
        </w:rPr>
        <w:t xml:space="preserve">"&gt;120"</w:t>
      </w:r>
      <w:r>
        <w:rPr>
          <w:rStyle w:val="NormalTok"/>
        </w:rPr>
        <w:t xml:space="preserve">)</w:t>
      </w:r>
      <w:r>
        <w:br/>
      </w:r>
      <w:r>
        <w:br/>
      </w:r>
      <w:r>
        <w:rPr>
          <w:rStyle w:val="CommentTok"/>
        </w:rPr>
        <w:t xml:space="preserve"># Step 1: Filter and recode factor</w:t>
      </w:r>
      <w:r>
        <w:br/>
      </w:r>
      <w:r>
        <w:rPr>
          <w:rStyle w:val="NormalTok"/>
        </w:rPr>
        <w:t xml:space="preserve">Resident_Data_Clean </w:t>
      </w:r>
      <w:r>
        <w:rPr>
          <w:rStyle w:val="OtherTok"/>
        </w:rPr>
        <w:t xml:space="preserve">&lt;-</w:t>
      </w:r>
      <w:r>
        <w:rPr>
          <w:rStyle w:val="NormalTok"/>
        </w:rPr>
        <w:t xml:space="preserve"> Resident_Data </w:t>
      </w:r>
      <w:r>
        <w:rPr>
          <w:rStyle w:val="SpecialCharTok"/>
        </w:rPr>
        <w:t xml:space="preserve">%&gt;%</w:t>
      </w:r>
      <w:r>
        <w:br/>
      </w:r>
      <w:r>
        <w:rPr>
          <w:rStyle w:val="NormalTok"/>
        </w:rPr>
        <w:t xml:space="preserve">  </w:t>
      </w:r>
      <w:r>
        <w:rPr>
          <w:rStyle w:val="FunctionTok"/>
        </w:rPr>
        <w:t xml:space="preserve">filter</w:t>
      </w:r>
      <w:r>
        <w:rPr>
          <w:rStyle w:val="NormalTok"/>
        </w:rPr>
        <w:t xml:space="preserve">(FA </w:t>
      </w:r>
      <w:r>
        <w:rPr>
          <w:rStyle w:val="SpecialCharTok"/>
        </w:rPr>
        <w:t xml:space="preserve">%in%</w:t>
      </w:r>
      <w:r>
        <w:rPr>
          <w:rStyle w:val="NormalTok"/>
        </w:rPr>
        <w:t xml:space="preserve"> FA_order)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FA =</w:t>
      </w:r>
      <w:r>
        <w:rPr>
          <w:rStyle w:val="NormalTok"/>
        </w:rPr>
        <w:t xml:space="preserve"> </w:t>
      </w:r>
      <w:r>
        <w:rPr>
          <w:rStyle w:val="FunctionTok"/>
        </w:rPr>
        <w:t xml:space="preserve">factor</w:t>
      </w:r>
      <w:r>
        <w:rPr>
          <w:rStyle w:val="NormalTok"/>
        </w:rPr>
        <w:t xml:space="preserve">(FA, </w:t>
      </w:r>
      <w:r>
        <w:rPr>
          <w:rStyle w:val="AttributeTok"/>
        </w:rPr>
        <w:t xml:space="preserve">levels =</w:t>
      </w:r>
      <w:r>
        <w:rPr>
          <w:rStyle w:val="NormalTok"/>
        </w:rPr>
        <w:t xml:space="preserve"> FA_order))</w:t>
      </w:r>
      <w:r>
        <w:br/>
      </w:r>
      <w:r>
        <w:br/>
      </w:r>
      <w:r>
        <w:rPr>
          <w:rStyle w:val="CommentTok"/>
        </w:rPr>
        <w:t xml:space="preserve"># Step 2: Aggregate population per FA Band</w:t>
      </w:r>
      <w:r>
        <w:br/>
      </w:r>
      <w:r>
        <w:rPr>
          <w:rStyle w:val="NormalTok"/>
        </w:rPr>
        <w:t xml:space="preserve">summary_df </w:t>
      </w:r>
      <w:r>
        <w:rPr>
          <w:rStyle w:val="OtherTok"/>
        </w:rPr>
        <w:t xml:space="preserve">&lt;-</w:t>
      </w:r>
      <w:r>
        <w:rPr>
          <w:rStyle w:val="NormalTok"/>
        </w:rPr>
        <w:t xml:space="preserve"> Resident_Data_Clean </w:t>
      </w:r>
      <w:r>
        <w:rPr>
          <w:rStyle w:val="SpecialCharTok"/>
        </w:rPr>
        <w:t xml:space="preserve">%&gt;%</w:t>
      </w:r>
      <w:r>
        <w:br/>
      </w:r>
      <w:r>
        <w:rPr>
          <w:rStyle w:val="NormalTok"/>
        </w:rPr>
        <w:t xml:space="preserve">  </w:t>
      </w:r>
      <w:r>
        <w:rPr>
          <w:rStyle w:val="FunctionTok"/>
        </w:rPr>
        <w:t xml:space="preserve">group_by</w:t>
      </w:r>
      <w:r>
        <w:rPr>
          <w:rStyle w:val="NormalTok"/>
        </w:rPr>
        <w:t xml:space="preserve">(FA)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Total_Population =</w:t>
      </w:r>
      <w:r>
        <w:rPr>
          <w:rStyle w:val="NormalTok"/>
        </w:rPr>
        <w:t xml:space="preserve"> </w:t>
      </w:r>
      <w:r>
        <w:rPr>
          <w:rStyle w:val="FunctionTok"/>
        </w:rPr>
        <w:t xml:space="preserve">sum</w:t>
      </w:r>
      <w:r>
        <w:rPr>
          <w:rStyle w:val="NormalTok"/>
        </w:rPr>
        <w:t xml:space="preserve">(Pop,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CommentTok"/>
        </w:rPr>
        <w:t xml:space="preserve"># Step 3: Bar chart</w:t>
      </w:r>
      <w:r>
        <w:br/>
      </w:r>
      <w:r>
        <w:rPr>
          <w:rStyle w:val="FunctionTok"/>
        </w:rPr>
        <w:t xml:space="preserve">ggplot</w:t>
      </w:r>
      <w:r>
        <w:rPr>
          <w:rStyle w:val="NormalTok"/>
        </w:rPr>
        <w:t xml:space="preserve">(summary_df, </w:t>
      </w:r>
      <w:r>
        <w:rPr>
          <w:rStyle w:val="FunctionTok"/>
        </w:rPr>
        <w:t xml:space="preserve">aes</w:t>
      </w:r>
      <w:r>
        <w:rPr>
          <w:rStyle w:val="NormalTok"/>
        </w:rPr>
        <w:t xml:space="preserve">(</w:t>
      </w:r>
      <w:r>
        <w:rPr>
          <w:rStyle w:val="AttributeTok"/>
        </w:rPr>
        <w:t xml:space="preserve">x =</w:t>
      </w:r>
      <w:r>
        <w:rPr>
          <w:rStyle w:val="NormalTok"/>
        </w:rPr>
        <w:t xml:space="preserve"> FA, </w:t>
      </w:r>
      <w:r>
        <w:rPr>
          <w:rStyle w:val="AttributeTok"/>
        </w:rPr>
        <w:t xml:space="preserve">y =</w:t>
      </w:r>
      <w:r>
        <w:rPr>
          <w:rStyle w:val="NormalTok"/>
        </w:rPr>
        <w:t xml:space="preserve"> Total_Population, </w:t>
      </w:r>
      <w:r>
        <w:rPr>
          <w:rStyle w:val="AttributeTok"/>
        </w:rPr>
        <w:t xml:space="preserve">fill =</w:t>
      </w:r>
      <w:r>
        <w:rPr>
          <w:rStyle w:val="NormalTok"/>
        </w:rPr>
        <w:t xml:space="preserve"> FA)) </w:t>
      </w:r>
      <w:r>
        <w:rPr>
          <w:rStyle w:val="SpecialCharTok"/>
        </w:rPr>
        <w:t xml:space="preserve">+</w:t>
      </w:r>
      <w:r>
        <w:br/>
      </w:r>
      <w:r>
        <w:rPr>
          <w:rStyle w:val="NormalTok"/>
        </w:rPr>
        <w:t xml:space="preserve">  </w:t>
      </w:r>
      <w:r>
        <w:rPr>
          <w:rStyle w:val="FunctionTok"/>
        </w:rPr>
        <w:t xml:space="preserve">geom_col</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Total_Population), </w:t>
      </w:r>
      <w:r>
        <w:rPr>
          <w:rStyle w:val="AttributeTok"/>
        </w:rPr>
        <w:t xml:space="preserve">vjust =</w:t>
      </w:r>
      <w:r>
        <w:rPr>
          <w:rStyle w:val="NormalTok"/>
        </w:rPr>
        <w:t xml:space="preserve"> </w:t>
      </w:r>
      <w:r>
        <w:rPr>
          <w:rStyle w:val="SpecialCharTok"/>
        </w:rPr>
        <w:t xml:space="preserve">-</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"Total Population by Functional Age Band (Excluding Not Available)"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"FA Band"</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Population"</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5334000" cy="4267200"/>
            <wp:effectExtent b="0" l="0" r="0" t="0"/>
            <wp:docPr descr="" title="" id="42" name="Picture"/>
            <a:graphic>
              <a:graphicData uri="http://schemas.openxmlformats.org/drawingml/2006/picture">
                <pic:pic>
                  <pic:nvPicPr>
                    <pic:cNvPr descr="Take-home_Ex01_Phrase-2_files/figure-docx/unnamed-chunk-7-1.png" id="43" name="Picture"/>
                    <pic:cNvPicPr>
                      <a:picLocks noChangeArrowheads="1" noChangeAspect="1"/>
                    </pic:cNvPicPr>
                  </pic:nvPicPr>
                  <pic:blipFill>
                    <a:blip r:embed="rId41"/>
                    <a:stretch>
                      <a:fillRect/>
                    </a:stretch>
                  </pic:blipFill>
                  <pic:spPr bwMode="auto">
                    <a:xfrm>
                      <a:off x="0" y="0"/>
                      <a:ext cx="5334000" cy="4267200"/>
                    </a:xfrm>
                    <a:prstGeom prst="rect">
                      <a:avLst/>
                    </a:prstGeom>
                    <a:noFill/>
                    <a:ln w="9525">
                      <a:noFill/>
                      <a:headEnd/>
                      <a:tailEnd/>
                    </a:ln>
                  </pic:spPr>
                </pic:pic>
              </a:graphicData>
            </a:graphic>
          </wp:inline>
        </w:drawing>
      </w:r>
    </w:p>
    <w:bookmarkEnd w:id="44"/>
    <w:bookmarkStart w:id="48" w:name="Xb99459354d706a247c362e7df1cbb6dafbf8f70"/>
    <w:p>
      <w:pPr>
        <w:pStyle w:val="Heading2"/>
      </w:pPr>
      <w:r>
        <w:t xml:space="preserve">6.2.</w:t>
      </w:r>
      <w:r>
        <w:t xml:space="preserve"> </w:t>
      </w:r>
      <w:r>
        <w:rPr>
          <w:b/>
          <w:bCs/>
        </w:rPr>
        <w:t xml:space="preserve">Addition</w:t>
      </w:r>
      <w:r>
        <w:t xml:space="preserve">: Population is distributed across Planning Areas (PAs) within each Functional Age (FA) Band with</w:t>
      </w:r>
      <w:r>
        <w:t xml:space="preserve"> </w:t>
      </w:r>
      <w:r>
        <w:rPr>
          <w:rStyle w:val="VerbatimChar"/>
        </w:rPr>
        <w:t xml:space="preserve">Interactivity</w:t>
      </w:r>
    </w:p>
    <w:p>
      <w:pPr>
        <w:pStyle w:val="Heading3"/>
      </w:pPr>
      <w:r>
        <w:t xml:space="preserve">The graph</w:t>
      </w:r>
    </w:p>
    <w:p>
      <w:pPr>
        <w:pStyle w:val="FirstParagraph"/>
      </w:pPr>
      <w:r>
        <w:drawing>
          <wp:inline>
            <wp:extent cx="5334000" cy="4267200"/>
            <wp:effectExtent b="0" l="0" r="0" t="0"/>
            <wp:docPr descr="" title="" id="46" name="Picture"/>
            <a:graphic>
              <a:graphicData uri="http://schemas.openxmlformats.org/drawingml/2006/picture">
                <pic:pic>
                  <pic:nvPicPr>
                    <pic:cNvPr descr="Take-home_Ex01_Phrase-2_files/figure-docx/unnamed-chunk-8-1.png" id="47" name="Picture"/>
                    <pic:cNvPicPr>
                      <a:picLocks noChangeArrowheads="1" noChangeAspect="1"/>
                    </pic:cNvPicPr>
                  </pic:nvPicPr>
                  <pic:blipFill>
                    <a:blip r:embed="rId45"/>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3"/>
      </w:pPr>
      <w:r>
        <w:t xml:space="preserve">The code</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(plotly)</w:t>
      </w:r>
      <w:r>
        <w:br/>
      </w:r>
      <w:r>
        <w:br/>
      </w:r>
      <w:r>
        <w:rPr>
          <w:rStyle w:val="NormalTok"/>
        </w:rPr>
        <w:t xml:space="preserve">FA_order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"&lt;= 60"</w:t>
      </w:r>
      <w:r>
        <w:rPr>
          <w:rStyle w:val="NormalTok"/>
        </w:rPr>
        <w:t xml:space="preserve">, </w:t>
      </w:r>
      <w:r>
        <w:rPr>
          <w:rStyle w:val="StringTok"/>
        </w:rPr>
        <w:t xml:space="preserve">"&gt;60 to 80"</w:t>
      </w:r>
      <w:r>
        <w:rPr>
          <w:rStyle w:val="NormalTok"/>
        </w:rPr>
        <w:t xml:space="preserve">, </w:t>
      </w:r>
      <w:r>
        <w:rPr>
          <w:rStyle w:val="StringTok"/>
        </w:rPr>
        <w:t xml:space="preserve">"&gt;80 to 100"</w:t>
      </w:r>
      <w:r>
        <w:rPr>
          <w:rStyle w:val="NormalTok"/>
        </w:rPr>
        <w:t xml:space="preserve">, </w:t>
      </w:r>
      <w:r>
        <w:rPr>
          <w:rStyle w:val="StringTok"/>
        </w:rPr>
        <w:t xml:space="preserve">"&gt;100 to 120"</w:t>
      </w:r>
      <w:r>
        <w:rPr>
          <w:rStyle w:val="NormalTok"/>
        </w:rPr>
        <w:t xml:space="preserve">, </w:t>
      </w:r>
      <w:r>
        <w:rPr>
          <w:rStyle w:val="StringTok"/>
        </w:rPr>
        <w:t xml:space="preserve">"&gt;120"</w:t>
      </w:r>
      <w:r>
        <w:rPr>
          <w:rStyle w:val="NormalTok"/>
        </w:rPr>
        <w:t xml:space="preserve">)</w:t>
      </w:r>
      <w:r>
        <w:br/>
      </w:r>
      <w:r>
        <w:br/>
      </w:r>
      <w:r>
        <w:rPr>
          <w:rStyle w:val="CommentTok"/>
        </w:rPr>
        <w:t xml:space="preserve"># Step 1: Clean and recode</w:t>
      </w:r>
      <w:r>
        <w:br/>
      </w:r>
      <w:r>
        <w:rPr>
          <w:rStyle w:val="NormalTok"/>
        </w:rPr>
        <w:t xml:space="preserve">Resident_Data_Clean </w:t>
      </w:r>
      <w:r>
        <w:rPr>
          <w:rStyle w:val="OtherTok"/>
        </w:rPr>
        <w:t xml:space="preserve">&lt;-</w:t>
      </w:r>
      <w:r>
        <w:rPr>
          <w:rStyle w:val="NormalTok"/>
        </w:rPr>
        <w:t xml:space="preserve"> Resident_Data </w:t>
      </w:r>
      <w:r>
        <w:rPr>
          <w:rStyle w:val="SpecialCharTok"/>
        </w:rPr>
        <w:t xml:space="preserve">%&gt;%</w:t>
      </w:r>
      <w:r>
        <w:br/>
      </w:r>
      <w:r>
        <w:rPr>
          <w:rStyle w:val="NormalTok"/>
        </w:rPr>
        <w:t xml:space="preserve">  </w:t>
      </w:r>
      <w:r>
        <w:rPr>
          <w:rStyle w:val="FunctionTok"/>
        </w:rPr>
        <w:t xml:space="preserve">filter</w:t>
      </w:r>
      <w:r>
        <w:rPr>
          <w:rStyle w:val="NormalTok"/>
        </w:rPr>
        <w:t xml:space="preserve">(FA </w:t>
      </w:r>
      <w:r>
        <w:rPr>
          <w:rStyle w:val="SpecialCharTok"/>
        </w:rPr>
        <w:t xml:space="preserve">%in%</w:t>
      </w:r>
      <w:r>
        <w:rPr>
          <w:rStyle w:val="NormalTok"/>
        </w:rPr>
        <w:t xml:space="preserve"> FA_order)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FA =</w:t>
      </w:r>
      <w:r>
        <w:rPr>
          <w:rStyle w:val="NormalTok"/>
        </w:rPr>
        <w:t xml:space="preserve"> </w:t>
      </w:r>
      <w:r>
        <w:rPr>
          <w:rStyle w:val="FunctionTok"/>
        </w:rPr>
        <w:t xml:space="preserve">factor</w:t>
      </w:r>
      <w:r>
        <w:rPr>
          <w:rStyle w:val="NormalTok"/>
        </w:rPr>
        <w:t xml:space="preserve">(FA, </w:t>
      </w:r>
      <w:r>
        <w:rPr>
          <w:rStyle w:val="AttributeTok"/>
        </w:rPr>
        <w:t xml:space="preserve">levels =</w:t>
      </w:r>
      <w:r>
        <w:rPr>
          <w:rStyle w:val="NormalTok"/>
        </w:rPr>
        <w:t xml:space="preserve"> FA_order))</w:t>
      </w:r>
      <w:r>
        <w:br/>
      </w:r>
      <w:r>
        <w:br/>
      </w:r>
      <w:r>
        <w:rPr>
          <w:rStyle w:val="CommentTok"/>
        </w:rPr>
        <w:t xml:space="preserve"># Step 2: Aggregate population by FA and PA</w:t>
      </w:r>
      <w:r>
        <w:br/>
      </w:r>
      <w:r>
        <w:rPr>
          <w:rStyle w:val="NormalTok"/>
        </w:rPr>
        <w:t xml:space="preserve">summary_df </w:t>
      </w:r>
      <w:r>
        <w:rPr>
          <w:rStyle w:val="OtherTok"/>
        </w:rPr>
        <w:t xml:space="preserve">&lt;-</w:t>
      </w:r>
      <w:r>
        <w:rPr>
          <w:rStyle w:val="NormalTok"/>
        </w:rPr>
        <w:t xml:space="preserve"> Resident_Data_Clean </w:t>
      </w:r>
      <w:r>
        <w:rPr>
          <w:rStyle w:val="SpecialCharTok"/>
        </w:rPr>
        <w:t xml:space="preserve">%&gt;%</w:t>
      </w:r>
      <w:r>
        <w:br/>
      </w:r>
      <w:r>
        <w:rPr>
          <w:rStyle w:val="NormalTok"/>
        </w:rPr>
        <w:t xml:space="preserve">  </w:t>
      </w:r>
      <w:r>
        <w:rPr>
          <w:rStyle w:val="FunctionTok"/>
        </w:rPr>
        <w:t xml:space="preserve">group_by</w:t>
      </w:r>
      <w:r>
        <w:rPr>
          <w:rStyle w:val="NormalTok"/>
        </w:rPr>
        <w:t xml:space="preserve">(FA, PA)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Total_Population =</w:t>
      </w:r>
      <w:r>
        <w:rPr>
          <w:rStyle w:val="NormalTok"/>
        </w:rPr>
        <w:t xml:space="preserve"> </w:t>
      </w:r>
      <w:r>
        <w:rPr>
          <w:rStyle w:val="FunctionTok"/>
        </w:rPr>
        <w:t xml:space="preserve">sum</w:t>
      </w:r>
      <w:r>
        <w:rPr>
          <w:rStyle w:val="NormalTok"/>
        </w:rPr>
        <w:t xml:space="preserve">(Pop,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(Total_Population </w:t>
      </w:r>
      <w:r>
        <w:rPr>
          <w:rStyle w:val="SpecialCharTok"/>
        </w:rPr>
        <w:t xml:space="preserve">&gt;</w:t>
      </w:r>
      <w:r>
        <w:rPr>
          <w:rStyle w:val="NormalTok"/>
        </w:rPr>
        <w:t xml:space="preserve"> </w:t>
      </w:r>
      <w:r>
        <w:rPr>
          <w:rStyle w:val="DecValTok"/>
        </w:rPr>
        <w:t xml:space="preserve">0</w:t>
      </w:r>
      <w:r>
        <w:rPr>
          <w:rStyle w:val="NormalTok"/>
        </w:rPr>
        <w:t xml:space="preserve">)  </w:t>
      </w:r>
      <w:r>
        <w:rPr>
          <w:rStyle w:val="CommentTok"/>
        </w:rPr>
        <w:t xml:space="preserve"># ✅ Remove zero-population entries</w:t>
      </w:r>
      <w:r>
        <w:br/>
      </w:r>
      <w:r>
        <w:br/>
      </w:r>
      <w:r>
        <w:rPr>
          <w:rStyle w:val="CommentTok"/>
        </w:rPr>
        <w:t xml:space="preserve"># Step 3: Reorder PA (optional if not used as axis)</w:t>
      </w:r>
      <w:r>
        <w:br/>
      </w:r>
      <w:r>
        <w:rPr>
          <w:rStyle w:val="NormalTok"/>
        </w:rPr>
        <w:t xml:space="preserve">PA_order </w:t>
      </w:r>
      <w:r>
        <w:rPr>
          <w:rStyle w:val="OtherTok"/>
        </w:rPr>
        <w:t xml:space="preserve">&lt;-</w:t>
      </w:r>
      <w:r>
        <w:rPr>
          <w:rStyle w:val="NormalTok"/>
        </w:rPr>
        <w:t xml:space="preserve"> summary_df </w:t>
      </w:r>
      <w:r>
        <w:rPr>
          <w:rStyle w:val="SpecialCharTok"/>
        </w:rPr>
        <w:t xml:space="preserve">%&gt;%</w:t>
      </w:r>
      <w:r>
        <w:br/>
      </w:r>
      <w:r>
        <w:rPr>
          <w:rStyle w:val="NormalTok"/>
        </w:rPr>
        <w:t xml:space="preserve">  </w:t>
      </w:r>
      <w:r>
        <w:rPr>
          <w:rStyle w:val="FunctionTok"/>
        </w:rPr>
        <w:t xml:space="preserve">group_by</w:t>
      </w:r>
      <w:r>
        <w:rPr>
          <w:rStyle w:val="NormalTok"/>
        </w:rPr>
        <w:t xml:space="preserve">(PA)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Total_PA =</w:t>
      </w:r>
      <w:r>
        <w:rPr>
          <w:rStyle w:val="NormalTok"/>
        </w:rPr>
        <w:t xml:space="preserve"> </w:t>
      </w:r>
      <w:r>
        <w:rPr>
          <w:rStyle w:val="FunctionTok"/>
        </w:rPr>
        <w:t xml:space="preserve">sum</w:t>
      </w:r>
      <w:r>
        <w:rPr>
          <w:rStyle w:val="NormalTok"/>
        </w:rPr>
        <w:t xml:space="preserve">(Total_Population)) </w:t>
      </w:r>
      <w:r>
        <w:rPr>
          <w:rStyle w:val="SpecialCharTok"/>
        </w:rPr>
        <w:t xml:space="preserve">%&gt;%</w:t>
      </w:r>
      <w:r>
        <w:br/>
      </w:r>
      <w:r>
        <w:rPr>
          <w:rStyle w:val="NormalTok"/>
        </w:rPr>
        <w:t xml:space="preserve">  </w:t>
      </w:r>
      <w:r>
        <w:rPr>
          <w:rStyle w:val="FunctionTok"/>
        </w:rPr>
        <w:t xml:space="preserve">arrange</w:t>
      </w:r>
      <w:r>
        <w:rPr>
          <w:rStyle w:val="NormalTok"/>
        </w:rPr>
        <w:t xml:space="preserve">(Total_PA) </w:t>
      </w:r>
      <w:r>
        <w:rPr>
          <w:rStyle w:val="SpecialCharTok"/>
        </w:rPr>
        <w:t xml:space="preserve">%&gt;%</w:t>
      </w:r>
      <w:r>
        <w:br/>
      </w:r>
      <w:r>
        <w:rPr>
          <w:rStyle w:val="NormalTok"/>
        </w:rPr>
        <w:t xml:space="preserve">  </w:t>
      </w:r>
      <w:r>
        <w:rPr>
          <w:rStyle w:val="FunctionTok"/>
        </w:rPr>
        <w:t xml:space="preserve">pull</w:t>
      </w:r>
      <w:r>
        <w:rPr>
          <w:rStyle w:val="NormalTok"/>
        </w:rPr>
        <w:t xml:space="preserve">(PA)</w:t>
      </w:r>
      <w:r>
        <w:br/>
      </w:r>
      <w:r>
        <w:br/>
      </w:r>
      <w:r>
        <w:rPr>
          <w:rStyle w:val="NormalTok"/>
        </w:rPr>
        <w:t xml:space="preserve">summary_df </w:t>
      </w:r>
      <w:r>
        <w:rPr>
          <w:rStyle w:val="OtherTok"/>
        </w:rPr>
        <w:t xml:space="preserve">&lt;-</w:t>
      </w:r>
      <w:r>
        <w:rPr>
          <w:rStyle w:val="NormalTok"/>
        </w:rPr>
        <w:t xml:space="preserve"> summary_df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PA =</w:t>
      </w:r>
      <w:r>
        <w:rPr>
          <w:rStyle w:val="NormalTok"/>
        </w:rPr>
        <w:t xml:space="preserve"> </w:t>
      </w:r>
      <w:r>
        <w:rPr>
          <w:rStyle w:val="FunctionTok"/>
        </w:rPr>
        <w:t xml:space="preserve">factor</w:t>
      </w:r>
      <w:r>
        <w:rPr>
          <w:rStyle w:val="NormalTok"/>
        </w:rPr>
        <w:t xml:space="preserve">(PA, </w:t>
      </w:r>
      <w:r>
        <w:rPr>
          <w:rStyle w:val="AttributeTok"/>
        </w:rPr>
        <w:t xml:space="preserve">levels =</w:t>
      </w:r>
      <w:r>
        <w:rPr>
          <w:rStyle w:val="NormalTok"/>
        </w:rPr>
        <w:t xml:space="preserve"> PA_order))</w:t>
      </w:r>
      <w:r>
        <w:br/>
      </w:r>
      <w:r>
        <w:br/>
      </w:r>
      <w:r>
        <w:rPr>
          <w:rStyle w:val="CommentTok"/>
        </w:rPr>
        <w:t xml:space="preserve"># Step 4: Dot plot - y axis is population</w:t>
      </w:r>
      <w:r>
        <w:br/>
      </w:r>
      <w:r>
        <w:rPr>
          <w:rStyle w:val="NormalTok"/>
        </w:rPr>
        <w:t xml:space="preserve">p </w:t>
      </w:r>
      <w:r>
        <w:rPr>
          <w:rStyle w:val="OtherTok"/>
        </w:rPr>
        <w:t xml:space="preserve">&lt;-</w:t>
      </w:r>
      <w:r>
        <w:rPr>
          <w:rStyle w:val="NormalTok"/>
        </w:rPr>
        <w:t xml:space="preserve"> </w:t>
      </w:r>
      <w:r>
        <w:rPr>
          <w:rStyle w:val="FunctionTok"/>
        </w:rPr>
        <w:t xml:space="preserve">ggplot</w:t>
      </w:r>
      <w:r>
        <w:rPr>
          <w:rStyle w:val="NormalTok"/>
        </w:rPr>
        <w:t xml:space="preserve">(summary_df, </w:t>
      </w:r>
      <w:r>
        <w:rPr>
          <w:rStyle w:val="FunctionTok"/>
        </w:rPr>
        <w:t xml:space="preserve">aes</w:t>
      </w:r>
      <w:r>
        <w:rPr>
          <w:rStyle w:val="NormalTok"/>
        </w:rPr>
        <w:t xml:space="preserve">(</w:t>
      </w:r>
      <w:r>
        <w:rPr>
          <w:rStyle w:val="AttributeTok"/>
        </w:rPr>
        <w:t xml:space="preserve">x =</w:t>
      </w:r>
      <w:r>
        <w:rPr>
          <w:rStyle w:val="NormalTok"/>
        </w:rPr>
        <w:t xml:space="preserve"> FA, </w:t>
      </w:r>
      <w:r>
        <w:rPr>
          <w:rStyle w:val="AttributeTok"/>
        </w:rPr>
        <w:t xml:space="preserve">y =</w:t>
      </w:r>
      <w:r>
        <w:rPr>
          <w:rStyle w:val="NormalTok"/>
        </w:rPr>
        <w:t xml:space="preserve"> Total_Population, </w:t>
      </w:r>
      <w:r>
        <w:rPr>
          <w:rStyle w:val="AttributeTok"/>
        </w:rPr>
        <w:t xml:space="preserve">size =</w:t>
      </w:r>
      <w:r>
        <w:rPr>
          <w:rStyle w:val="NormalTok"/>
        </w:rPr>
        <w:t xml:space="preserve"> Total_Population, </w:t>
      </w:r>
      <w:r>
        <w:rPr>
          <w:rStyle w:val="AttributeTok"/>
        </w:rPr>
        <w:t xml:space="preserve">color =</w:t>
      </w:r>
      <w:r>
        <w:rPr>
          <w:rStyle w:val="NormalTok"/>
        </w:rPr>
        <w:t xml:space="preserve"> PA,</w:t>
      </w:r>
      <w:r>
        <w:br/>
      </w:r>
      <w:r>
        <w:rPr>
          <w:rStyle w:val="NormalTok"/>
        </w:rPr>
        <w:t xml:space="preserve">                            </w:t>
      </w:r>
      <w:r>
        <w:rPr>
          <w:rStyle w:val="AttributeTok"/>
        </w:rPr>
        <w:t xml:space="preserve">text =</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"Planning Area: "</w:t>
      </w:r>
      <w:r>
        <w:rPr>
          <w:rStyle w:val="NormalTok"/>
        </w:rPr>
        <w:t xml:space="preserve">, PA, </w:t>
      </w:r>
      <w:r>
        <w:rPr>
          <w:rStyle w:val="StringTok"/>
        </w:rPr>
        <w:t xml:space="preserve">"&lt;br&gt;"</w:t>
      </w:r>
      <w:r>
        <w:rPr>
          <w:rStyle w:val="NormalTok"/>
        </w:rPr>
        <w:t xml:space="preserve">,</w:t>
      </w:r>
      <w:r>
        <w:br/>
      </w:r>
      <w:r>
        <w:rPr>
          <w:rStyle w:val="NormalTok"/>
        </w:rPr>
        <w:t xml:space="preserve">                              </w:t>
      </w:r>
      <w:r>
        <w:rPr>
          <w:rStyle w:val="StringTok"/>
        </w:rPr>
        <w:t xml:space="preserve">"FA Band: "</w:t>
      </w:r>
      <w:r>
        <w:rPr>
          <w:rStyle w:val="NormalTok"/>
        </w:rPr>
        <w:t xml:space="preserve">, FA, </w:t>
      </w:r>
      <w:r>
        <w:rPr>
          <w:rStyle w:val="StringTok"/>
        </w:rPr>
        <w:t xml:space="preserve">"&lt;br&gt;"</w:t>
      </w:r>
      <w:r>
        <w:rPr>
          <w:rStyle w:val="NormalTok"/>
        </w:rPr>
        <w:t xml:space="preserve">,</w:t>
      </w:r>
      <w:r>
        <w:br/>
      </w:r>
      <w:r>
        <w:rPr>
          <w:rStyle w:val="NormalTok"/>
        </w:rPr>
        <w:t xml:space="preserve">                              </w:t>
      </w:r>
      <w:r>
        <w:rPr>
          <w:rStyle w:val="StringTok"/>
        </w:rPr>
        <w:t xml:space="preserve">"Population: "</w:t>
      </w:r>
      <w:r>
        <w:rPr>
          <w:rStyle w:val="NormalTok"/>
        </w:rPr>
        <w:t xml:space="preserve">, Total_Population</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scale_size_continuous</w:t>
      </w:r>
      <w:r>
        <w:rPr>
          <w:rStyle w:val="NormalTok"/>
        </w:rPr>
        <w:t xml:space="preserve">(</w:t>
      </w:r>
      <w:r>
        <w:rPr>
          <w:rStyle w:val="AttributeTok"/>
        </w:rPr>
        <w:t xml:space="preserve">range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"Dot Plot: Population by FA Band and Planning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"FA Band"</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Population"</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StringTok"/>
        </w:rPr>
        <w:t xml:space="preserve">"Population"</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"Planning Area"</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br/>
      </w:r>
      <w:r>
        <w:rPr>
          <w:rStyle w:val="CommentTok"/>
        </w:rPr>
        <w:t xml:space="preserve"># Step 5: Make interactive</w:t>
      </w:r>
      <w:r>
        <w:br/>
      </w:r>
      <w:r>
        <w:rPr>
          <w:rStyle w:val="FunctionTok"/>
        </w:rPr>
        <w:t xml:space="preserve">ggplotly</w:t>
      </w:r>
      <w:r>
        <w:rPr>
          <w:rStyle w:val="NormalTok"/>
        </w:rPr>
        <w:t xml:space="preserve">(p, </w:t>
      </w:r>
      <w:r>
        <w:rPr>
          <w:rStyle w:val="AttributeTok"/>
        </w:rPr>
        <w:t xml:space="preserve">tooltip =</w:t>
      </w:r>
      <w:r>
        <w:rPr>
          <w:rStyle w:val="NormalTok"/>
        </w:rPr>
        <w:t xml:space="preserve"> </w:t>
      </w:r>
      <w:r>
        <w:rPr>
          <w:rStyle w:val="StringTok"/>
        </w:rPr>
        <w:t xml:space="preserve">"text"</w:t>
      </w:r>
      <w:r>
        <w:rPr>
          <w:rStyle w:val="NormalTok"/>
        </w:rPr>
        <w:t xml:space="preserve">) </w:t>
      </w:r>
      <w:r>
        <w:rPr>
          <w:rStyle w:val="SpecialCharTok"/>
        </w:rPr>
        <w:t xml:space="preserve">%&gt;%</w:t>
      </w:r>
      <w:r>
        <w:rPr>
          <w:rStyle w:val="NormalTok"/>
        </w:rPr>
        <w:t xml:space="preserve"> </w:t>
      </w:r>
      <w:r>
        <w:rPr>
          <w:rStyle w:val="FunctionTok"/>
        </w:rPr>
        <w:t xml:space="preserve">layout</w:t>
      </w:r>
      <w:r>
        <w:rPr>
          <w:rStyle w:val="NormalTok"/>
        </w:rPr>
        <w:t xml:space="preserve">(</w:t>
      </w:r>
      <w:r>
        <w:rPr>
          <w:rStyle w:val="AttributeTok"/>
        </w:rPr>
        <w:t xml:space="preserve">height =</w:t>
      </w:r>
      <w:r>
        <w:rPr>
          <w:rStyle w:val="NormalTok"/>
        </w:rPr>
        <w:t xml:space="preserve"> </w:t>
      </w:r>
      <w:r>
        <w:rPr>
          <w:rStyle w:val="DecValTok"/>
        </w:rPr>
        <w:t xml:space="preserve">800</w:t>
      </w:r>
      <w:r>
        <w:rPr>
          <w:rStyle w:val="NormalTok"/>
        </w:rPr>
        <w:t xml:space="preserve">)</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33" Target="media/rId33.png" /><Relationship Type="http://schemas.openxmlformats.org/officeDocument/2006/relationships/image" Id="rId26" Target="media/rId26.png" /><Relationship Type="http://schemas.openxmlformats.org/officeDocument/2006/relationships/image" Id="rId23" Target="media/rId23.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29" Target="media/rId29.png" /><Relationship Type="http://schemas.openxmlformats.org/officeDocument/2006/relationships/hyperlink" Id="rId20" Target="https://iss608-vaa.netlify.app/take-home_ex/take-home_ex01/take%20home%20exercise%201" TargetMode="External" /></Relationships>
</file>

<file path=word/_rels/footnotes.xml.rels><?xml version="1.0" encoding="UTF-8"?><Relationships xmlns="http://schemas.openxmlformats.org/package/2006/relationships"><Relationship Type="http://schemas.openxmlformats.org/officeDocument/2006/relationships/hyperlink" Id="rId20" Target="https://iss608-vaa.netlify.app/take-home_ex/take-home_ex01/take%20home%20exercise%2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Take-home Exercise 1 – Phase 2</dc:title>
  <dc:creator>Nguyen Nguyen Ha (Summer)</dc:creator>
  <cp:keywords/>
  <dcterms:created xsi:type="dcterms:W3CDTF">2025-05-11T10:07:05Z</dcterms:created>
  <dcterms:modified xsi:type="dcterms:W3CDTF">2025-05-11T10:07:05Z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2025-05-08</vt:lpwstr>
  </property>
  <property fmtid="{D5CDD505-2E9C-101B-9397-08002B2CF9AE}" pid="6" name="date-modified">
    <vt:lpwstr>2025-05-11</vt:lpwstr>
  </property>
  <property fmtid="{D5CDD505-2E9C-101B-9397-08002B2CF9AE}" pid="7" name="editor">
    <vt:lpwstr>visual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