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Roadmap – Intake, Screening и Платени Планове</w:t>
        <w:br/>
      </w:r>
      <w:r>
        <w:t>за покупка на имот в Гърция от граждани на ЕС</w:t>
      </w:r>
    </w:p>
    <w:p>
      <w:pPr>
        <w:pStyle w:val="SmallNote"/>
        <w:jc w:val="center"/>
      </w:pPr>
      <w:r>
        <w:t>Работен проектен документ – версия 1.0</w:t>
        <w:br/>
      </w:r>
      <w:r>
        <w:t>Цел: вътрешна логика за screening, intake, product packaging и бъдеща анимация/дигитализация на въпросника.</w:t>
      </w:r>
    </w:p>
    <w:p>
      <w:pPr>
        <w:pStyle w:val="Heading1"/>
      </w:pPr>
      <w:r>
        <w:t>1. Одобрена продуктова логика</w:t>
      </w:r>
    </w:p>
    <w:p>
      <w:r>
        <w:t>Моделът вече не се мисли като един дълъг въпросник за всички. Вътрешната логика остава дълбока, но клиентът вижда само толкова, колкото е нужно на съответния етап.</w:t>
      </w:r>
    </w:p>
    <w:p>
      <w:r>
        <w:t>Клиентът не купува „блокове“. Клиентът купува резултат: яснота, оценка и навигация през процеса.</w:t>
      </w:r>
    </w:p>
    <w:p>
      <w:r>
        <w:t>Премиум имената на платените нива са окончателно приети така: Foundation, Evaluation, Guidance.</w:t>
      </w:r>
    </w:p>
    <w:p>
      <w:pPr>
        <w:pStyle w:val="Heading1"/>
      </w:pPr>
      <w:r>
        <w:t>2. Funnel и нива на ангажираност</w:t>
      </w:r>
    </w:p>
    <w:p>
      <w:pPr>
        <w:pStyle w:val="ListBullet"/>
      </w:pPr>
      <w:r>
        <w:t>Ниво 0 – Entry Screening: кратък, селективен и леко „труден“ входен въпросник, достатъчен да отсява незаинтересовани, хаотични и непотенциални клиенти.</w:t>
      </w:r>
    </w:p>
    <w:p>
      <w:pPr>
        <w:pStyle w:val="ListBullet"/>
      </w:pPr>
      <w:r>
        <w:t>Ниво 1 – Qualification Call: телефонен разговор след успешен screening, в който се валидират мотивът, бюджетът, финансирането, сериозността и fit-ът към услугата.</w:t>
      </w:r>
    </w:p>
    <w:p>
      <w:pPr>
        <w:pStyle w:val="ListBullet"/>
      </w:pPr>
      <w:r>
        <w:t>Ниво 2 – Paid Engagement: клиентът влиза в един от трите платени плана според това къде се намира в пътя си и колко дълбока помощ иска.</w:t>
      </w:r>
    </w:p>
    <w:p>
      <w:pPr>
        <w:pStyle w:val="Heading1"/>
      </w:pPr>
      <w:r>
        <w:t>3. Платени планове – окончателно одобрена рамка</w:t>
      </w:r>
    </w:p>
    <w:p>
      <w:pPr>
        <w:pStyle w:val="Heading2"/>
      </w:pPr>
      <w:r>
        <w:t>Foundation</w:t>
      </w:r>
    </w:p>
    <w:p>
      <w:r>
        <w:t>За клиент, който още няма достатъчно подреден път или няма правилна финансова и пазарна рамка.</w:t>
      </w:r>
    </w:p>
    <w:p>
      <w:pPr>
        <w:pStyle w:val="ListBullet"/>
      </w:pPr>
      <w:r>
        <w:t>Изходен резултат: Яснота дали случаят е работещ и какъв тип имот, зона и структура на финансиране изобщо трябва да се търсят.</w:t>
      </w:r>
    </w:p>
    <w:p>
      <w:pPr>
        <w:pStyle w:val="ListBullet"/>
      </w:pPr>
      <w:r>
        <w:t>Вътрешно покрива: Блок B (пълно), плюс light част от Блок C.</w:t>
      </w:r>
    </w:p>
    <w:p>
      <w:pPr>
        <w:pStyle w:val="ListBullet"/>
      </w:pPr>
      <w:r>
        <w:t>Подходящо за: клиент без ясен имот, без ясен район, с неясен бюджет, или с неструктурирано финансиране.</w:t>
      </w:r>
    </w:p>
    <w:p>
      <w:pPr>
        <w:pStyle w:val="Heading2"/>
      </w:pPr>
      <w:r>
        <w:t>Evaluation</w:t>
      </w:r>
    </w:p>
    <w:p>
      <w:r>
        <w:t>Core продуктът за клиент, който вече има конкретен имот или shortlist и иска решение преди сериозно обвързване.</w:t>
      </w:r>
    </w:p>
    <w:p>
      <w:pPr>
        <w:pStyle w:val="ListBullet"/>
      </w:pPr>
      <w:r>
        <w:t>Изходен резултат: Струва ли си този имот и при какви условия.</w:t>
      </w:r>
    </w:p>
    <w:p>
      <w:pPr>
        <w:pStyle w:val="ListBullet"/>
      </w:pPr>
      <w:r>
        <w:t>Вътрешно покрива: Блок C + Блок D + Блок E.</w:t>
      </w:r>
    </w:p>
    <w:p>
      <w:pPr>
        <w:pStyle w:val="ListBullet"/>
      </w:pPr>
      <w:r>
        <w:t>Възможни финални verdict-и: Buy / Buy only below price / Do not buy / Good asset, wrong price / Good asset, toxic process.</w:t>
      </w:r>
    </w:p>
    <w:p>
      <w:pPr>
        <w:pStyle w:val="Heading2"/>
      </w:pPr>
      <w:r>
        <w:t>Guidance</w:t>
      </w:r>
    </w:p>
    <w:p>
      <w:r>
        <w:t>High-touch пакет за клиент, който не иска само verdict, а водене през сделката и първоначалното стабилизиране след нея.</w:t>
      </w:r>
    </w:p>
    <w:p>
      <w:pPr>
        <w:pStyle w:val="ListBullet"/>
      </w:pPr>
      <w:r>
        <w:t>Изходен резултат: Оценка на имота + guidance през капаро, договори, плащане, handover и първи post-acquisition ходове.</w:t>
      </w:r>
    </w:p>
    <w:p>
      <w:pPr>
        <w:pStyle w:val="ListBullet"/>
      </w:pPr>
      <w:r>
        <w:t>Вътрешно покрива: Evaluation + Блок F + Блок G.</w:t>
      </w:r>
    </w:p>
    <w:p>
      <w:pPr>
        <w:pStyle w:val="ListBullet"/>
      </w:pPr>
      <w:r>
        <w:t>Подходящо за: първа сделка в Гърция, cross-border купувач, клиент с висока тревожност или ниска локална увереност.</w:t>
      </w:r>
    </w:p>
    <w:p>
      <w:pPr>
        <w:pStyle w:val="Heading1"/>
      </w:pPr>
      <w:r>
        <w:t>4. Възможни входове към платените планове</w:t>
      </w:r>
    </w:p>
    <w:p>
      <w:pPr>
        <w:pStyle w:val="ListBullet"/>
      </w:pPr>
      <w:r>
        <w:t>Не всеки клиент трябва да минава през едни и същи нива.</w:t>
      </w:r>
    </w:p>
    <w:p>
      <w:pPr>
        <w:pStyle w:val="ListBullet"/>
      </w:pPr>
      <w:r>
        <w:t>Клиент без ясен имот и без ясна структура влиза първо във Foundation.</w:t>
      </w:r>
    </w:p>
    <w:p>
      <w:pPr>
        <w:pStyle w:val="ListBullet"/>
      </w:pPr>
      <w:r>
        <w:t>Клиент с конкретен имот и изглеждащ finance-ready може да влезе директно във Evaluation.</w:t>
      </w:r>
    </w:p>
    <w:p>
      <w:pPr>
        <w:pStyle w:val="ListBullet"/>
      </w:pPr>
      <w:r>
        <w:t>Клиент, който иска пълно съпровождане и е готов за това, може да влезе директно в Guidance.</w:t>
      </w:r>
    </w:p>
    <w:p>
      <w:pPr>
        <w:pStyle w:val="Heading1"/>
      </w:pPr>
      <w:r>
        <w:t>5. Блокове A–G – актуализирана вътрешна карта</w:t>
      </w:r>
    </w:p>
    <w:p>
      <w:pPr>
        <w:pStyle w:val="Heading2"/>
      </w:pPr>
      <w:r>
        <w:t>Блок A – Мотив и входна селекция</w:t>
      </w:r>
    </w:p>
    <w:p>
      <w:r>
        <w:t>Определя защо клиентът изобщо търси имот в Гърция и дали случаят е lifestyle, hybrid, relocation или pure investment.</w:t>
      </w:r>
    </w:p>
    <w:p>
      <w:pPr>
        <w:pStyle w:val="ListBullet"/>
      </w:pPr>
      <w:r>
        <w:t>Реална функция: screening и triage, не deep analysis.</w:t>
      </w:r>
    </w:p>
    <w:p>
      <w:pPr>
        <w:pStyle w:val="ListBullet"/>
      </w:pPr>
      <w:r>
        <w:t>Клиентът вижда само съкратена версия.</w:t>
      </w:r>
    </w:p>
    <w:p>
      <w:pPr>
        <w:pStyle w:val="ListBullet"/>
      </w:pPr>
      <w:r>
        <w:t>Червени флагове: кух мотив, нереалистични очаквания, вътрешно противоречива цел, family mismatch, враждебност към процеса.</w:t>
      </w:r>
    </w:p>
    <w:p>
      <w:pPr>
        <w:pStyle w:val="Heading2"/>
      </w:pPr>
      <w:r>
        <w:t>Блок B – Финансиране и бюджет</w:t>
      </w:r>
    </w:p>
    <w:p>
      <w:r>
        <w:t>Проверява дали има работеща структура за покупка: общ бюджет, самоучастие, кредит, обезпечение, буфер и устойчивост.</w:t>
      </w:r>
    </w:p>
    <w:p>
      <w:pPr>
        <w:pStyle w:val="ListBullet"/>
      </w:pPr>
      <w:r>
        <w:t>Това е най-ранният structural filter.</w:t>
      </w:r>
    </w:p>
    <w:p>
      <w:pPr>
        <w:pStyle w:val="ListBullet"/>
      </w:pPr>
      <w:r>
        <w:t>Влиза пълно във Foundation и condensed в qualification call.</w:t>
      </w:r>
    </w:p>
    <w:p>
      <w:pPr>
        <w:pStyle w:val="ListBullet"/>
      </w:pPr>
      <w:r>
        <w:t>Червени флагове: wishful financing, липса на total budget, неизчистено обезпечение, нулев буфер, negative carry логика без осъзнаване.</w:t>
      </w:r>
    </w:p>
    <w:p>
      <w:pPr>
        <w:pStyle w:val="Heading2"/>
      </w:pPr>
      <w:r>
        <w:t>Блок C – Конкретен имот и първичен asset triage</w:t>
      </w:r>
    </w:p>
    <w:p>
      <w:r>
        <w:t>Първична проверка на конкретен имот или shortlist: район, тип имот, етаж, състояние, светлина, площи, наемател, базов fit към целта.</w:t>
      </w:r>
    </w:p>
    <w:p>
      <w:pPr>
        <w:pStyle w:val="ListBullet"/>
      </w:pPr>
      <w:r>
        <w:t>Влиза light във Foundation и full във Evaluation.</w:t>
      </w:r>
    </w:p>
    <w:p>
      <w:pPr>
        <w:pStyle w:val="ListBullet"/>
      </w:pPr>
      <w:r>
        <w:t>Червени флагове: мазета, полусутерени, storage conversions, слаб район, неясни площи, awkward layout, имот без реален fit към целта.</w:t>
      </w:r>
    </w:p>
    <w:p>
      <w:pPr>
        <w:pStyle w:val="Heading2"/>
      </w:pPr>
      <w:r>
        <w:t>Блок D – Правна и документална проверка</w:t>
      </w:r>
    </w:p>
    <w:p>
      <w:r>
        <w:t>Проверява титул, КАЕК, съответствие между нотариален акт / E9 / Building Identity, тежести, узаконявания, прилежащи части, задължения и наемателски слой.</w:t>
      </w:r>
    </w:p>
    <w:p>
      <w:pPr>
        <w:pStyle w:val="ListBullet"/>
      </w:pPr>
      <w:r>
        <w:t>Влиза във Evaluation и Guidance.</w:t>
      </w:r>
    </w:p>
    <w:p>
      <w:pPr>
        <w:pStyle w:val="ListBullet"/>
      </w:pPr>
      <w:r>
        <w:t>Червени флагове: липсващ титул, неясен КАЕК, разминавания в документите, неуредено преустройство, split payment натиск, неясен наемателски статус.</w:t>
      </w:r>
    </w:p>
    <w:p>
      <w:pPr>
        <w:pStyle w:val="Heading2"/>
      </w:pPr>
      <w:r>
        <w:t>Блок E – Икономика на сделката</w:t>
      </w:r>
    </w:p>
    <w:p>
      <w:r>
        <w:t>Проверява asking price, total investment cost, ремонти, setup cost, LTR/STR сценарии, net income, yield, liquidity и downside устойчивост.</w:t>
      </w:r>
    </w:p>
    <w:p>
      <w:pPr>
        <w:pStyle w:val="ListBullet"/>
      </w:pPr>
      <w:r>
        <w:t>Влиза във Evaluation и Guidance.</w:t>
      </w:r>
    </w:p>
    <w:p>
      <w:pPr>
        <w:pStyle w:val="ListBullet"/>
      </w:pPr>
      <w:r>
        <w:t>Червени флагове: gross fantasy yields, underpriced budget for repairs, ignored fees, липса на benchmark, икономика работеща само при идеален сценарий.</w:t>
      </w:r>
    </w:p>
    <w:p>
      <w:pPr>
        <w:pStyle w:val="Heading2"/>
      </w:pPr>
      <w:r>
        <w:t>Блок F – Сделкова стратегия</w:t>
      </w:r>
    </w:p>
    <w:p>
      <w:r>
        <w:t>Покрива капаро, предварителен договор, timing, version control на договорите, условия за отказ, sequence на плащанията и process ownership.</w:t>
      </w:r>
    </w:p>
    <w:p>
      <w:pPr>
        <w:pStyle w:val="ListBullet"/>
      </w:pPr>
      <w:r>
        <w:t>Влиза само в Guidance.</w:t>
      </w:r>
    </w:p>
    <w:p>
      <w:pPr>
        <w:pStyle w:val="ListBullet"/>
      </w:pPr>
      <w:r>
        <w:t>Червени флагове: ранно голямо капаро, различни версии на договорите, кешова схема, pressure tactics, липса на exit clauses, зависимост от един човек.</w:t>
      </w:r>
    </w:p>
    <w:p>
      <w:pPr>
        <w:pStyle w:val="Heading2"/>
      </w:pPr>
      <w:r>
        <w:t>Блок G – Следпридобивна стабилизация</w:t>
      </w:r>
    </w:p>
    <w:p>
      <w:r>
        <w:t>Покрива post-acquisition operational handover: кредитно довършване, utilities, наематели, договори, първи ремонти, tracking system, данъци и deferred compliance items.</w:t>
      </w:r>
    </w:p>
    <w:p>
      <w:pPr>
        <w:pStyle w:val="ListBullet"/>
      </w:pPr>
      <w:r>
        <w:t>Влиза само в Guidance, с възможност за базови warning notes в Evaluation.</w:t>
      </w:r>
    </w:p>
    <w:p>
      <w:pPr>
        <w:pStyle w:val="ListBullet"/>
      </w:pPr>
      <w:r>
        <w:t>Червени флагове: липса на operational control, партиди в сива зона, неясен наемателски статус, reactive ownership, отсъствие на 30/90-дневен план.</w:t>
      </w:r>
    </w:p>
    <w:p>
      <w:pPr>
        <w:pStyle w:val="Heading1"/>
      </w:pPr>
      <w:r>
        <w:t>6. Съкратена карта: кой блок къде влиза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Блок</w:t>
            </w:r>
          </w:p>
        </w:tc>
        <w:tc>
          <w:tcPr>
            <w:tcW w:type="dxa" w:w="1949"/>
          </w:tcPr>
          <w:p>
            <w:r>
              <w:t>Entry Screening</w:t>
            </w:r>
          </w:p>
        </w:tc>
        <w:tc>
          <w:tcPr>
            <w:tcW w:type="dxa" w:w="1949"/>
          </w:tcPr>
          <w:p>
            <w:r>
              <w:t>Qualification Call</w:t>
            </w:r>
          </w:p>
        </w:tc>
        <w:tc>
          <w:tcPr>
            <w:tcW w:type="dxa" w:w="1949"/>
          </w:tcPr>
          <w:p>
            <w:r>
              <w:t>Foundation</w:t>
            </w:r>
          </w:p>
        </w:tc>
        <w:tc>
          <w:tcPr>
            <w:tcW w:type="dxa" w:w="1949"/>
          </w:tcPr>
          <w:p>
            <w:r>
              <w:t>Evaluation / Guidance</w:t>
            </w:r>
          </w:p>
        </w:tc>
      </w:tr>
      <w:tr>
        <w:tc>
          <w:tcPr>
            <w:tcW w:type="dxa" w:w="1949"/>
          </w:tcPr>
          <w:p>
            <w:r>
              <w:t>A</w:t>
            </w:r>
          </w:p>
        </w:tc>
        <w:tc>
          <w:tcPr>
            <w:tcW w:type="dxa" w:w="1949"/>
          </w:tcPr>
          <w:p>
            <w:r>
              <w:t>Да – lite</w:t>
            </w:r>
          </w:p>
        </w:tc>
        <w:tc>
          <w:tcPr>
            <w:tcW w:type="dxa" w:w="1949"/>
          </w:tcPr>
          <w:p>
            <w:r>
              <w:t>Да – validate</w:t>
            </w:r>
          </w:p>
        </w:tc>
        <w:tc>
          <w:tcPr>
            <w:tcW w:type="dxa" w:w="1949"/>
          </w:tcPr>
          <w:p>
            <w:r>
              <w:t>По нужда</w:t>
            </w:r>
          </w:p>
        </w:tc>
        <w:tc>
          <w:tcPr>
            <w:tcW w:type="dxa" w:w="1949"/>
          </w:tcPr>
          <w:p>
            <w:r>
              <w:t>Фоново</w:t>
            </w:r>
          </w:p>
        </w:tc>
      </w:tr>
      <w:tr>
        <w:tc>
          <w:tcPr>
            <w:tcW w:type="dxa" w:w="1949"/>
          </w:tcPr>
          <w:p>
            <w:r>
              <w:t>B</w:t>
            </w:r>
          </w:p>
        </w:tc>
        <w:tc>
          <w:tcPr>
            <w:tcW w:type="dxa" w:w="1949"/>
          </w:tcPr>
          <w:p>
            <w:r>
              <w:t>Да – lite</w:t>
            </w:r>
          </w:p>
        </w:tc>
        <w:tc>
          <w:tcPr>
            <w:tcW w:type="dxa" w:w="1949"/>
          </w:tcPr>
          <w:p>
            <w:r>
              <w:t>Да – condensed/full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  <w:tc>
          <w:tcPr>
            <w:tcW w:type="dxa" w:w="1949"/>
          </w:tcPr>
          <w:p>
            <w:r>
              <w:t>Фоново / validate</w:t>
            </w:r>
          </w:p>
        </w:tc>
      </w:tr>
      <w:tr>
        <w:tc>
          <w:tcPr>
            <w:tcW w:type="dxa" w:w="1949"/>
          </w:tcPr>
          <w:p>
            <w:r>
              <w:t>C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По нужда</w:t>
            </w:r>
          </w:p>
        </w:tc>
        <w:tc>
          <w:tcPr>
            <w:tcW w:type="dxa" w:w="1949"/>
          </w:tcPr>
          <w:p>
            <w:r>
              <w:t>Light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</w:tr>
      <w:tr>
        <w:tc>
          <w:tcPr>
            <w:tcW w:type="dxa" w:w="1949"/>
          </w:tcPr>
          <w:p>
            <w:r>
              <w:t>D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</w:tr>
      <w:tr>
        <w:tc>
          <w:tcPr>
            <w:tcW w:type="dxa" w:w="1949"/>
          </w:tcPr>
          <w:p>
            <w:r>
              <w:t>E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Да – full</w:t>
            </w:r>
          </w:p>
        </w:tc>
      </w:tr>
      <w:tr>
        <w:tc>
          <w:tcPr>
            <w:tcW w:type="dxa" w:w="1949"/>
          </w:tcPr>
          <w:p>
            <w:r>
              <w:t>F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Guidance only</w:t>
            </w:r>
          </w:p>
        </w:tc>
      </w:tr>
      <w:tr>
        <w:tc>
          <w:tcPr>
            <w:tcW w:type="dxa" w:w="1949"/>
          </w:tcPr>
          <w:p>
            <w:r>
              <w:t>G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Не</w:t>
            </w:r>
          </w:p>
        </w:tc>
        <w:tc>
          <w:tcPr>
            <w:tcW w:type="dxa" w:w="1949"/>
          </w:tcPr>
          <w:p>
            <w:r>
              <w:t>Guidance only</w:t>
            </w:r>
          </w:p>
        </w:tc>
      </w:tr>
    </w:tbl>
    <w:p>
      <w:pPr>
        <w:pStyle w:val="SmallNote"/>
      </w:pPr>
      <w:r>
        <w:t>Забележка: Evaluation включва C+D+E. Guidance включва Evaluation + F + G.</w:t>
      </w:r>
    </w:p>
    <w:p>
      <w:pPr>
        <w:pStyle w:val="Heading1"/>
      </w:pPr>
      <w:r>
        <w:t>7. Referral / execution network – отклонения и свързване на клиенти</w:t>
      </w:r>
    </w:p>
    <w:p>
      <w:r>
        <w:t>Одобрено е да се мисли и като контролирана referral мрежа, която не заменя основната услуга, а я допълва. Тя не трябва да размазва независимостта на модела. Основната стойност остава съветът и guidance-ът, а не препращането.</w:t>
      </w:r>
    </w:p>
    <w:p>
      <w:pPr>
        <w:pStyle w:val="BlockList"/>
      </w:pPr>
      <w:r>
        <w:t>Планирани категории контакти:</w:t>
      </w:r>
    </w:p>
    <w:p>
      <w:pPr>
        <w:pStyle w:val="ListBullet"/>
      </w:pPr>
      <w:r>
        <w:t>Кредитни консултанти / банкови контакти – при клиенти с кредитен сценарий.</w:t>
      </w:r>
    </w:p>
    <w:p>
      <w:pPr>
        <w:pStyle w:val="ListBullet"/>
      </w:pPr>
      <w:r>
        <w:t>Адвокат в Гърция – задължителен contact layer при реална сделка.</w:t>
      </w:r>
    </w:p>
    <w:p>
      <w:pPr>
        <w:pStyle w:val="ListBullet"/>
      </w:pPr>
      <w:r>
        <w:t>Нотариус в Гърция – когато процесът вече върви към closing.</w:t>
      </w:r>
    </w:p>
    <w:p>
      <w:pPr>
        <w:pStyle w:val="ListBullet"/>
      </w:pPr>
      <w:r>
        <w:t>Брокери – като източник на inventory, но не като source of truth.</w:t>
      </w:r>
    </w:p>
    <w:p>
      <w:pPr>
        <w:pStyle w:val="ListBullet"/>
      </w:pPr>
      <w:r>
        <w:t>Електротехници – за ел. инсталации, проблеми, подмени и проверки.</w:t>
      </w:r>
    </w:p>
    <w:p>
      <w:pPr>
        <w:pStyle w:val="ListBullet"/>
      </w:pPr>
      <w:r>
        <w:t>ВиК майстори – за течове, бани, водомери, тръби и корективни ремонти.</w:t>
      </w:r>
    </w:p>
    <w:p>
      <w:pPr>
        <w:pStyle w:val="ListBullet"/>
      </w:pPr>
      <w:r>
        <w:t>Общи майстори – плочки, бани, малки ремонти, освежаване, дребни довършвания.</w:t>
      </w:r>
    </w:p>
    <w:p>
      <w:pPr>
        <w:pStyle w:val="SmallNote"/>
      </w:pPr>
      <w:r>
        <w:t>Тази мрежа трябва да се доизгради системно и да се поддържа като vetted list, а не като разхвърляни единични контакти.</w:t>
      </w:r>
    </w:p>
    <w:p>
      <w:pPr>
        <w:pStyle w:val="Heading1"/>
      </w:pPr>
      <w:r>
        <w:t>8. Къде влизат контактите като отклонения по блокове</w:t>
      </w:r>
    </w:p>
    <w:p>
      <w:pPr>
        <w:pStyle w:val="Heading2"/>
      </w:pPr>
      <w:r>
        <w:t>Блок B – Финансиране и бюджет</w:t>
      </w:r>
    </w:p>
    <w:p>
      <w:pPr>
        <w:pStyle w:val="ListBullet"/>
      </w:pPr>
      <w:r>
        <w:t>Отклонение: ако клиентът е кредитен случай, да се пита има ли вече кредитен консултант или банков контакт.</w:t>
      </w:r>
    </w:p>
    <w:p>
      <w:pPr>
        <w:pStyle w:val="ListBullet"/>
      </w:pPr>
      <w:r>
        <w:t>Ако няма – възможност за referral към 1–2 проверени кредитни консултанти.</w:t>
      </w:r>
    </w:p>
    <w:p>
      <w:pPr>
        <w:pStyle w:val="Heading2"/>
      </w:pPr>
      <w:r>
        <w:t>Блок D – Правна и документална проверка</w:t>
      </w:r>
    </w:p>
    <w:p>
      <w:pPr>
        <w:pStyle w:val="ListBullet"/>
      </w:pPr>
      <w:r>
        <w:t>Отклонение: ако няма адвокат – това е задължителен gap.</w:t>
      </w:r>
    </w:p>
    <w:p>
      <w:pPr>
        <w:pStyle w:val="ListBullet"/>
      </w:pPr>
      <w:r>
        <w:t>Referral към гръцки адвокат и при нужда към нотариус, когато процесът се движи към изповядване.</w:t>
      </w:r>
    </w:p>
    <w:p>
      <w:pPr>
        <w:pStyle w:val="Heading2"/>
      </w:pPr>
      <w:r>
        <w:t>Блок C / E – Технически и ремонтен риск</w:t>
      </w:r>
    </w:p>
    <w:p>
      <w:pPr>
        <w:pStyle w:val="ListBullet"/>
      </w:pPr>
      <w:r>
        <w:t>Отклонение: ако имотът има нужда от ремонт или техническа проверка, да се отбелязва има ли достъп до майстори и reliable local execution layer.</w:t>
      </w:r>
    </w:p>
    <w:p>
      <w:pPr>
        <w:pStyle w:val="Heading2"/>
      </w:pPr>
      <w:r>
        <w:t>Блок G – Следпридобивна стабилизация</w:t>
      </w:r>
    </w:p>
    <w:p>
      <w:pPr>
        <w:pStyle w:val="ListBullet"/>
      </w:pPr>
      <w:r>
        <w:t>Отклонение: ако излязат проблеми с влага, ел., ВиК, дограма, бани, козметика или сигурност, да има опция за свързване с местни майстори.</w:t>
      </w:r>
    </w:p>
    <w:p>
      <w:pPr>
        <w:pStyle w:val="Heading1"/>
      </w:pPr>
      <w:r>
        <w:t>9. Продуктов принцип – какво вижда клиентът и какво остава вътрешно</w:t>
      </w:r>
    </w:p>
    <w:p>
      <w:pPr>
        <w:pStyle w:val="ListBullet"/>
      </w:pPr>
      <w:r>
        <w:t>Клиентът вижда кратък screening, после qualification call, после ясно формулиран платен план.</w:t>
      </w:r>
    </w:p>
    <w:p>
      <w:pPr>
        <w:pStyle w:val="ListBullet"/>
      </w:pPr>
      <w:r>
        <w:t>Клиентът не вижда A–G като технически блокове.</w:t>
      </w:r>
    </w:p>
    <w:p>
      <w:pPr>
        <w:pStyle w:val="ListBullet"/>
      </w:pPr>
      <w:r>
        <w:t>A–G остават вътрешният consulting engine, screening matrix и admin playbook.</w:t>
      </w:r>
    </w:p>
    <w:p>
      <w:pPr>
        <w:pStyle w:val="ListBullet"/>
      </w:pPr>
      <w:r>
        <w:t>Пълната дълбочина се отключва поетапно, според сериозността на клиента и избрания план.</w:t>
      </w:r>
    </w:p>
    <w:p>
      <w:pPr>
        <w:pStyle w:val="Heading1"/>
      </w:pPr>
      <w:r>
        <w:t>10. Следващи задачи по развитие на модела</w:t>
      </w:r>
    </w:p>
    <w:p>
      <w:pPr>
        <w:pStyle w:val="ListNumber"/>
      </w:pPr>
      <w:r>
        <w:t>Да се изведе ultra-short Entry Screening въпросник на база A-lite + B-lite.</w:t>
      </w:r>
    </w:p>
    <w:p>
      <w:pPr>
        <w:pStyle w:val="ListNumber"/>
      </w:pPr>
      <w:r>
        <w:t>Да се дефинира Qualification Call script на база A validate + B condensed.</w:t>
      </w:r>
    </w:p>
    <w:p>
      <w:pPr>
        <w:pStyle w:val="ListNumber"/>
      </w:pPr>
      <w:r>
        <w:t>Да се опишат formally трите плана за клиента: Foundation, Evaluation, Guidance.</w:t>
      </w:r>
    </w:p>
    <w:p>
      <w:pPr>
        <w:pStyle w:val="ListNumber"/>
      </w:pPr>
      <w:r>
        <w:t>Да се изгради vetted referral list: кредитни консултанти, адвокат, нотариус, майстори.</w:t>
      </w:r>
    </w:p>
    <w:p>
      <w:pPr>
        <w:pStyle w:val="ListNumber"/>
      </w:pPr>
      <w:r>
        <w:t>Да се реши кои referral контакти са просто удобство и кои са strategic part of guidance.</w:t>
      </w:r>
    </w:p>
    <w:p>
      <w:pPr>
        <w:pStyle w:val="ListNumber"/>
      </w:pPr>
      <w:r>
        <w:t>Да се направи scoring / triage matrix за admin употреба: accept, caution, reject, not yet ready, good asset wrong price, good asset toxic process.</w:t>
      </w:r>
    </w:p>
    <w:p>
      <w:pPr>
        <w:pStyle w:val="Heading1"/>
      </w:pPr>
      <w:r>
        <w:t>11. Кратко обобщение</w:t>
      </w:r>
    </w:p>
    <w:p>
      <w:r>
        <w:t>Одобреният модел е вече ясен: кратък входен screening, qualification call, след което три premium платени плана – Foundation, Evaluation и Guidance. Блоковете A–G остават вътрешната детайлна логика, а referral мрежата се добавя като контролирано отклонение там, където процесът го изисква.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rial" w:hAnsi="Arial" w:eastAsia="Arial"/>
      <w:i/>
      <w:sz w:val="18"/>
    </w:rPr>
  </w:style>
  <w:style w:type="paragraph" w:customStyle="1" w:styleId="BlockList">
    <w:name w:val="BlockList"/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