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39"/>
          <w:sz w:val="32"/>
          <w:szCs w:val="32"/>
        </w:rPr>
        <w:t xml:space="preserve">БРИФ НА РАЗРАБОТКУ САЙТА — СВОДНЫЙ ДОКУМЕНТ</w:t>
      </w:r>
    </w:p>
    <w:p>
      <w:pPr>
        <w:spacing w:after="100"/>
      </w:pPr>
      <w:r>
        <w:rPr>
          <w:i/>
          <w:iCs/>
          <w:color w:val="6B6B6B"/>
          <w:sz w:val="22"/>
          <w:szCs w:val="22"/>
        </w:rPr>
        <w:t xml:space="preserve">Читать первым — индекс пакета документов для агента-разработчика</w:t>
      </w:r>
    </w:p>
    <w:p>
      <w:pPr>
        <w:spacing w:after="400"/>
      </w:pPr>
      <w:r>
        <w:rPr>
          <w:color w:val="6B6B6B"/>
          <w:sz w:val="18"/>
          <w:szCs w:val="18"/>
        </w:rPr>
        <w:t xml:space="preserve">Документ 1 из 4 · обновлено 29 июля 2026</w:t>
      </w:r>
    </w:p>
    <w:p>
      <w:pPr>
        <w:pStyle w:val="Heading1"/>
        <w:spacing w:after="200" w:before="400"/>
      </w:pPr>
      <w:r>
        <w:t xml:space="preserve">1. Что это за проект</w:t>
      </w:r>
    </w:p>
    <w:p>
      <w:pPr>
        <w:spacing w:after="140"/>
      </w:pPr>
      <w:r>
        <w:t xml:space="preserve">Личный сайт Михаила Данюшина — публичное позиционирование «Fractional AI-инженер и оркестратор IT-процессов». Аудитория — бизнес-заказчики (владельцы/руководители малого-среднего бизнеса, в первую очередь клиники и консалтинг), а не рекрутеры. Сайт продаёт не резюме, а retainer-сотрудничество: регулярное сопровождение по автоматизации, аналитике, AI-интеграциям и наведению порядка в IT.</w:t>
      </w:r>
    </w:p>
    <w:p>
      <w:pPr>
        <w:pStyle w:val="Heading1"/>
        <w:spacing w:after="200" w:before="400"/>
      </w:pPr>
      <w:r>
        <w:t xml:space="preserve">2. Состав пакета документов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6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внутри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00_site_handoff_brief.docx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Этот файл — индекс, финальные решения одним листом, sitemap, чек-лист незакрытых активов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positioning_site_brief.docx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Позиционирование, целевая аудитория, отстройка от конкурентов, структура разделов сайта, модель монетизации, вопросы по резюме/бренду, сводный список открытых вопросов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case_bank.docx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Полные тексты 4 кейсов (РТК, контент-завод hemonc.ru, DWH/Power BI, клиника головной боли) + приложение про pet-проект AlcoTracker + сноска об атрибуции кейсов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design_spec.docx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Дизайн-система (цвета, типографика), покомпонентная спецификация разделов, адаптивность, список плейсхолдеров</w:t>
            </w:r>
          </w:p>
        </w:tc>
      </w:tr>
    </w:tbl>
    <w:p>
      <w:pPr>
        <w:spacing w:after="160"/>
      </w:pPr>
      <w:r>
        <w:rPr>
          <w:i/>
          <w:iCs/>
          <w:color w:val="A15C00"/>
        </w:rPr>
        <w:t xml:space="preserve">⚠ Не выдумывать факты и цифры сверх того, что зафиксировано в этих трёх документах. Если для верстки не хватает конкретного текста или цифры — оставлять явный маркер TODO/placeholder, а не подставлять правдоподобную, но неподтверждённую цифру.</w:t>
      </w:r>
    </w:p>
    <w:p>
      <w:pPr>
        <w:pStyle w:val="Heading1"/>
        <w:spacing w:after="200" w:before="400"/>
      </w:pPr>
      <w:r>
        <w:t xml:space="preserve">3. Финальные решения — коротко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Имя и тэглайн: «Михаил Данюшин — Fractional AI-инженер и оркестратор IT-процессов». Слово «веб-студия» не используется; субподряд (партнёр-devops) не брендируется, Михаил — единственная точка контакта.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Аудитория: бизнес-заказчики (малый/средний бизнес без своего tech/AI-отдела), не HR/рекрутеры.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Цена на сайте: без фиксированного прайса — CTA «Свяжитесь с нами» + один мягкий якорь «retainer от ~80 000 ₽/мес», точный расчёт — после брифинга.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Контакты, по приоритету: 1) Telegram (@devs_0107) напрямую, 2) бронирование звонка через Cal.com/TidyCal, 3) простая форма (email+телефон+telegram) внизу страницы.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Квалифицирующие вопросы перед подтверждением записи: какой бизнес и сколько человек в компании; какая главная задача сейчас (автоматизация/аналитика/AI/бардак в IT); есть ли штатная разработка или подрядчики.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Цель по retainer-клиентам: 5 параллельно, ~80 000 ₽/мес с каждого. На hero — бейдж дефицита «Доступен для 1–2 новых проектов».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Кейсы: 4 полноценных (РТК, hemonc.ru контент-завод, DWH/Power BI, клиника головной боли — последний ждёт подтверждения) + AlcoTracker как лёгкий pet-проект вне основного раздела.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Раздел «Путь/карьера»: нужен, в частично-сворачиваемом виде, отдельным блоком; там же — партнёр-devops/sysadmin со своей серверной аппаратной, поданный через метафору дирижёра, а не как «своя команда».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Webpeak (прошлая студия) закрыт как бренд — не фигурирует в разделе «Кейсы»; отдельные проекты можно упомянуть фактом биографии в «Путь/карьера».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Для клиники доктора Ласкова: можно называть открыто, описывать контент-завод и DWH/PBI только в общих чертах, без названия конкретной LLM-платформы и без точной схемы связей источников данных (1С/сайт/Битрикс24/Power BI).</w:t>
      </w:r>
    </w:p>
    <w:p>
      <w:pPr>
        <w:pStyle w:val="Heading1"/>
        <w:spacing w:after="200" w:before="400"/>
      </w:pPr>
      <w:r>
        <w:t xml:space="preserve">4. Sitemap / порядок разделов на странице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1. Первый экран (Hero) — заголовок, бейдж дефицита, 2 CTA, портрет (заглушка), trust-плашка.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2. О подходе («Дирижёр, а не солист») — метафора, схема Frontend+Backend+DevOps+AI → продукt, контраст-карточка «как обычно» vs «как я».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3. Кому и с чем помогаю — 4–5 карточек по типовым запросам (аналитика, автоматизация CRM, AI-агенты, техподдержка legacy, наведение порядка в IT).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4. Кейсы — карточки по 4 кейсам (см. case_bank.docx), анатомия и теги — см. design_spec.docx раздел 2C.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5. Путь / карьера — частично-сворачиваемый блок, включает партнёра-devops/sysadmin.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6. Формат сотрудничества — retainer-карточка, мягкий ценовой якорь.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7. Контакты / заявка — Telegram → Cal.com → форма, с квалифицирующими вопросами.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8. Pet-проекты (лёгкий блок) — AlcoTracker, одна строка + ссылка.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9. Блог/заметки — опционально, не блокирует запуск.</w:t>
      </w:r>
    </w:p>
    <w:p>
      <w:pPr>
        <w:pStyle w:val="Heading1"/>
        <w:spacing w:after="200" w:before="400"/>
      </w:pPr>
      <w:r>
        <w:t xml:space="preserve">5. Чек-лист незакрытых активов — что не готово прямо сейчас</w:t>
      </w:r>
    </w:p>
    <w:p>
      <w:pPr>
        <w:spacing w:after="160"/>
      </w:pPr>
      <w:r>
        <w:rPr>
          <w:i/>
          <w:iCs/>
          <w:color w:val="A15C00"/>
        </w:rPr>
        <w:t xml:space="preserve">⚠ Портретное фото эксперта — фотосессия не проведена, использовать заглушку (см. design_spec.docx раздел 5).</w:t>
      </w:r>
    </w:p>
    <w:p>
      <w:pPr>
        <w:spacing w:after="160"/>
      </w:pPr>
      <w:r>
        <w:rPr>
          <w:i/>
          <w:iCs/>
          <w:color w:val="A15C00"/>
        </w:rPr>
        <w:t xml:space="preserve">⚠ Скриншоты демо-стенда РТК — сняты на тестовых данных, но пока не переданы файлами (техническая проблема с сохранением через браузер, в процессе решения); использовать мокап-заглушку до получения файлов.</w:t>
      </w:r>
    </w:p>
    <w:p>
      <w:pPr>
        <w:spacing w:after="160"/>
      </w:pPr>
      <w:r>
        <w:rPr>
          <w:i/>
          <w:iCs/>
          <w:color w:val="A15C00"/>
        </w:rPr>
        <w:t xml:space="preserve">⚠ Скриншоты для кейсов hemonc.ru и DWH/Power BI — не сделаны, возможно стоит заменить на схему/инфографику вместо скриншота интерфейса.</w:t>
      </w:r>
    </w:p>
    <w:p>
      <w:pPr>
        <w:spacing w:after="160"/>
      </w:pPr>
      <w:r>
        <w:rPr>
          <w:i/>
          <w:iCs/>
          <w:color w:val="A15C00"/>
        </w:rPr>
        <w:t xml:space="preserve">⚠ Кейс клиники головной боли — ждём подтверждения бренда и цифр от клиники; не публиковать до ответа.</w:t>
      </w:r>
    </w:p>
    <w:p>
      <w:pPr>
        <w:spacing w:after="160"/>
      </w:pPr>
      <w:r>
        <w:rPr>
          <w:i/>
          <w:iCs/>
          <w:color w:val="A15C00"/>
        </w:rPr>
        <w:t xml:space="preserve">⚠ Домен и хостинг — не выбраны.</w:t>
      </w:r>
    </w:p>
    <w:p>
      <w:pPr>
        <w:spacing w:after="160"/>
      </w:pPr>
      <w:r>
        <w:rPr>
          <w:i/>
          <w:iCs/>
          <w:color w:val="A15C00"/>
        </w:rPr>
        <w:t xml:space="preserve">⚠ Настройка Cal.com/TidyCal и Telegram-бота для квалифицирующих вопросов — организационная задача вне вёрстки.</w:t>
      </w:r>
    </w:p>
    <w:p>
      <w:pPr>
        <w:spacing w:after="160"/>
      </w:pPr>
      <w:r>
        <w:rPr>
          <w:i/>
          <w:iCs/>
          <w:color w:val="A15C00"/>
        </w:rPr>
        <w:t xml:space="preserve">⚠ Визуальные акцентный цвет — выбрать один из двух вариантов (#00E5FF или #00E676) на этапе дизайн-макета, в спеке оставлены оба на выбор.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2026-07-29T12:46:55.597Z</dcterms:created>
  <dcterms:modified xsi:type="dcterms:W3CDTF">2026-07-29T12:46:55.597Z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