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E5339"/>
          <w:sz w:val="32"/>
          <w:szCs w:val="32"/>
        </w:rPr>
        <w:t xml:space="preserve">БАНК КЕЙСОВ ДЛЯ САЙТА</w:t>
      </w:r>
    </w:p>
    <w:p>
      <w:pPr>
        <w:spacing w:after="100"/>
      </w:pPr>
      <w:r>
        <w:rPr>
          <w:i/>
          <w:iCs/>
          <w:color w:val="6B6B6B"/>
          <w:sz w:val="22"/>
          <w:szCs w:val="22"/>
        </w:rPr>
        <w:t xml:space="preserve">Собираем кейсы постепенно — этот файл пополняется по мере разбора проектов</w:t>
      </w:r>
    </w:p>
    <w:p>
      <w:pPr>
        <w:spacing w:after="400"/>
      </w:pPr>
      <w:r>
        <w:rPr>
          <w:color w:val="6B6B6B"/>
          <w:sz w:val="18"/>
          <w:szCs w:val="18"/>
        </w:rPr>
        <w:t xml:space="preserve">Обновлено: 27 июля 2026 · Кейсов в файле: 4</w:t>
      </w:r>
    </w:p>
    <w:p>
      <w:pPr>
        <w:spacing w:after="140"/>
      </w:pPr>
      <w:r>
        <w:t xml:space="preserve">Каждый кейс собран по единой структуре: контекст клиента → задача/проблема → что сделано → результат/масштаб → что это доказывает для позиционирования «AI-оркестратор» → что нужно уточнить перед публикацией.</w:t>
      </w:r>
    </w:p>
    <w:p>
      <w:pPr>
        <w:pStyle w:val="Heading1"/>
        <w:spacing w:after="200" w:before="400"/>
      </w:pPr>
      <w:r>
        <w:t xml:space="preserve">Атрибуция кейсов: как оформить сноску про найм/подряд</w:t>
      </w:r>
    </w:p>
    <w:p>
      <w:pPr>
        <w:spacing w:after="140"/>
      </w:pPr>
      <w:r>
        <w:t xml:space="preserve">Ты подтвердил: NDA нигде не подписывалось, называть компании можно. Юридически вопросов нет. Но есть репутационный нюанс: все кейсы сделаны в найме или на подряде, а не как независимые фриланс-проекты — сайт же продаёт тебя как самостоятельного эксперта. Если клиент прогуглит компанию и напишет ей напрямую, лучше, чтобы это не выглядело как несостыковка.</w:t>
      </w:r>
    </w:p>
    <w:p>
      <w:pPr>
        <w:spacing w:after="140"/>
      </w:pPr>
      <w:r>
        <w:t xml:space="preserve">Рекомендация: не вешать примечание на каждый кейс отдельно — это утяжелит и будет читаться как оправдание. Один общий, едва заметный текст внизу раздела «Кейсы» на сайте, мелким серым шрифтом, один раз на весь блок: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i/>
          <w:iCs/>
        </w:rPr>
        <w:t xml:space="preserve">Вариант 1 (рекомендую, короче всего): «* Компании указаны с их ведома. Кейсы отражают мою личную роль в проектах, выполненных в найме или на подряде.»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i/>
          <w:iCs/>
        </w:rPr>
        <w:t xml:space="preserve">Вариант 2 (чуть более формальный): «* Кейсы описывают результаты работы в рамках найма/подряда у указанных компаний. NDA по этим проектам не заключалось.»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i/>
          <w:iCs/>
        </w:rPr>
        <w:t xml:space="preserve">Вариант 3 (без слова NDA, мягче по тону): «* Указанные компании — реальные проекты, где я работал в штате или на подряде.»</w:t>
      </w:r>
    </w:p>
    <w:p>
      <w:pPr>
        <w:spacing w:after="140"/>
      </w:pPr>
      <w:r>
        <w:t xml:space="preserve">Плюс маленькая надстрочная «*» рядом с названием компании в заголовке каждого кейса (РТК*, hemonc.ru*), которая ведёт на эту единственную сноску внизу секции — так видно происхождение кейса, но взгляд на это не спотыкается.</w:t>
      </w:r>
    </w:p>
    <w:p>
      <w:pPr>
        <w:pStyle w:val="Heading1"/>
        <w:spacing w:after="200" w:before="400"/>
      </w:pPr>
      <w:r>
        <w:t xml:space="preserve">Кейс 1. РТК* — внутренняя ERP/BI-платформа для инжиниринговой консалтинговой компании</w:t>
      </w:r>
    </w:p>
    <w:p>
      <w:pPr>
        <w:pStyle w:val="Heading2"/>
        <w:spacing w:after="120" w:before="260"/>
      </w:pPr>
      <w:r>
        <w:t xml:space="preserve">Контекст клиента</w:t>
      </w:r>
    </w:p>
    <w:p>
      <w:pPr>
        <w:spacing w:after="140"/>
      </w:pPr>
      <w:r>
        <w:t xml:space="preserve">АО «Русский Технологический Клуб» (rustechclub.ru) — инженерно-консалтинговая компания на рынке с 2008 года. Специализация: техническая экспертиза и мониторинг инвестиционных проектов, подготовка проектов к коммерциализации, бизнес-планирование, маркетинг — для проектов реального сектора, включая венчурные и высокотехнологичные. Работает с крупными инвестиционно-банковскими структурами. Заявленный опыт: 250+ проектов экспертизы и мониторинга, 70+ проектов инвестиционного консалтинга. Отрасли: нефтегаз, химическая/лесная/лёгкая промышленность, фарма и биомед, металлургия и горнодобыча, энергетика, машиностроение, микроэлектроника, пищевая промышленность, АПК, строительство.</w:t>
      </w:r>
    </w:p>
    <w:p>
      <w:pPr>
        <w:pStyle w:val="Heading2"/>
        <w:spacing w:after="120" w:before="260"/>
      </w:pPr>
      <w:r>
        <w:t xml:space="preserve">Твоя роль</w:t>
      </w:r>
    </w:p>
    <w:p>
      <w:pPr>
        <w:spacing w:after="140"/>
      </w:pPr>
      <w:r>
        <w:t xml:space="preserve">Middle backend-разработчик в подрядчике — ООО «Бизан». Единолично закрывал весь backend на Laravel; фронтенд на React делался в связке с фронтенд-разработчиком. Разработка велась около года, 1 475 коммитов в репозитории бэкенда.</w:t>
      </w:r>
    </w:p>
    <w:p>
      <w:pPr>
        <w:pStyle w:val="Heading2"/>
        <w:spacing w:after="120" w:before="260"/>
      </w:pPr>
      <w:r>
        <w:t xml:space="preserve">Задача / проблема клиента</w:t>
      </w:r>
    </w:p>
    <w:p>
      <w:pPr>
        <w:spacing w:after="140"/>
      </w:pPr>
      <w:r>
        <w:t xml:space="preserve">При портфеле 250+ проектов у компании не было единой системы учёта: воронка продаж и финансовые показатели по каждому проекту, загрузка сотрудников, статус отчётности руководителей проектов, работа с контрагентами и подрядчиками — всё было разрознено между 1С, ручными отчётами и таблицами. Нужен был внутренний инструмент, отвечающий на вопросы: на каком этапе каждый проект, сколько денег приходит и когда, кто из сотрудников чем загружен, кто не сдал отчёт вовремя.</w:t>
      </w:r>
    </w:p>
    <w:p>
      <w:pPr>
        <w:pStyle w:val="Heading2"/>
        <w:spacing w:after="120" w:before="260"/>
      </w:pPr>
      <w:r>
        <w:t xml:space="preserve">Что построено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Воронка продаж на уровне проекта: этапы, финансовые метрики каждого этапа (сумма, рентабельность), история переходов между этапами.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Автоматическая ежемесячная генерация отчётов по бизнес-правилам с workflow утверждения: «не начат → в работе → утверждён».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Учёт контрагентов, кредиторов/подрядчиков, контрактов, платежей и задолженностей.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Учёт персонала: рабочее время, загрузка по проектам, отпуска и прочая занятость, статусы сотрудников.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Гибкая система прав доступа: группы прав, полный/ограниченный доступ по разделам (продажи, проекты, отчёты, сотрудники и т.д.), приглашение пользователей по email.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SSO через Keycloak с двухфакторной аутентификацией.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Ежедневная автоматическая синхронизация с 1С: контракты, сотрудники, справочник услуг.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BI-дашборды на React + Chart.js: выручка и поступления по месяцам, валовая прибыль и рентабельность, конверсия воронки продаж, загрузка персонала (headcount), сводка по руководителям проектов, лента завершённых отчётов.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Swagger-документация API (l5-swagger), автоматизированные тесты (Pest).</w:t>
      </w:r>
    </w:p>
    <w:p>
      <w:pPr>
        <w:pStyle w:val="Heading2"/>
        <w:spacing w:after="120" w:before="260"/>
      </w:pPr>
      <w:r>
        <w:t xml:space="preserve">Масштаб и цифры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rPr>
          <w:tblHeader/>
        </w:trPr>
        <w:tc>
          <w:tcPr>
            <w:tcW w:type="dxa" w:w="32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56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Технологии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Backend: Laravel 12 / PHP 8.2. Frontend: React 19 + TypeScript, Redux Toolkit, Chart.js, Tailwind 4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Объём кода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124 миграции БД, 39 моделей, 44 контроллера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Срок и темп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 год разработки, 1 475 коммитов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Интеграции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1С (ежедневный автосинк), Keycloak SSO + 2FA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Модули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Продажи/воронка, проекты, финансы, контрагенты, подрядчики, персонал/загрузка, отчётность с автогенерацией, права доступа, BI-дашборды</w:t>
            </w:r>
          </w:p>
        </w:tc>
      </w:tr>
    </w:tbl>
    <w:p>
      <w:pPr>
        <w:pStyle w:val="Heading2"/>
        <w:spacing w:after="120" w:before="260"/>
      </w:pPr>
      <w:r>
        <w:t xml:space="preserve">Что это доказывает для позиционирования «AI-оркестратор»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Способность в одиночку взять сложную предметную область (финансовый и проектный учёт консалтинговой компании) и довести до рабочего продакшна за реалистичный срок.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Полный стек ответственности: от структуры БД и бизнес-логики до SSO/безопасности и BI-визуализации — то самое «дирижирование», а не работа в одной узкой роли.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Прямое подтверждение тезиса «без AI не справился бы»: сложность финансовой логики и объём проекта, по твоей оценке, были не по силам одному мидл-разработчику в такие сроки без использования AI-инструментов в разработке — сильный аргумент для позиционирования «работаю быстрее и шире благодаря AI».</w:t>
      </w:r>
    </w:p>
    <w:p>
      <w:pPr>
        <w:spacing w:after="140"/>
      </w:pPr>
      <w:r>
        <w:rPr>
          <w:i/>
          <w:iCs/>
          <w:color w:val="666666"/>
        </w:rPr>
        <w:t xml:space="preserve">Статус: клиента можно называть открыто (NDA не подписывалось) — см. общую сноску в начале документа. В работе: поднять проект локально на тестовой БД с фейковыми данными и сделать скриншоты дашбордов для сайта — так безопаснее и красивее, чем реальные цифры.</w:t>
      </w:r>
    </w:p>
    <w:p>
      <w:pPr>
        <w:pStyle w:val="Heading1"/>
        <w:spacing w:after="200" w:before="400"/>
      </w:pPr>
      <w:r>
        <w:t xml:space="preserve">Кейс 2. hemonc.ru* (Клиника доктора Ласкова) — контент-завод на мультиагентном AI-скиле</w:t>
      </w:r>
    </w:p>
    <w:p>
      <w:pPr>
        <w:pStyle w:val="Heading2"/>
        <w:spacing w:after="120" w:before="260"/>
      </w:pPr>
      <w:r>
        <w:t xml:space="preserve">Контекст клиента</w:t>
      </w:r>
    </w:p>
    <w:p>
      <w:pPr>
        <w:spacing w:after="140"/>
      </w:pPr>
      <w:r>
        <w:t xml:space="preserve">Клиника доктора Ласкова, сайт hemonc.ru — частная онкологическая/гематологическая клиника в Москве. Ты сейчас там штатный AI-инженер (не подрядчик разово) — это твой текущий флагманский проект.</w:t>
      </w:r>
    </w:p>
    <w:p>
      <w:pPr>
        <w:pStyle w:val="Heading2"/>
        <w:spacing w:after="120" w:before="260"/>
      </w:pPr>
      <w:r>
        <w:t xml:space="preserve">Твоя роль</w:t>
      </w:r>
    </w:p>
    <w:p>
      <w:pPr>
        <w:spacing w:after="140"/>
      </w:pPr>
      <w:r>
        <w:t xml:space="preserve">Владелец процесса целиком: спроектировал и ведёшь мультиагентный конвейер производства пациентского контента, дорабатываешь скилл, ведёшь банк источников, координируешь врачебную вычитку.</w:t>
      </w:r>
    </w:p>
    <w:p>
      <w:pPr>
        <w:pStyle w:val="Heading2"/>
        <w:spacing w:after="120" w:before="260"/>
      </w:pPr>
      <w:r>
        <w:t xml:space="preserve">Задача / проблема</w:t>
      </w:r>
    </w:p>
    <w:p>
      <w:pPr>
        <w:spacing w:after="140"/>
      </w:pPr>
      <w:r>
        <w:t xml:space="preserve">Пациентский контент для сайта и соцсетей клиники раньше требовал отдельного копирайтера и двух SMM-специалистов. Нужно было сохранить качество и медицинскую точность, но убрать штатную зависимость от трёх человек в этом процессе.</w:t>
      </w:r>
    </w:p>
    <w:p>
      <w:pPr>
        <w:pStyle w:val="Heading2"/>
        <w:spacing w:after="120" w:before="260"/>
      </w:pPr>
      <w:r>
        <w:t xml:space="preserve">Что построено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Мультиагентный конвейер `hemonc-content-pec`: Planner → Critic плана → Executor → Critic по своду правил — весь текст пишет агент, а не человек «из головы».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Свод правил (v0.5) с кодированными требованиями (R1–R5, C1.5 и т.д.): ключевое — R1 «ничего не выдумывать без источника»; уточнение врача приравнено к источнику (правило C1.5).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Банк утверждённых источников — тексты пишутся строго по карте согласованного источника (например, ESMO «Breast Cancer: A Guide for Patients»), а не произвольно.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Каталог типов контента A–G по осям ТИП × АУДИТОРИЯ × КАНАЛ × ЭТАП ВОРОНКИ — производство контента поставлено на систему классификации, а не на «напиши мне пост про...».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Выборочная врачебная вычитка: каждый 10-й текст идёт врачу (Ласков, Аболмасов); каждая правка верифицируется против свода правил — если противоречит правилу, решается, менять ли правило, и тогда переписываются все тексты под новую версию.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Отдельный скилл-конвейер для иллюстраций (`hemonc-illustrations`) закрывает картинки по плейсхолдерам в текстах.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Позиционный блок «честная онкология» (тип F1) — ценностный якорь клиники, тоже встроен в контент-конвейер как отдельный тип.</w:t>
      </w:r>
    </w:p>
    <w:p>
      <w:pPr>
        <w:pStyle w:val="Heading2"/>
        <w:spacing w:after="120" w:before="260"/>
      </w:pPr>
      <w:r>
        <w:t xml:space="preserve">Масштаб на сегодня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rPr>
          <w:tblHeader/>
        </w:trPr>
        <w:tc>
          <w:tcPr>
            <w:tcW w:type="dxa" w:w="32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56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Готовые эталонные тексты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 материалов по раку молочной железы (от 4 до 16 КБ), типы A1–A8, D1, F1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Спецификация основного скила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~22 КБ — полноценный проектный документ, не «промпт в одну строку»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Роли в процессе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Хозяин процесса (ты), врачи-утверждающие источник (Ласков, Аболмасов), врачи выборочной вычитки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Штат, который заменяет процесс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копирайтер + 2 SMM-специалиста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ФОТ до перехода на контент-завод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~150 000 ₽/мес на копирайтера + 2 SMM-специалистов (округлённая цифра, согласована с клиникой для использования в кейсе)</w:t>
            </w:r>
          </w:p>
        </w:tc>
      </w:tr>
    </w:tbl>
    <w:p>
      <w:pPr>
        <w:pStyle w:val="Heading2"/>
        <w:spacing w:after="120" w:before="260"/>
      </w:pPr>
      <w:r>
        <w:t xml:space="preserve">Что это доказывает для позиционирования «AI-оркестратор»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Показывает экономику решения в чистом виде: конкретная статья затрат (3 штатные роли, ~150 000 ₽/мес ФОТ) заменена на управляемый AI-процесс с контролем качества — то, что бизнес-заказчику проще всего перевести в деньги.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Доказывает, что ты строишь не «текст по промпту», а производственный процесс с версионированием правил, ролями и контролем — то есть инженерное мышление применительно к контенту, а не только к коду.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Хороший контраст с кейсом РТК: там — сложная бэкенд-система, здесь — AI-процесс для немедицинского/некодового домена. Показывает широту, о которой говорит метафора «дирижёра».</w:t>
      </w:r>
    </w:p>
    <w:p>
      <w:pPr>
        <w:spacing w:after="140"/>
      </w:pPr>
      <w:r>
        <w:rPr>
          <w:i/>
          <w:iCs/>
          <w:color w:val="666666"/>
        </w:rPr>
        <w:t xml:space="preserve">Статус согласования с клиникой: можно открыто называть КДЛ как клиента и текущее место работы. Устройство контент-завода описывать можно только в общих чертах, без деталей внутренней кухни. Название конкретной LLM-платформы (на которой построен скил) — не упоминать нигде на сайте.</w:t>
      </w:r>
    </w:p>
    <w:p>
      <w:pPr>
        <w:spacing w:after="160"/>
      </w:pPr>
      <w:r>
        <w:rPr>
          <w:i/>
          <w:iCs/>
          <w:color w:val="A15C00"/>
        </w:rPr>
        <w:t xml:space="preserve">⚠ Всё ещё не хватает второй половины ROI — сколько сейчас стоит поддержка процесса (контроль/вычитка/доработка скилла), чтобы посчитать чистую экономию, а не только «было». Можно уточнить отдельно, не обязательно к запуску сайта.</w:t>
      </w:r>
    </w:p>
    <w:p>
      <w:pPr>
        <w:pStyle w:val="Heading1"/>
        <w:spacing w:after="200" w:before="400"/>
      </w:pPr>
      <w:r>
        <w:t xml:space="preserve">Кейс 3. Клиника доктора Ласкова* — бинарный патчинг Power BI и DWH</w:t>
      </w:r>
    </w:p>
    <w:p>
      <w:pPr>
        <w:pStyle w:val="Heading2"/>
        <w:spacing w:after="120" w:before="260"/>
      </w:pPr>
      <w:r>
        <w:t xml:space="preserve">Клиентская формулировка (черновик текста для сайта)</w:t>
      </w:r>
    </w:p>
    <w:p>
      <w:pPr>
        <w:spacing w:after="140"/>
      </w:pPr>
      <w:r>
        <w:t xml:space="preserve">Было: модели были перегружены, регулярный рефреш уходил в таймаут, а сам отчёт представлял собой одну громоздкую модель с множеством вкладок в одном месте — сотрудникам было сложно быстро найти нужный срез данных.</w:t>
      </w:r>
    </w:p>
    <w:p>
      <w:pPr>
        <w:spacing w:after="140"/>
      </w:pPr>
      <w:r>
        <w:t xml:space="preserve">Стало: модель тянет только нужные поля, отчёты разделены по смыслу на отдельные, для менеджеров и аналитиков добавлены подсказки прямо в интерфейсе — не нужно спрашивать, что означает та или иная цифра. Обновление данных настроено на инкрементальный рефреш и происходит ночью, без ручного вмешательства. Итог: сбоев Power BI больше нет, у клиники стабильный и предсказуемый доступ к аналитике каждый день.</w:t>
      </w:r>
    </w:p>
    <w:p>
      <w:pPr>
        <w:pStyle w:val="Heading2"/>
        <w:spacing w:after="120" w:before="260"/>
      </w:pPr>
      <w:r>
        <w:t xml:space="preserve">Контекст и проблема (техническая версия — для собственного архива, не обязательно для сайта)</w:t>
      </w:r>
    </w:p>
    <w:p>
      <w:pPr>
        <w:spacing w:after="140"/>
      </w:pPr>
      <w:r>
        <w:t xml:space="preserve">Отчёты Power BI для клиники строились на тяжёлых моделях (~170+ МБ), собранных из множества источников напрямую — без промежуточного хранилища. Ключевая техническая боль: обновление данных («Применить» / Refresh) регулярно падало. Диагностированы и задокументированы два независимых механизма отказа: (А) Desktop на Windows-шлюзе при Apply уходит в OOM, потому что весь тяжёлый mashup (в первую очередь источник BiTeam — около 40 таблиц через шлюз, включая blob-поля до 1,26 ГБ) исполняется в одном процессе; (Б) уже в облачном Power BI Service обновление зависает и упирается в таймаут шлюза (~2 часа) даже когда сам шлюз простаивает — из-за тяжёлых источников (Метрика, Bitrix cloud, Calltouch) и пересчёта модели (VertiPaq/AS) уже после выкачки данных. Плюс продуктовая, не только техническая проблема: один отчёт с множеством вкладок был неудобен пользователям сам по себе, независимо от сбоев.</w:t>
      </w:r>
    </w:p>
    <w:p>
      <w:pPr>
        <w:pStyle w:val="Heading2"/>
        <w:spacing w:after="120" w:before="260"/>
      </w:pPr>
      <w:r>
        <w:t xml:space="preserve">Что сделано — часть 1: бинарный патч .pbix без Desktop</w:t>
      </w:r>
    </w:p>
    <w:p>
      <w:pPr>
        <w:spacing w:after="140"/>
      </w:pPr>
      <w:r>
        <w:t xml:space="preserve">Поскольку открывать полную модель на шлюзе ради Apply было небезопасно (риск OOM), правки вносятся напрямую в бинарный файл `.pbix` на Mac, без Power BI Desktop вообще: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`.pbix` распакован как ZIP: внутри `DataModel` — сжатый XPress9 бэкап Analysis Services (VertiPaq + M-код), M-запросы и параметры Incremental Refresh лежат в SQLite-базе `metadata.sqlitedb` внутри него.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Модель читается и правится инструментами `pbixray` (распаковка XPress9, срез модели: M-запросы, DAX-меры, связи, схема) и `apsw` (прямые SQL-правки `metadata.sqlitedb` в памяти — таблицы `Partition`/`Expression`/`RefreshPolicy`, счётчик `MAXID`).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После правки — recompress через `xpress9`, сборка нового `.pbix`, ручная заливка в Power BI Service и Refresh через gateway отдельно (Publish ≠ Refresh).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Через этот процесс правились: смена источников, добавление параметров `RangeStart`/`RangeEnd` для Incremental Refresh, токены API, политика refresh — то есть глубокие структурные изменения модели, а не косметика визуалов.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Рабочий процесс задокументирован как living-гайд (`PBIX_PATCH_GUIDE.md`, 660+ строк): анатомия .pbix, алгоритм патча, каталог типичных ошибок Service/gateway и история находок с датами — тот же принцип «одна ошибка = одна запись в базе знаний», что и в DWH-репозитории.</w:t>
      </w:r>
    </w:p>
    <w:p>
      <w:pPr>
        <w:pStyle w:val="Heading2"/>
        <w:spacing w:after="120" w:before="260"/>
      </w:pPr>
      <w:r>
        <w:t xml:space="preserve">Что сделано — часть 2: диагностика тяжёлых источников и оптимизация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Найдены и классифицированы конкретные тяжёлые места: широкий источник «Пациенты» и BiTeam без `SelectColumns` сразу после навигации (тянут blob-поля целиком), uid-таблицы Яндекс.Метрики (много round-trip батчей), окна дат Calltouch «90 дней назад» при HTTP-запросах.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Фикс: `SelectColumns` сразу после навигации к широким/blob-источникам, исключение uid-таблиц Метрики из регулярного рефреша (`ExcludeFromModelRefresh`), разделение модели на два отдельных прод-датасета — `clinic_ops.pbix` (операционка клиники / BiTeam) и `leads_marketing.pbix` (лиды и маркетинг: DWH + Bitrix + Calltouch) — вместо одного монолита.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Целевой ориентир по времени обновления полной модели с DWH-лидами — 5–20 минут вместо прежних попыток, упиравшихся в двухчасовой таймаут шлюза.</w:t>
      </w:r>
    </w:p>
    <w:p>
      <w:pPr>
        <w:pStyle w:val="Heading2"/>
        <w:spacing w:after="120" w:before="260"/>
      </w:pPr>
      <w:r>
        <w:t xml:space="preserve">Что сделано — часть 3: DWH (репозиторий dwh-etl)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Единое хранилище данных на PostgreSQL как промежуточный слой между внутренними и внешними источниками данных клиники и Power BI/DataLens — вместо прямых кастомных коннекторов в каждом отчёте. Точная схема, какие именно источники и как связаны между собой (в т.ч. сайт, CRM, учётные системы), по договорённости с клиникой не раскрывается — каждая система по отдельности упоминается свободно.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Несколько независимых ETL-пайплайнов с идемпотентными инкрементальными загрузками — устойчивы к повторному запуску, не дублируют и не теряют данные, с троттлингом под лимиты внешних API.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Единый оркестратор всех ETL с одним сводным сообщением, ежедневный cron на проде; алерты и мониторинг в Telegram, отдельная веб-панель (FastAPI + HTMX) со статусами и историей прогонов; скрипт автоматической сверки данных с источником.</w:t>
      </w:r>
    </w:p>
    <w:p>
      <w:pPr>
        <w:pStyle w:val="Heading2"/>
        <w:spacing w:after="120" w:before="260"/>
      </w:pPr>
      <w:r>
        <w:t xml:space="preserve">Результат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Диагностированы и устранены два разных механизма отказа рефреша (Desktop OOM и Service-таймаут), а не один поверхностный симптом.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Модель разделена на два независимо обновляемых прод-датасета вместо одного тяжёлого монолита.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Появился единый источник данных (DWH) и наблюдаемость процесса синхронизации (алерты, панель мониторинга, сверка) — раньше сбои были «тихими».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Наработан воспроизводимый метод правки Power BI-моделей без Desktop — задокументирован так, что им может пользоваться другой человек или агент, а не только ты.</w:t>
      </w:r>
    </w:p>
    <w:p>
      <w:pPr>
        <w:pStyle w:val="Heading2"/>
        <w:spacing w:after="120" w:before="260"/>
      </w:pPr>
      <w:r>
        <w:t xml:space="preserve">Что это доказывает для позиционирования «AI-оркестратор»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Это самый сильный технический аргумент из всех кейсов на «глубину», а не только «широту»: реверс-инжиниринг закрытого бинарного формата (XPress9 + Analysis Services backup) — уровень, до которого не доходит подавляющее большинство BI-специалистов, работающих только через Desktop UI.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При этом сама задача — предельно прикладная и бизнесовая: не «ради интереса поресёрчил формат», а «отчёты не обновлялись — нашёл первопричину на два уровня глубже симптома и починил».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Ещё раз подтверждает грань «навожу порядок»: рефреш был нестабильным и непрозрачным — стал наблюдаемым, разделённым на модули и задокументированным.</w:t>
      </w:r>
    </w:p>
    <w:p>
      <w:pPr>
        <w:spacing w:after="140"/>
      </w:pPr>
      <w:r>
        <w:rPr>
          <w:i/>
          <w:iCs/>
          <w:color w:val="666666"/>
        </w:rPr>
        <w:t xml:space="preserve">Статус согласования с клиникой: можно открыто называть КДЛ как клиента. Описывать PBI-патчинг и DWH можно только в общих чертах. Точную схему связей между источниками (в т.ч. 1С, сайт, Битрикс24, Power BI) не раскрывать — по отдельности каждую систему упоминать можно без ограничений. Название конкретной LLM-платформы — не упоминать нигде на сайте.</w:t>
      </w:r>
    </w:p>
    <w:p>
      <w:pPr>
        <w:spacing w:after="160"/>
      </w:pPr>
      <w:r>
        <w:rPr>
          <w:i/>
          <w:iCs/>
          <w:color w:val="A15C00"/>
        </w:rPr>
        <w:t xml:space="preserve">⚠ Качественное «было/стало» уже есть (см. клиентскую формулировку выше) — этого достаточно для сайта. Точные цифры (сколько раз в неделю падал рефреш, сколько минут занимает обновление сейчас) были бы бонусом, но не блокируют публикацию.</w:t>
      </w:r>
    </w:p>
    <w:p>
      <w:pPr>
        <w:pStyle w:val="Heading1"/>
        <w:spacing w:after="200" w:before="400"/>
      </w:pPr>
      <w:r>
        <w:t xml:space="preserve">Кейс 4. Клиника головной боли* — сквозная аналитика «клик → лид → запись → визит → выручка»</w:t>
      </w:r>
    </w:p>
    <w:p>
      <w:pPr>
        <w:pStyle w:val="Heading2"/>
        <w:spacing w:after="120" w:before="260"/>
      </w:pPr>
      <w:r>
        <w:t xml:space="preserve">Контекст клиента</w:t>
      </w:r>
    </w:p>
    <w:p>
      <w:pPr>
        <w:spacing w:after="140"/>
      </w:pPr>
      <w:r>
        <w:t xml:space="preserve">Второй текущий клиент, две связанные брендовые единицы: «Университетская клиника головной боли» (направления — неврология и психиатрия; филиалы УК на Люсиновской и УМЦ на Протопоповском) и «Центр ботулинотерапии» (отдельный бренд на площадке УМЦ, пока вне скоупа первого дашборда). Формат задачи — ближе к техническому консультанту и архитектору аналитики, чем к штатному AI-инженеру.</w:t>
      </w:r>
    </w:p>
    <w:p>
      <w:pPr>
        <w:pStyle w:val="Heading2"/>
        <w:spacing w:after="120" w:before="260"/>
      </w:pPr>
      <w:r>
        <w:t xml:space="preserve">Задача / проблема</w:t>
      </w:r>
    </w:p>
    <w:p>
      <w:pPr>
        <w:spacing w:after="140"/>
      </w:pPr>
      <w:r>
        <w:t xml:space="preserve">Нужна была не разовая визуализация, а система управления медицинским бизнесом через данные: находить узкие места воронки, точки роста выручки и загрузки, принимать решения по врачам, каналам и услугам — с ежедневным обновлением и сравнением год-к-году.</w:t>
      </w:r>
    </w:p>
    <w:p>
      <w:pPr>
        <w:pStyle w:val="Heading2"/>
        <w:spacing w:after="120" w:before="260"/>
      </w:pPr>
      <w:r>
        <w:t xml:space="preserve">Что построено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Источники: Bitrix24 (лиды, коммуникации — реальные данные), Calltouch (звонки, заявки, сделки, атрибуция по рекламным каналам — реальные данные, стык с лидами считается с 16.06.2026), 1С (финансы/выручка — пока на моках по контракту API, до подключения прод-эндпоинта).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ETL на serverless-функциях Яндекс.Облака (Cloud Functions): отдельные функции под `bitrix_leads`, `bitrix_deals`, `calltouch`, каждая с собственным ETL-скриптом и уведомлением о статусе.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Слой SQL в PostgreSQL: 14 миграций/скриптов — измерения (`dim_sources_channels`), факты (`fact_leads`, `fact_pipeline_bitrix`, `fact_calltouch_lead_match`), представления для воронки и выручки (`v_dwh_revenue`, `v_kpi_money_ukgb`, `v_datalens_funnel`, `v_funnel_direction_cancels`), сопоставление лидов Calltouch с воронкой Bitrix.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Yandex DataLens: раздельные prod/dev workbook'и, отдельные датасеты по доменам (`DS_Money`, `DS_Leads`, `DS_Deals`, `DS_Lead_Cancels`, `DS_Channels`, плюс dev-датасеты по Calltouch), дашборд «Маркетинг» с вкладками Деньги / Воронка / Каналы / Calltouch.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Вкладка «Деньги»: выручка день/MTD/YTD с сравнением год-к-году, доли по филиалам (УК/УМЦ) и направлениям (неврология/психиатрия), 13 индикаторов на одном представлении.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Вкладка «Воронка»: лиды → записи → конверсия (в т.ч. отдельно общая и «целевые» обращения), динамика конверсии год-к-году, разбивка по направлениям, отмены/переносы и доля перезаписи по эвристике телефона.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Дисциплина ведения проекта: письменное ТЗ, живой реестр статусов по каждому пункту ТЗ с маркерами готово/частично/заблокировано-данными/не начато/на моках, регулярные даты сверки факта с дашбордом.</w:t>
      </w:r>
    </w:p>
    <w:p>
      <w:pPr>
        <w:pStyle w:val="Heading2"/>
        <w:spacing w:after="120" w:before="260"/>
      </w:pPr>
      <w:r>
        <w:t xml:space="preserve">Результат / масштаб на сегодня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rPr>
          <w:tblHeader/>
        </w:trPr>
        <w:tc>
          <w:tcPr>
            <w:tcW w:type="dxa" w:w="32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56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Источники в проде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Bitrix24 — реальные данные; Calltouch — реальные данные (с 16.06.2026); 1С — контракт готов, пока моки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ETL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serverless-функции (Bitrix leads, Bitrix deals, Calltouch) на Яндекс.Облаке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SQL-слой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 файлов миграций/вью: dim/fact таблицы + воронка, выручка, сопоставление Calltouch↔Bitrix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Дашборд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DataLens, prod + dev workbook, вкладки Деньги / Воронка / Каналы / Calltouch, 6+ датасетов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Готовность по ТЗ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Блоки «Лиды/воронка» и «Деньги» готовы (частично на моках по 1С); пациенты/LTV/загрузка врачей заблокированы отсутствием прод-данных 1С</w:t>
            </w:r>
          </w:p>
        </w:tc>
      </w:tr>
    </w:tbl>
    <w:p>
      <w:pPr>
        <w:pStyle w:val="Heading2"/>
        <w:spacing w:after="120" w:before="260"/>
      </w:pPr>
      <w:r>
        <w:t xml:space="preserve">Что это доказывает для позиционирования «AI-оркестратор»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Показывает работу с несколькими живыми источниками одновременно (CRM, коллтрекинг, будущая бухгалтерская система) и честную границу между «уже реальные данные» и «пока моки» — это ровно то доверие к цифрам, которое ценит бизнес-заказчик.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Архитектура повторяет паттерн DWH-кейса (Кейс 3): serverless ETL → PostgreSQL → BI — то есть это не разовое решение под клинику, а тиражируемый архитектурный шаблон, который можно предлагать новым клиентам.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Явно виден стиль «навожу порядок»: письменное ТЗ, статус по каждому пункту, честная маркировка мок/прод — дисциплина ведения проекта, а не только код.</w:t>
      </w:r>
    </w:p>
    <w:p>
      <w:pPr>
        <w:spacing w:after="160"/>
      </w:pPr>
      <w:r>
        <w:rPr>
          <w:i/>
          <w:iCs/>
          <w:color w:val="A15C00"/>
        </w:rPr>
        <w:t xml:space="preserve">⚠ Публикация: нужно решить с клиникой, что можно называть (бренд, показатели воронки/выручки хотя бы в относительных величинах) — как и с остальными кейсами, NDA скорее всего не требуется, но лучше подтвердить явно перед сайтом.</w:t>
      </w:r>
    </w:p>
    <w:p>
      <w:pPr>
        <w:spacing w:after="160"/>
      </w:pPr>
      <w:r>
        <w:rPr>
          <w:i/>
          <w:iCs/>
          <w:color w:val="A15C00"/>
        </w:rPr>
        <w:t xml:space="preserve">⚠ Для сайта было бы сильно показать реальную цифру — например, на сколько выросла точность атрибуции звонков после интеграции Calltouch, или сколько ручных отчётов заменил один дашборд.</w:t>
      </w:r>
    </w:p>
    <w:p>
      <w:pPr>
        <w:pStyle w:val="Heading1"/>
        <w:spacing w:after="200" w:before="400"/>
      </w:pPr>
      <w:r>
        <w:t xml:space="preserve">Приложение. Pet-проект: AlcoTracker (alcotracker.ru) — не для раздела «Кейсы»</w:t>
      </w:r>
    </w:p>
    <w:p>
      <w:pPr>
        <w:spacing w:after="140"/>
      </w:pPr>
      <w:r>
        <w:t xml:space="preserve">Свой продукт, работает в проде на собственном сервере: учёт потребления алкоголя с аналитикой (дневник, недельная статистика, графики, расчёт чистого спирта, раздел «Детокс»). Стек — Laravel + Sanctum (auth: регистрация, вход, восстановление пароля) на бэке, Nuxt 4 / Vue 3 / Chart.js на фронте, Docker Compose, задеплоено на свой VPS с DNS и SSL под кастомный домен. Небольшой репозиторий (5 коммитов) — сделан быстро, но полностью: от auth-флоу до продакшн-деплоя в одиночку.</w:t>
      </w:r>
    </w:p>
    <w:p>
      <w:pPr>
        <w:pStyle w:val="Heading2"/>
        <w:spacing w:after="120" w:before="260"/>
      </w:pPr>
      <w:r>
        <w:t xml:space="preserve">Моя рекомендация: не включать в основной раздел «Кейсы»</w:t>
      </w:r>
    </w:p>
    <w:p>
      <w:pPr>
        <w:spacing w:after="140"/>
      </w:pPr>
      <w:r>
        <w:t xml:space="preserve">Раздел «Кейсы» сейчас целиком выстроен вокруг позиционирования «fractional AI-инженер для бизнеса»: у каждого кейса есть заказчик, бизнес-проблема и измеримый результат для чужого бизнеса. AlcoTracker — личный B2C-продукт без бизнес-заказчика и без AI/автоматизации в основе (в коде нет интеграций с LLM/AI). Рядом с РТК/hemonc.ru/DWH он будет выбиваться из логики раздела и слегка размоет сообщение «нанимаете эксперта по автоматизации для бизнеса».</w:t>
      </w:r>
    </w:p>
    <w:p>
      <w:pPr>
        <w:spacing w:after="140"/>
      </w:pPr>
      <w:r>
        <w:t xml:space="preserve">При этом выкидывать его совсем не обязательно — это хорошее свидетельство того, что ты не только чинишь чужое, но и сам доводишь продукт до продакшна от идеи до auth и деплоя. Предлагаю не кейс, а отдельный лёгкий блок на сайте — что-то вроде «Pet-проекты» или «Что делаю для себя» в самом низу страницы, без карточки с проблема/решение/результат, просто ссылкой и одной строкой описания. Это добавляет человечности к профилю эксперта, не конкурируя с основным коммерческим сообщением.</w:t>
      </w:r>
    </w:p>
    <w:p>
      <w:pPr>
        <w:spacing w:after="140"/>
      </w:pPr>
      <w:r>
        <w:t xml:space="preserve">Отдельно, по теме проекта: сам факт трекера потребления алкоголя — нормальный жанр self-tracking/harm-reduction приложений (как дневник питания), в нём нет ничего, что стоило бы прятать. Единственное, что я бы учёл, — рядом с клиентом-онкоклиникой в одном портфолио тема может читаться чуть диссонансно по тону; это вопрос соседства на странице, а не самого проекта.</w:t>
      </w:r>
    </w:p>
    <w:p>
      <w:pPr>
        <w:pStyle w:val="Heading1"/>
        <w:spacing w:after="200" w:before="400"/>
      </w:pPr>
      <w:r>
        <w:t xml:space="preserve">Дальше</w:t>
      </w:r>
    </w:p>
    <w:p>
      <w:pPr>
        <w:spacing w:after="140"/>
      </w:pPr>
      <w:r>
        <w:t xml:space="preserve">Присылай следующий проект — разберу так же: контекст, задача, решение, цифры, что доказывает позиционирование, что уточнить перед публикацией.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2026-07-29T12:14:43.742Z</dcterms:created>
  <dcterms:modified xsi:type="dcterms:W3CDTF">2026-07-29T12:14:43.742Z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