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5339"/>
          <w:sz w:val="32"/>
          <w:szCs w:val="32"/>
        </w:rPr>
        <w:t xml:space="preserve">UI/UX И ДИЗАЙН-СПЕЦИФИКАЦИЯ САЙТА</w:t>
      </w:r>
    </w:p>
    <w:p>
      <w:pPr>
        <w:spacing w:after="100"/>
      </w:pPr>
      <w:r>
        <w:rPr>
          <w:i/>
          <w:iCs/>
          <w:color w:val="6B6B6B"/>
          <w:sz w:val="22"/>
          <w:szCs w:val="22"/>
        </w:rPr>
        <w:t xml:space="preserve">Михаил Данюшин — Fractional AI-инженер и оркестратор IT-процессов</w:t>
      </w:r>
    </w:p>
    <w:p>
      <w:pPr>
        <w:spacing w:after="400"/>
      </w:pPr>
      <w:r>
        <w:rPr>
          <w:color w:val="6B6B6B"/>
          <w:sz w:val="18"/>
          <w:szCs w:val="18"/>
        </w:rPr>
        <w:t xml:space="preserve">Документ 3 из 4 в пакете передачи агенту-разработчику · обновлено 29 июля 2026</w:t>
      </w:r>
    </w:p>
    <w:p>
      <w:pPr>
        <w:pStyle w:val="Heading1"/>
        <w:spacing w:after="200" w:before="400"/>
      </w:pPr>
      <w:r>
        <w:t xml:space="preserve">0. Как читать этот документ</w:t>
      </w:r>
    </w:p>
    <w:p>
      <w:pPr>
        <w:spacing w:after="140"/>
      </w:pPr>
      <w:r>
        <w:t xml:space="preserve">Это техническая спецификация визуального языка и компонентов сайта. Стратегию, позиционирование и цифры смотри в positioning_site_brief.docx, полные тексты кейсов — в case_bank.docx, сводный чек-лист по всему проекту — в 00_site_handoff_brief.docx.</w:t>
      </w:r>
    </w:p>
    <w:p>
      <w:pPr>
        <w:spacing w:after="160"/>
      </w:pPr>
      <w:r>
        <w:rPr>
          <w:i/>
          <w:iCs/>
          <w:color w:val="A15C00"/>
        </w:rPr>
        <w:t xml:space="preserve">⚠ Везде, где в макете нужна фотография с фотосессии (портрет, кадры процесса и т.п.), на этапе вёрстки ставится заглушка — см. раздел 5 «Плейсхолдеры». Настоящие фото будут добавлены позже, вёрстку под них готовим уже сейчас (правильные пропорции и обрезка).</w:t>
      </w:r>
    </w:p>
    <w:p>
      <w:pPr>
        <w:pStyle w:val="Heading1"/>
        <w:spacing w:after="200" w:before="400"/>
      </w:pPr>
      <w:r>
        <w:t xml:space="preserve">1. Концепция и стиль (Design System)</w:t>
      </w:r>
    </w:p>
    <w:p>
      <w:pPr>
        <w:spacing w:after="140"/>
      </w:pPr>
      <w:r>
        <w:t xml:space="preserve">Стиль: Engineering Minimal / Modern B2B Dark-Tech — минимализм, выверенность, акцент на данных и типографике. Настроение: серьёзный B2B-сервис, прозрачность, инженерный порядок, дорогой технический консалтинг.</w:t>
      </w:r>
    </w:p>
    <w:p>
      <w:pPr>
        <w:pStyle w:val="Heading2"/>
        <w:spacing w:after="120" w:before="260"/>
      </w:pPr>
      <w:r>
        <w:t xml:space="preserve">1.1 Цветовая палитра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200"/>
      </w:tblGrid>
      <w:tr>
        <w:trPr>
          <w:tblHeader/>
        </w:trPr>
        <w:tc>
          <w:tcPr>
            <w:tcW w:type="dxa" w:w="24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Токен</w:t>
            </w:r>
          </w:p>
        </w:tc>
        <w:tc>
          <w:tcPr>
            <w:tcW w:type="dxa" w:w="22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2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 (Background)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#0D0F12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Базовый фон страницы — глубокий графитовый, премиальный технологичный контекст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Поверхность (Surface)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#1A1D21 / #22262B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Карточки и блоки; border-radius 8–12px; тонкая рамка rgba(255,255,255,0.08)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Основной текст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#ECEFF1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Заголовки и читаемый текст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Вторичный текст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#8A94A6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Мета-данные, подписи, второстепенная информация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Акцент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#00E5FF или #00E676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Строго для CTA-кнопок, активных статусов («В работе», «Live»), ключевых цифр в кейсах — выбрать один основной на этапе дизайн-макета</w:t>
            </w:r>
          </w:p>
        </w:tc>
      </w:tr>
    </w:tbl>
    <w:p>
      <w:pPr>
        <w:pStyle w:val="Heading2"/>
        <w:spacing w:after="120" w:before="260"/>
      </w:pPr>
      <w:r>
        <w:t xml:space="preserve">1.2 Типографика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600"/>
      </w:tblGrid>
      <w:tr>
        <w:trPr>
          <w:tblHeader/>
        </w:trPr>
        <w:tc>
          <w:tcPr>
            <w:tcW w:type="dxa" w:w="2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3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Шрифт</w:t>
            </w:r>
          </w:p>
        </w:tc>
        <w:tc>
          <w:tcPr>
            <w:tcW w:type="dxa" w:w="2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Заголовки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 / SF Pro Display / Plus Jakarta Sans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Современный гротеск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Код / метрики / теги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JetBrains Mono / Fira Code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Подчёркивает инженерный стек — использовать для тегов технологий в кейсах и цифр KPI</w:t>
            </w:r>
          </w:p>
        </w:tc>
      </w:tr>
    </w:tbl>
    <w:p>
      <w:pPr>
        <w:pStyle w:val="Heading1"/>
        <w:spacing w:after="200" w:before="400"/>
      </w:pPr>
      <w:r>
        <w:t xml:space="preserve">2. Компоненты и блоки интерфейса</w:t>
      </w:r>
    </w:p>
    <w:p>
      <w:pPr>
        <w:pStyle w:val="Heading2"/>
        <w:spacing w:after="120" w:before="260"/>
      </w:pPr>
      <w:r>
        <w:t xml:space="preserve">A. Первый экран (Hero)</w:t>
      </w:r>
    </w:p>
    <w:p>
      <w:pPr>
        <w:spacing w:after="140"/>
      </w:pPr>
      <w:r>
        <w:t xml:space="preserve">Сетка: 2 колонки на десктопе.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Левая колонка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Бейдж над заголовком: «🟢 Доступен для 1–2 новых проектов (Retainer)» — приём дефицита, число слотов обновляется вручную по факту загруженности.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H1 и подзаголовок — черновик текста см. раздел 3.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Две кнопки: основная «Записаться на экспресс-диагностику», вторичная «Смотреть кейсы».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Trust-плашка снизу: «Опыт: Клиника доктора Ласкова, РТК» — только подтверждённые и согласованные клиенты (см. case_bank.docx); добавить вторую клинику после её ответа.</w:t>
      </w:r>
    </w:p>
    <w:p>
      <w:pPr>
        <w:spacing w:after="100"/>
      </w:pPr>
      <w:r>
        <w:rPr>
          <w:color w:val="1B6E3C"/>
        </w:rPr>
        <w:t xml:space="preserve">✓ Этот бейдж закрывает открытый вопрос из positioning_site_brief.docx (7.2) про приём дефицита — решение: да, используем.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Правая колонка</w:t>
      </w:r>
    </w:p>
    <w:p>
      <w:pPr>
        <w:spacing w:after="140"/>
      </w:pPr>
      <w:r>
        <w:t xml:space="preserve">Портретная фотография эксперта (Кадр №1) с аккуратно обрезанным фоном / мягким градиентом под тёмную палитру. До фотосессии — заглушка (см. раздел 5).</w:t>
      </w:r>
    </w:p>
    <w:p>
      <w:pPr>
        <w:pStyle w:val="Heading2"/>
        <w:spacing w:after="120" w:before="260"/>
      </w:pPr>
      <w:r>
        <w:t xml:space="preserve">B. Блок «О подходе / Дирижёр»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Визуализация схемы: Frontend + Backend + DevOps + AI Agents → единый работающий продукт. Статичная или лёгкая интерактивная блок-схема, не стена текста.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Карточка с контрастом: «Как делают обычно» (дорого, долго, отдел из нескольких человек) vs «Как делаю я» (быстро, прозрачно, оркестрация AI) — черновик текста см. раздел 3.</w:t>
      </w:r>
    </w:p>
    <w:p>
      <w:pPr>
        <w:pStyle w:val="Heading2"/>
        <w:spacing w:after="120" w:before="260"/>
      </w:pPr>
      <w:r>
        <w:t xml:space="preserve">C. Раздел «Кейсы»</w:t>
      </w:r>
    </w:p>
    <w:p>
      <w:pPr>
        <w:spacing w:after="140"/>
      </w:pPr>
      <w:r>
        <w:t xml:space="preserve">Формат: крупные карточки, по 1 кейсу в строке или сеткой 2×2.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Анатомия карточки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Header: название проекта + теги технологий (моноширинный шрифт).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Body: «Было» (проблема) → «Сделано» (инженерное решение) → «Результат» — выделенный блок с крупными цифрами.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Visual: скриншот дашборда/интерфейса, обёрнутый в аккуратный мокап браузера.</w:t>
      </w:r>
    </w:p>
    <w:p>
      <w:pPr>
        <w:spacing w:after="160"/>
      </w:pPr>
      <w:r>
        <w:rPr>
          <w:i/>
          <w:iCs/>
          <w:color w:val="A15C00"/>
        </w:rPr>
        <w:t xml:space="preserve">⚠ В черновике спецификации был пример тега «Claude Skills» — убрать. Клиника доктора Ласкова прямо просила не называть конкретную LLM-платформу нигде на сайте (см. case_bank.docx, Кейс 2 и 3). Везде использовать нейтральные теги: «AI Agents», «LLM Pipeline», «Multi-agent QA».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Соответствие реальным кейсам (case_bank.docx)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400"/>
      </w:tblGrid>
      <w:tr>
        <w:trPr>
          <w:tblHeader/>
        </w:trPr>
        <w:tc>
          <w:tcPr>
            <w:tcW w:type="dxa" w:w="20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Кейс</w:t>
            </w:r>
          </w:p>
        </w:tc>
        <w:tc>
          <w:tcPr>
            <w:tcW w:type="dxa" w:w="32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Теги (пример)</w:t>
            </w:r>
          </w:p>
        </w:tc>
        <w:tc>
          <w:tcPr>
            <w:tcW w:type="dxa" w:w="34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Результат / статус визуала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РТК — ERP/BI-платформа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Laravel, MySQL, ClickHouse, Keycloak SSO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124 миграции, 1 475 коммитов, рост до retainer-модели. Скриншот — демо-стенд на тестовых данных, пересъёмка в процессе (см. раздел 5)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hemonc.ru — контент-завод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Agents, Multi-agent QA, LLM Pipeline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 штатные единицы (1 копирайтер + 2 SMM), ~150 000 ₽/мес ФОТ до перехода. Скриншотов интерфейса нет — заглушка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Клиника Ласкова — DWH/Power BI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BI, PostgreSQL, Python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Клиентская формулировка «было/стало» (см. case_bank.docx), без точных цифр времени. Скриншотов нет — заглушка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Клиника головной боли — сквозная аналитика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DataLens, Yandex Cloud Functions, Calltouch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Ждём подтверждения клиники — не публиковать до ответа, статус карточки «скоро» либо не показывать вовсе</w:t>
            </w:r>
          </w:p>
        </w:tc>
      </w:tr>
    </w:tbl>
    <w:p>
      <w:pPr>
        <w:spacing w:after="160"/>
      </w:pPr>
      <w:r>
        <w:rPr>
          <w:i/>
          <w:iCs/>
          <w:color w:val="A15C00"/>
        </w:rPr>
        <w:t xml:space="preserve">⚠ AlcoTracker (pet-проект) в этот раздел не входит — по решению из case_bank.docx он идёт отдельным лёгким блоком внизу сайта, не карточкой кейса.</w:t>
      </w:r>
    </w:p>
    <w:p>
      <w:pPr>
        <w:pStyle w:val="Heading2"/>
        <w:spacing w:after="120" w:before="260"/>
      </w:pPr>
      <w:r>
        <w:t xml:space="preserve">D. Блок «Формат работы и тарифы»</w:t>
      </w:r>
    </w:p>
    <w:p>
      <w:pPr>
        <w:spacing w:after="140"/>
      </w:pPr>
      <w:r>
        <w:t xml:space="preserve">Избегаем вида «интернет-магазина». Подаём как «Fractional IT-Lead / AI-Engineer».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Карточка retainer-формата: что входит в ежемесячное сопровождение — наведение порядка в IT, DWH, AI-агенты, регулярные созвоны.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Мягкий ориентир цены: «Формат — ежемесячный retainer, ориентир от ~80 000 ₽/мес» — совпадает с уже принятым решением (positioning_site_brief.docx, раздел 6).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Акцент: «Дешевле одного штатного senior-разработчика, эффективнее целого отдела» — по нашему разбору рынка труда наём такого профиля в штат стоит 220 000–320 000 ₽/мес на руки плюс налоги на фонд оплаты труда, так что сравнение честное, можно использовать прямо с этой цифрой.</w:t>
      </w:r>
    </w:p>
    <w:p>
      <w:pPr>
        <w:pStyle w:val="Heading2"/>
        <w:spacing w:after="120" w:before="260"/>
      </w:pPr>
      <w:r>
        <w:t xml:space="preserve">E. Конверсионный блок / Контакты</w:t>
      </w:r>
    </w:p>
    <w:p>
      <w:pPr>
        <w:spacing w:after="140"/>
      </w:pPr>
      <w:r>
        <w:t xml:space="preserve">Минималистичная карточка в самом низу страницы. Заголовок: «30 минут созвона — и вы поймёте, где ваш бизнес теряет деньги на рутине».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Кнопка 1 (основная, крупная): «Написать в Telegram» (@devs_0107) — приоритет 1.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Кнопка 2 (вторичная): «Забронировать время в календаре (Cal.com)» — приоритет 2.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Короткая запасная форма (Имя + Telegram/Телефон) — приоритет 3, для тех, у кого Telegram заблокирован на рабочем компьютере.</w:t>
      </w:r>
    </w:p>
    <w:p>
      <w:pPr>
        <w:spacing w:after="100"/>
      </w:pPr>
      <w:r>
        <w:rPr>
          <w:color w:val="1B6E3C"/>
        </w:rPr>
        <w:t xml:space="preserve">✓ Полностью совпадает с уже зафиксированным приоритетом каналов (positioning_site_brief.docx, раздел 7.2) — изменений не вносил.</w:t>
      </w:r>
    </w:p>
    <w:p>
      <w:pPr>
        <w:pStyle w:val="Heading1"/>
        <w:spacing w:after="200" w:before="400"/>
      </w:pPr>
      <w:r>
        <w:t xml:space="preserve">3. Черновик текстов (для вёрстки, не финал)</w:t>
      </w:r>
    </w:p>
    <w:p>
      <w:pPr>
        <w:spacing w:after="140"/>
      </w:pPr>
      <w:r>
        <w:t xml:space="preserve">H1 (вариант): «AI-инженер и оркестратор IT-процессов для бизнеса». Подзаголовок (вариант): «Довожу задачи автоматизации, аналитики и AI-интеграций до результата — без штатной единицы в найме».</w:t>
      </w:r>
    </w:p>
    <w:p>
      <w:pPr>
        <w:spacing w:after="140"/>
      </w:pPr>
      <w:r>
        <w:t xml:space="preserve">«Как делают обычно»: найм отдела разработки — долго, дорого, посредники между заказчиком и исполнителем. «Как делаю я»: один человек, который сам во всём разбирается и сам всё доводит до продакшна, с AI как ускорителем, а не заменой инженерного мышления.</w:t>
      </w:r>
    </w:p>
    <w:p>
      <w:pPr>
        <w:spacing w:after="140"/>
      </w:pPr>
      <w:r>
        <w:t xml:space="preserve">Финальные формулировки — отдельный этап после утверждения структуры, копирайтинг не входит в этот документ.</w:t>
      </w:r>
    </w:p>
    <w:p>
      <w:pPr>
        <w:pStyle w:val="Heading1"/>
        <w:spacing w:after="200" w:before="400"/>
      </w:pPr>
      <w:r>
        <w:t xml:space="preserve">4. Адаптивность и технические требования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Mobile-first: рабочая гипотеза — большая часть бизнес-заказчиков открывает сайт с телефона по ссылке из Telegram; таблицы (например, сравнение кейсов) на мобильных превращаются в карточки, а не горизонтальный скролл.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Производительность: изображения в .webp, оптимизация через Next/Image или Vite-плагины; цель — 100/100 в Google PageSpeed.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Интерактивность: мягкие hover-эффекты на карточках, подсветка рамок, плавный скролл до якорей. Без тяжёлых 3D-эффектов и навязчивых анимаций появления.</w:t>
      </w:r>
    </w:p>
    <w:p>
      <w:pPr>
        <w:pStyle w:val="Heading1"/>
        <w:spacing w:after="200" w:before="400"/>
      </w:pPr>
      <w:r>
        <w:t xml:space="preserve">5. Плейсхолдеры и незакрытые визуальные активы</w:t>
      </w:r>
    </w:p>
    <w:p>
      <w:pPr>
        <w:spacing w:after="160"/>
      </w:pPr>
      <w:r>
        <w:rPr>
          <w:i/>
          <w:iCs/>
          <w:color w:val="A15C00"/>
        </w:rPr>
        <w:t xml:space="preserve">⚠ Портретное фото эксперта (Hero, правая колонка) — фотосессия ещё не проведена. Заглушка: абстрактный градиентный блок в акцентных цветах или силуэт, с пропорциями под будущий кадр (рекомендация: вертикальный кадр 4:5, нейтральный/графитовый фон, деловой кэжуал).</w:t>
      </w:r>
    </w:p>
    <w:p>
      <w:pPr>
        <w:spacing w:after="160"/>
      </w:pPr>
      <w:r>
        <w:rPr>
          <w:i/>
          <w:iCs/>
          <w:color w:val="A15C00"/>
        </w:rPr>
        <w:t xml:space="preserve">⚠ Скриншот РТК-дашборда — демо-стенд поднят на тестовых данных (localhost:5174), скриншоты сделаны, но пока не долетели до файлов (техническая проблема с сохранением через браузер — в процессе решения). До получения финальных файлов — мокап браузера с блёром/абстрактным контентом.</w:t>
      </w:r>
    </w:p>
    <w:p>
      <w:pPr>
        <w:spacing w:after="160"/>
      </w:pPr>
      <w:r>
        <w:rPr>
          <w:i/>
          <w:iCs/>
          <w:color w:val="A15C00"/>
        </w:rPr>
        <w:t xml:space="preserve">⚠ Скриншоты для кейсов hemonc.ru (контент-завод) и DWH/Power BI — не сделаны вовсе, интерфейсы внутренние и по большей части не визуальные (скиллы, ETL) — возможно, для этих карточек уместнее не мокап дашборда, а простая инфографика/схема процесса вместо скриншота.</w:t>
      </w:r>
    </w:p>
    <w:p>
      <w:pPr>
        <w:spacing w:after="160"/>
      </w:pPr>
      <w:r>
        <w:rPr>
          <w:i/>
          <w:iCs/>
          <w:color w:val="A15C00"/>
        </w:rPr>
        <w:t xml:space="preserve">⚠ Кейс клиники головной боли — не публиковать до подтверждения бренда клиникой; на макете можно временно скрыть карточку или пометить «скоро».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2026-07-29T12:46:55.532Z</dcterms:created>
  <dcterms:modified xsi:type="dcterms:W3CDTF">2026-07-29T12:46:55.532Z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