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00" w:afterAutospacing="1"/>
        <w:jc w:val="center"/>
        <w:rPr>
          <w:rFonts w:ascii="Times New Roman" w:hAnsi="Times New Roman" w:cs="Times New Roman"/>
          <w:b/>
          <w:bCs/>
          <w:kern w:val="44"/>
          <w:sz w:val="36"/>
          <w:szCs w:val="36"/>
        </w:rPr>
      </w:pPr>
      <w:bookmarkStart w:id="0" w:name="《数字逻辑》课程教学大纲"/>
      <w:bookmarkStart w:id="1" w:name="_Toc463939700"/>
      <w:r>
        <w:rPr>
          <w:rFonts w:hint="eastAsia" w:ascii="Times New Roman" w:hAnsi="Times New Roman" w:cs="Times New Roman"/>
          <w:b/>
          <w:bCs/>
          <w:kern w:val="44"/>
          <w:sz w:val="36"/>
          <w:szCs w:val="36"/>
        </w:rPr>
        <w:t>南开大学本科课程教学大纲</w:t>
      </w:r>
    </w:p>
    <w:p>
      <w:pPr>
        <w:spacing w:before="156" w:beforeLines="5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一、课程</w:t>
      </w:r>
      <w:r>
        <w:rPr>
          <w:rFonts w:hint="eastAsia" w:ascii="Times New Roman" w:hAnsi="Times New Roman" w:cs="Times New Roman"/>
          <w:b/>
          <w:bCs/>
          <w:sz w:val="30"/>
          <w:szCs w:val="30"/>
        </w:rPr>
        <w:t>信息</w:t>
      </w:r>
    </w:p>
    <w:tbl>
      <w:tblPr>
        <w:tblStyle w:val="9"/>
        <w:tblW w:w="850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1161"/>
        <w:gridCol w:w="415"/>
        <w:gridCol w:w="550"/>
        <w:gridCol w:w="709"/>
        <w:gridCol w:w="992"/>
        <w:gridCol w:w="709"/>
        <w:gridCol w:w="567"/>
        <w:gridCol w:w="425"/>
        <w:gridCol w:w="851"/>
        <w:gridCol w:w="141"/>
        <w:gridCol w:w="1149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1997" w:type="dxa"/>
            <w:gridSpan w:val="2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课程名称</w:t>
            </w:r>
          </w:p>
        </w:tc>
        <w:tc>
          <w:tcPr>
            <w:tcW w:w="6508" w:type="dxa"/>
            <w:gridSpan w:val="10"/>
            <w:vAlign w:val="center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概率论与数理统计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1997" w:type="dxa"/>
            <w:gridSpan w:val="2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英文名称</w:t>
            </w:r>
          </w:p>
        </w:tc>
        <w:tc>
          <w:tcPr>
            <w:tcW w:w="6508" w:type="dxa"/>
            <w:gridSpan w:val="10"/>
            <w:vAlign w:val="center"/>
          </w:tcPr>
          <w:p>
            <w:pPr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Probability and Mathematical Statistics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1997" w:type="dxa"/>
            <w:gridSpan w:val="2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课程代码</w:t>
            </w:r>
          </w:p>
        </w:tc>
        <w:tc>
          <w:tcPr>
            <w:tcW w:w="6508" w:type="dxa"/>
            <w:gridSpan w:val="10"/>
            <w:vAlign w:val="center"/>
          </w:tcPr>
          <w:p>
            <w:pP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SOFT0218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1997" w:type="dxa"/>
            <w:gridSpan w:val="2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课程类别</w:t>
            </w:r>
          </w:p>
        </w:tc>
        <w:tc>
          <w:tcPr>
            <w:tcW w:w="6508" w:type="dxa"/>
            <w:gridSpan w:val="10"/>
            <w:vAlign w:val="center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□通识必修课 □通识选修课 </w:t>
            </w:r>
          </w:p>
          <w:p>
            <w:pPr>
              <w:spacing w:line="460" w:lineRule="exact"/>
              <w:rPr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□专业必修课 </w:t>
            </w:r>
            <w:r>
              <w:rPr>
                <w:rFonts w:hint="eastAsia" w:ascii="宋体" w:hAnsi="宋体"/>
                <w:sz w:val="24"/>
                <w:szCs w:val="24"/>
              </w:rPr>
              <w:sym w:font="Wingdings" w:char="F0FE"/>
            </w:r>
            <w:r>
              <w:rPr>
                <w:rFonts w:hint="eastAsia" w:ascii="宋体" w:hAnsi="宋体"/>
                <w:sz w:val="24"/>
                <w:szCs w:val="24"/>
              </w:rPr>
              <w:t>专业选修课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1997" w:type="dxa"/>
            <w:gridSpan w:val="2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学分</w:t>
            </w:r>
          </w:p>
        </w:tc>
        <w:tc>
          <w:tcPr>
            <w:tcW w:w="965" w:type="dxa"/>
            <w:gridSpan w:val="2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sz w:val="24"/>
                <w:lang w:val="en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4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主讲学时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lang w:val="en-US" w:eastAsia="zh-CN"/>
              </w:rPr>
              <w:t>64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</w:rPr>
              <w:t>实践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>学时</w:t>
            </w:r>
          </w:p>
        </w:tc>
        <w:tc>
          <w:tcPr>
            <w:tcW w:w="992" w:type="dxa"/>
            <w:gridSpan w:val="2"/>
            <w:vAlign w:val="center"/>
          </w:tcPr>
          <w:p>
            <w:pPr>
              <w:rPr>
                <w:rFonts w:ascii="Times New Roman" w:hAnsi="Times New Roman" w:cs="Times New Roman"/>
                <w:sz w:val="24"/>
                <w:lang w:val="en"/>
              </w:rPr>
            </w:pPr>
          </w:p>
        </w:tc>
        <w:tc>
          <w:tcPr>
            <w:tcW w:w="992" w:type="dxa"/>
            <w:gridSpan w:val="2"/>
            <w:vAlign w:val="center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总学时</w:t>
            </w:r>
          </w:p>
        </w:tc>
        <w:tc>
          <w:tcPr>
            <w:tcW w:w="1149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64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1997" w:type="dxa"/>
            <w:gridSpan w:val="2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</w:rPr>
              <w:t>授课语言</w:t>
            </w:r>
          </w:p>
        </w:tc>
        <w:tc>
          <w:tcPr>
            <w:tcW w:w="6508" w:type="dxa"/>
            <w:gridSpan w:val="10"/>
            <w:vAlign w:val="center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sym w:font="Wingdings" w:char="F0FE"/>
            </w:r>
            <w:r>
              <w:rPr>
                <w:rFonts w:hint="eastAsia" w:ascii="宋体" w:hAnsi="宋体"/>
                <w:sz w:val="24"/>
                <w:szCs w:val="24"/>
              </w:rPr>
              <w:t>中文  □全英文  □双语  □外语语言类 （单选）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1997" w:type="dxa"/>
            <w:gridSpan w:val="2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成绩类型</w:t>
            </w:r>
          </w:p>
        </w:tc>
        <w:tc>
          <w:tcPr>
            <w:tcW w:w="6508" w:type="dxa"/>
            <w:gridSpan w:val="10"/>
            <w:vAlign w:val="center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sym w:font="Wingdings" w:char="F0FE"/>
            </w:r>
            <w:r>
              <w:rPr>
                <w:rFonts w:hint="eastAsia" w:ascii="宋体" w:hAnsi="宋体"/>
                <w:sz w:val="24"/>
                <w:szCs w:val="24"/>
              </w:rPr>
              <w:t>百分制  □等级制（通过/不通过）（单选）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1997" w:type="dxa"/>
            <w:gridSpan w:val="2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开课单位</w:t>
            </w:r>
          </w:p>
        </w:tc>
        <w:tc>
          <w:tcPr>
            <w:tcW w:w="6508" w:type="dxa"/>
            <w:gridSpan w:val="10"/>
            <w:vAlign w:val="center"/>
          </w:tcPr>
          <w:p>
            <w:pPr>
              <w:rPr>
                <w:rFonts w:ascii="Times New Roman" w:hAnsi="Times New Roman" w:cs="Times New Roman"/>
                <w:sz w:val="24"/>
                <w:lang w:val="en"/>
              </w:rPr>
            </w:pPr>
            <w:r>
              <w:rPr>
                <w:rFonts w:hint="eastAsia" w:ascii="Times New Roman" w:hAnsi="Times New Roman" w:cs="Times New Roman"/>
                <w:sz w:val="24"/>
                <w:lang w:val="en"/>
              </w:rPr>
              <w:t>软件学院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1997" w:type="dxa"/>
            <w:gridSpan w:val="2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先修课程</w:t>
            </w:r>
          </w:p>
        </w:tc>
        <w:tc>
          <w:tcPr>
            <w:tcW w:w="6508" w:type="dxa"/>
            <w:gridSpan w:val="10"/>
            <w:vAlign w:val="center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无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1997" w:type="dxa"/>
            <w:gridSpan w:val="2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课程负责人</w:t>
            </w:r>
          </w:p>
        </w:tc>
        <w:tc>
          <w:tcPr>
            <w:tcW w:w="6508" w:type="dxa"/>
            <w:gridSpan w:val="10"/>
            <w:vAlign w:val="center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王超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  <w:jc w:val="center"/>
        </w:trPr>
        <w:tc>
          <w:tcPr>
            <w:tcW w:w="8505" w:type="dxa"/>
            <w:gridSpan w:val="12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br w:type="page"/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>课程教材与参考资料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  <w:jc w:val="center"/>
        </w:trPr>
        <w:tc>
          <w:tcPr>
            <w:tcW w:w="836" w:type="dxa"/>
            <w:vMerge w:val="restart"/>
          </w:tcPr>
          <w:p>
            <w:pPr>
              <w:spacing w:line="400" w:lineRule="exact"/>
              <w:jc w:val="center"/>
              <w:rPr>
                <w:rFonts w:ascii="Times New Roman" w:hAnsi="Times New Roman" w:eastAsia="黑体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黑体" w:cs="Times New Roman"/>
                <w:b/>
                <w:sz w:val="24"/>
                <w:szCs w:val="24"/>
              </w:rPr>
              <w:t>教</w:t>
            </w:r>
          </w:p>
          <w:p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黑体" w:cs="Times New Roman"/>
                <w:b/>
                <w:sz w:val="24"/>
                <w:szCs w:val="24"/>
              </w:rPr>
              <w:t>材</w:t>
            </w:r>
          </w:p>
        </w:tc>
        <w:tc>
          <w:tcPr>
            <w:tcW w:w="1576" w:type="dxa"/>
            <w:gridSpan w:val="2"/>
          </w:tcPr>
          <w:p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黑体" w:cs="Times New Roman"/>
                <w:b/>
                <w:sz w:val="24"/>
                <w:szCs w:val="24"/>
              </w:rPr>
              <w:t>作者</w:t>
            </w:r>
          </w:p>
        </w:tc>
        <w:tc>
          <w:tcPr>
            <w:tcW w:w="2251" w:type="dxa"/>
            <w:gridSpan w:val="3"/>
          </w:tcPr>
          <w:p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黑体" w:cs="Times New Roman"/>
                <w:b/>
                <w:sz w:val="24"/>
                <w:szCs w:val="24"/>
              </w:rPr>
              <w:t>名称</w:t>
            </w:r>
          </w:p>
        </w:tc>
        <w:tc>
          <w:tcPr>
            <w:tcW w:w="1276" w:type="dxa"/>
            <w:gridSpan w:val="2"/>
          </w:tcPr>
          <w:p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黑体" w:cs="Times New Roman"/>
                <w:b/>
                <w:sz w:val="24"/>
                <w:szCs w:val="24"/>
              </w:rPr>
              <w:t>出版社</w:t>
            </w:r>
          </w:p>
        </w:tc>
        <w:tc>
          <w:tcPr>
            <w:tcW w:w="1276" w:type="dxa"/>
            <w:gridSpan w:val="2"/>
          </w:tcPr>
          <w:p>
            <w:pPr>
              <w:spacing w:line="400" w:lineRule="exact"/>
              <w:jc w:val="center"/>
              <w:rPr>
                <w:rFonts w:ascii="Times New Roman" w:hAnsi="Times New Roman" w:eastAsia="黑体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黑体" w:cs="Times New Roman"/>
                <w:b/>
                <w:sz w:val="24"/>
                <w:szCs w:val="24"/>
              </w:rPr>
              <w:t>ISBN</w:t>
            </w:r>
          </w:p>
        </w:tc>
        <w:tc>
          <w:tcPr>
            <w:tcW w:w="1290" w:type="dxa"/>
            <w:gridSpan w:val="2"/>
          </w:tcPr>
          <w:p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黑体" w:cs="Times New Roman"/>
                <w:b/>
                <w:sz w:val="24"/>
                <w:szCs w:val="24"/>
              </w:rPr>
              <w:t>出版时间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  <w:jc w:val="center"/>
        </w:trPr>
        <w:tc>
          <w:tcPr>
            <w:tcW w:w="836" w:type="dxa"/>
            <w:vMerge w:val="continue"/>
          </w:tcPr>
          <w:p>
            <w:pPr>
              <w:spacing w:line="40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6" w:type="dxa"/>
            <w:gridSpan w:val="2"/>
            <w:vAlign w:val="center"/>
          </w:tcPr>
          <w:p>
            <w:pPr>
              <w:widowControl/>
              <w:jc w:val="center"/>
              <w:rPr>
                <w:rFonts w:hint="default" w:ascii="Arial" w:hAnsi="Arial" w:eastAsia="宋体" w:cs="Arial"/>
                <w:kern w:val="0"/>
                <w:szCs w:val="21"/>
              </w:rPr>
            </w:pPr>
            <w:r>
              <w:rPr>
                <w:rFonts w:hint="default" w:ascii="Arial" w:hAnsi="Arial" w:eastAsia="宋体" w:cs="Arial"/>
                <w:kern w:val="0"/>
                <w:szCs w:val="21"/>
              </w:rPr>
              <w:t>盛骤，谢式千,</w:t>
            </w:r>
          </w:p>
          <w:p>
            <w:pPr>
              <w:widowControl/>
              <w:jc w:val="center"/>
              <w:rPr>
                <w:rFonts w:hint="default" w:ascii="Arial" w:hAnsi="Arial" w:eastAsia="宋体" w:cs="Arial"/>
                <w:kern w:val="0"/>
                <w:szCs w:val="21"/>
              </w:rPr>
            </w:pPr>
            <w:r>
              <w:rPr>
                <w:rFonts w:hint="default" w:ascii="Arial" w:hAnsi="Arial" w:eastAsia="宋体" w:cs="Arial"/>
                <w:kern w:val="0"/>
                <w:szCs w:val="21"/>
              </w:rPr>
              <w:t>潘承毅</w:t>
            </w:r>
          </w:p>
        </w:tc>
        <w:tc>
          <w:tcPr>
            <w:tcW w:w="2251" w:type="dxa"/>
            <w:gridSpan w:val="3"/>
            <w:vAlign w:val="center"/>
          </w:tcPr>
          <w:p>
            <w:pPr>
              <w:widowControl/>
              <w:jc w:val="center"/>
              <w:rPr>
                <w:rFonts w:hint="default" w:ascii="Arial" w:hAnsi="Arial" w:eastAsia="宋体" w:cs="Arial"/>
                <w:kern w:val="0"/>
                <w:szCs w:val="21"/>
              </w:rPr>
            </w:pPr>
            <w:r>
              <w:rPr>
                <w:rFonts w:hint="default" w:ascii="Arial" w:hAnsi="Arial" w:eastAsia="宋体" w:cs="Arial"/>
                <w:kern w:val="0"/>
                <w:szCs w:val="21"/>
              </w:rPr>
              <w:t>概率论与数理统计（第四版）</w:t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widowControl/>
              <w:jc w:val="center"/>
              <w:rPr>
                <w:rFonts w:hint="default" w:ascii="Arial" w:hAnsi="Arial" w:eastAsia="宋体" w:cs="Arial"/>
                <w:kern w:val="0"/>
                <w:szCs w:val="21"/>
              </w:rPr>
            </w:pPr>
            <w:r>
              <w:rPr>
                <w:rFonts w:hint="default" w:ascii="Arial" w:hAnsi="Arial" w:eastAsia="宋体" w:cs="Arial"/>
                <w:kern w:val="0"/>
                <w:szCs w:val="21"/>
              </w:rPr>
              <w:t>高等教育出版社</w:t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jc w:val="center"/>
              <w:rPr>
                <w:rFonts w:hint="default" w:ascii="Arial" w:hAnsi="Arial" w:eastAsia="宋体" w:cs="Arial"/>
                <w:kern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4"/>
                <w:szCs w:val="24"/>
                <w:lang w:bidi="ar"/>
              </w:rPr>
              <w:t>978-7-04-023896-9</w:t>
            </w:r>
          </w:p>
        </w:tc>
        <w:tc>
          <w:tcPr>
            <w:tcW w:w="1290" w:type="dxa"/>
            <w:gridSpan w:val="2"/>
            <w:vAlign w:val="center"/>
          </w:tcPr>
          <w:p>
            <w:pPr>
              <w:jc w:val="center"/>
              <w:rPr>
                <w:rFonts w:hint="default" w:ascii="Arial" w:hAnsi="Arial" w:eastAsia="宋体" w:cs="Arial"/>
                <w:kern w:val="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Cs w:val="21"/>
              </w:rPr>
              <w:t>2008.6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836" w:type="dxa"/>
            <w:vMerge w:val="restart"/>
          </w:tcPr>
          <w:p>
            <w:pPr>
              <w:widowControl/>
              <w:jc w:val="center"/>
              <w:rPr>
                <w:rFonts w:ascii="Times New Roman" w:hAnsi="Times New Roman" w:eastAsia="黑体" w:cs="Times New Roman"/>
                <w:b/>
                <w:sz w:val="24"/>
                <w:szCs w:val="24"/>
              </w:rPr>
            </w:pPr>
          </w:p>
          <w:p>
            <w:pPr>
              <w:widowControl/>
              <w:jc w:val="center"/>
              <w:rPr>
                <w:rFonts w:ascii="Times New Roman" w:hAnsi="Times New Roman" w:eastAsia="黑体" w:cs="Times New Roman"/>
                <w:b/>
                <w:sz w:val="24"/>
                <w:szCs w:val="24"/>
              </w:rPr>
            </w:pPr>
          </w:p>
          <w:p>
            <w:pPr>
              <w:widowControl/>
              <w:jc w:val="center"/>
              <w:rPr>
                <w:rFonts w:ascii="Times New Roman" w:hAnsi="Times New Roman" w:eastAsia="黑体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黑体" w:cs="Times New Roman"/>
                <w:b/>
                <w:sz w:val="24"/>
                <w:szCs w:val="24"/>
              </w:rPr>
              <w:t>参</w:t>
            </w:r>
          </w:p>
          <w:p>
            <w:pPr>
              <w:widowControl/>
              <w:jc w:val="center"/>
              <w:rPr>
                <w:rFonts w:ascii="Times New Roman" w:hAnsi="Times New Roman" w:eastAsia="黑体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黑体" w:cs="Times New Roman"/>
                <w:b/>
                <w:sz w:val="24"/>
                <w:szCs w:val="24"/>
              </w:rPr>
              <w:t>考</w:t>
            </w:r>
          </w:p>
          <w:p>
            <w:pPr>
              <w:widowControl/>
              <w:jc w:val="center"/>
              <w:rPr>
                <w:rFonts w:ascii="Times New Roman" w:hAnsi="Times New Roman" w:eastAsia="黑体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黑体" w:cs="Times New Roman"/>
                <w:b/>
                <w:sz w:val="24"/>
                <w:szCs w:val="24"/>
              </w:rPr>
              <w:t>资</w:t>
            </w:r>
          </w:p>
          <w:p>
            <w:pPr>
              <w:widowControl/>
              <w:jc w:val="center"/>
              <w:rPr>
                <w:rFonts w:ascii="Times New Roman" w:hAnsi="Times New Roman" w:eastAsia="黑体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黑体" w:cs="Times New Roman"/>
                <w:b/>
                <w:sz w:val="24"/>
                <w:szCs w:val="24"/>
              </w:rPr>
              <w:t>料</w:t>
            </w:r>
          </w:p>
        </w:tc>
        <w:tc>
          <w:tcPr>
            <w:tcW w:w="1576" w:type="dxa"/>
            <w:gridSpan w:val="2"/>
          </w:tcPr>
          <w:p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黑体" w:cs="Times New Roman"/>
                <w:b/>
                <w:sz w:val="24"/>
                <w:szCs w:val="24"/>
              </w:rPr>
              <w:t>作者</w:t>
            </w:r>
          </w:p>
        </w:tc>
        <w:tc>
          <w:tcPr>
            <w:tcW w:w="2251" w:type="dxa"/>
            <w:gridSpan w:val="3"/>
          </w:tcPr>
          <w:p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黑体" w:cs="Times New Roman"/>
                <w:b/>
                <w:sz w:val="24"/>
                <w:szCs w:val="24"/>
              </w:rPr>
              <w:t>名称</w:t>
            </w:r>
          </w:p>
        </w:tc>
        <w:tc>
          <w:tcPr>
            <w:tcW w:w="1276" w:type="dxa"/>
            <w:gridSpan w:val="2"/>
          </w:tcPr>
          <w:p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黑体" w:cs="Times New Roman"/>
                <w:b/>
                <w:sz w:val="24"/>
                <w:szCs w:val="24"/>
              </w:rPr>
              <w:t>出版社</w:t>
            </w:r>
          </w:p>
        </w:tc>
        <w:tc>
          <w:tcPr>
            <w:tcW w:w="1276" w:type="dxa"/>
            <w:gridSpan w:val="2"/>
          </w:tcPr>
          <w:p>
            <w:pPr>
              <w:spacing w:line="400" w:lineRule="exact"/>
              <w:jc w:val="center"/>
              <w:rPr>
                <w:rFonts w:ascii="Times New Roman" w:hAnsi="Times New Roman" w:eastAsia="黑体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黑体" w:cs="Times New Roman"/>
                <w:b/>
                <w:sz w:val="24"/>
                <w:szCs w:val="24"/>
              </w:rPr>
              <w:t>ISBN</w:t>
            </w:r>
          </w:p>
        </w:tc>
        <w:tc>
          <w:tcPr>
            <w:tcW w:w="1290" w:type="dxa"/>
            <w:gridSpan w:val="2"/>
          </w:tcPr>
          <w:p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黑体" w:cs="Times New Roman"/>
                <w:b/>
                <w:sz w:val="24"/>
                <w:szCs w:val="24"/>
              </w:rPr>
              <w:t>出版时间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836" w:type="dxa"/>
            <w:vMerge w:val="continue"/>
          </w:tcPr>
          <w:p>
            <w:pPr>
              <w:spacing w:line="400" w:lineRule="exac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76" w:type="dxa"/>
            <w:gridSpan w:val="2"/>
            <w:vAlign w:val="center"/>
          </w:tcPr>
          <w:p>
            <w:pPr>
              <w:widowControl/>
              <w:jc w:val="center"/>
              <w:rPr>
                <w:rFonts w:ascii="楷体_GB2312" w:hAnsi="宋体" w:eastAsia="楷体_GB2312" w:cs="宋体"/>
                <w:kern w:val="0"/>
                <w:szCs w:val="21"/>
              </w:rPr>
            </w:pPr>
          </w:p>
        </w:tc>
        <w:tc>
          <w:tcPr>
            <w:tcW w:w="2251" w:type="dxa"/>
            <w:gridSpan w:val="3"/>
            <w:vAlign w:val="center"/>
          </w:tcPr>
          <w:p>
            <w:pPr>
              <w:widowControl/>
              <w:jc w:val="center"/>
              <w:rPr>
                <w:rFonts w:ascii="楷体_GB2312" w:hAnsi="宋体" w:eastAsia="楷体_GB2312" w:cs="宋体"/>
                <w:kern w:val="0"/>
                <w:szCs w:val="21"/>
              </w:rPr>
            </w:pPr>
          </w:p>
        </w:tc>
        <w:tc>
          <w:tcPr>
            <w:tcW w:w="1276" w:type="dxa"/>
            <w:gridSpan w:val="2"/>
            <w:vAlign w:val="center"/>
          </w:tcPr>
          <w:p>
            <w:pPr>
              <w:widowControl/>
              <w:jc w:val="center"/>
              <w:rPr>
                <w:rFonts w:ascii="楷体_GB2312" w:hAnsi="宋体" w:eastAsia="楷体_GB2312" w:cs="宋体"/>
                <w:kern w:val="0"/>
                <w:szCs w:val="21"/>
              </w:rPr>
            </w:pPr>
          </w:p>
        </w:tc>
        <w:tc>
          <w:tcPr>
            <w:tcW w:w="1276" w:type="dxa"/>
            <w:gridSpan w:val="2"/>
            <w:vAlign w:val="center"/>
          </w:tcPr>
          <w:p>
            <w:pPr>
              <w:jc w:val="center"/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</w:pPr>
          </w:p>
        </w:tc>
        <w:tc>
          <w:tcPr>
            <w:tcW w:w="1290" w:type="dxa"/>
            <w:gridSpan w:val="2"/>
            <w:vAlign w:val="center"/>
          </w:tcPr>
          <w:p>
            <w:pPr>
              <w:widowControl/>
              <w:jc w:val="center"/>
              <w:rPr>
                <w:rFonts w:ascii="楷体_GB2312" w:hAnsi="宋体" w:eastAsia="楷体_GB2312" w:cs="宋体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  <w:jc w:val="center"/>
        </w:trPr>
        <w:tc>
          <w:tcPr>
            <w:tcW w:w="836" w:type="dxa"/>
            <w:vMerge w:val="continue"/>
          </w:tcPr>
          <w:p>
            <w:pPr>
              <w:spacing w:line="400" w:lineRule="exac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76" w:type="dxa"/>
            <w:gridSpan w:val="2"/>
            <w:vAlign w:val="center"/>
          </w:tcPr>
          <w:p>
            <w:pPr>
              <w:widowControl/>
              <w:jc w:val="center"/>
              <w:rPr>
                <w:rFonts w:ascii="楷体_GB2312" w:hAnsi="宋体" w:eastAsia="楷体_GB2312" w:cs="宋体"/>
                <w:kern w:val="0"/>
                <w:szCs w:val="21"/>
              </w:rPr>
            </w:pPr>
          </w:p>
        </w:tc>
        <w:tc>
          <w:tcPr>
            <w:tcW w:w="2251" w:type="dxa"/>
            <w:gridSpan w:val="3"/>
            <w:vAlign w:val="center"/>
          </w:tcPr>
          <w:p>
            <w:pPr>
              <w:widowControl/>
              <w:jc w:val="center"/>
              <w:rPr>
                <w:rFonts w:ascii="楷体_GB2312" w:hAnsi="宋体" w:eastAsia="楷体_GB2312" w:cs="宋体"/>
                <w:kern w:val="0"/>
                <w:szCs w:val="21"/>
              </w:rPr>
            </w:pPr>
          </w:p>
        </w:tc>
        <w:tc>
          <w:tcPr>
            <w:tcW w:w="1276" w:type="dxa"/>
            <w:gridSpan w:val="2"/>
            <w:vAlign w:val="center"/>
          </w:tcPr>
          <w:p>
            <w:pPr>
              <w:widowControl/>
              <w:jc w:val="center"/>
              <w:rPr>
                <w:rFonts w:ascii="楷体_GB2312" w:hAnsi="宋体" w:eastAsia="楷体_GB2312" w:cs="宋体"/>
                <w:kern w:val="0"/>
                <w:szCs w:val="21"/>
              </w:rPr>
            </w:pPr>
          </w:p>
        </w:tc>
        <w:tc>
          <w:tcPr>
            <w:tcW w:w="1276" w:type="dxa"/>
            <w:gridSpan w:val="2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</w:p>
        </w:tc>
        <w:tc>
          <w:tcPr>
            <w:tcW w:w="1290" w:type="dxa"/>
            <w:gridSpan w:val="2"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836" w:type="dxa"/>
            <w:vMerge w:val="continue"/>
          </w:tcPr>
          <w:p>
            <w:pPr>
              <w:spacing w:line="400" w:lineRule="exac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76" w:type="dxa"/>
            <w:gridSpan w:val="2"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</w:p>
        </w:tc>
        <w:tc>
          <w:tcPr>
            <w:tcW w:w="2251" w:type="dxa"/>
            <w:gridSpan w:val="3"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</w:p>
        </w:tc>
        <w:tc>
          <w:tcPr>
            <w:tcW w:w="1276" w:type="dxa"/>
            <w:gridSpan w:val="2"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</w:p>
        </w:tc>
        <w:tc>
          <w:tcPr>
            <w:tcW w:w="1276" w:type="dxa"/>
            <w:gridSpan w:val="2"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</w:p>
        </w:tc>
        <w:tc>
          <w:tcPr>
            <w:tcW w:w="1290" w:type="dxa"/>
            <w:gridSpan w:val="2"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  <w:jc w:val="center"/>
        </w:trPr>
        <w:tc>
          <w:tcPr>
            <w:tcW w:w="836" w:type="dxa"/>
            <w:vMerge w:val="continue"/>
          </w:tcPr>
          <w:p>
            <w:pPr>
              <w:spacing w:line="400" w:lineRule="exac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76" w:type="dxa"/>
            <w:gridSpan w:val="2"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</w:p>
        </w:tc>
        <w:tc>
          <w:tcPr>
            <w:tcW w:w="2251" w:type="dxa"/>
            <w:gridSpan w:val="3"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</w:p>
        </w:tc>
        <w:tc>
          <w:tcPr>
            <w:tcW w:w="1276" w:type="dxa"/>
            <w:gridSpan w:val="2"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</w:p>
        </w:tc>
        <w:tc>
          <w:tcPr>
            <w:tcW w:w="1276" w:type="dxa"/>
            <w:gridSpan w:val="2"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</w:p>
        </w:tc>
        <w:tc>
          <w:tcPr>
            <w:tcW w:w="1290" w:type="dxa"/>
            <w:gridSpan w:val="2"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</w:p>
        </w:tc>
      </w:tr>
    </w:tbl>
    <w:p>
      <w:pPr>
        <w:spacing w:before="156" w:beforeLines="50"/>
        <w:rPr>
          <w:rFonts w:ascii="Times New Roman" w:hAnsi="Times New Roman" w:cs="Times New Roman"/>
          <w:b/>
          <w:bCs/>
          <w:sz w:val="30"/>
          <w:szCs w:val="30"/>
        </w:rPr>
      </w:pPr>
    </w:p>
    <w:p>
      <w:pPr>
        <w:spacing w:before="156" w:beforeLines="50"/>
        <w:rPr>
          <w:rFonts w:ascii="Times New Roman" w:hAnsi="Times New Roman" w:cs="Times New Roman"/>
          <w:b/>
          <w:bCs/>
          <w:sz w:val="30"/>
          <w:szCs w:val="30"/>
        </w:rPr>
      </w:pPr>
    </w:p>
    <w:p>
      <w:pPr>
        <w:spacing w:before="156" w:beforeLines="50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二</w:t>
      </w:r>
      <w:r>
        <w:rPr>
          <w:rFonts w:hint="eastAsia" w:ascii="Times New Roman" w:hAnsi="Times New Roman" w:cs="Times New Roman"/>
          <w:b/>
          <w:bCs/>
          <w:sz w:val="30"/>
          <w:szCs w:val="30"/>
        </w:rPr>
        <w:t>、中文</w:t>
      </w:r>
      <w:r>
        <w:rPr>
          <w:rFonts w:ascii="Times New Roman" w:hAnsi="Times New Roman" w:cs="Times New Roman"/>
          <w:b/>
          <w:bCs/>
          <w:sz w:val="30"/>
          <w:szCs w:val="30"/>
        </w:rPr>
        <w:t>课程简介</w:t>
      </w:r>
    </w:p>
    <w:tbl>
      <w:tblPr>
        <w:tblStyle w:val="9"/>
        <w:tblW w:w="850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5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96" w:hRule="atLeast"/>
          <w:jc w:val="center"/>
        </w:trPr>
        <w:tc>
          <w:tcPr>
            <w:tcW w:w="8505" w:type="dxa"/>
          </w:tcPr>
          <w:p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（</w:t>
            </w:r>
            <w:r>
              <w:rPr>
                <w:rFonts w:ascii="Times New Roman" w:hAnsi="Times New Roman" w:cs="Times New Roman"/>
                <w:szCs w:val="21"/>
              </w:rPr>
              <w:t>简要介绍课程的目标</w:t>
            </w:r>
            <w:r>
              <w:rPr>
                <w:rFonts w:hint="eastAsia" w:ascii="Times New Roman" w:hAnsi="Times New Roman" w:cs="Times New Roman"/>
                <w:szCs w:val="21"/>
              </w:rPr>
              <w:t>、</w:t>
            </w:r>
            <w:r>
              <w:rPr>
                <w:rFonts w:ascii="Times New Roman" w:hAnsi="Times New Roman" w:cs="Times New Roman"/>
                <w:szCs w:val="21"/>
              </w:rPr>
              <w:t>主要授课</w:t>
            </w:r>
            <w:r>
              <w:rPr>
                <w:rFonts w:hint="eastAsia" w:ascii="Times New Roman" w:hAnsi="Times New Roman" w:cs="Times New Roman"/>
                <w:szCs w:val="21"/>
              </w:rPr>
              <w:t>内容、授课对象以及在学生培养中的作用，</w:t>
            </w:r>
            <w:r>
              <w:rPr>
                <w:rFonts w:ascii="Times New Roman" w:hAnsi="Times New Roman" w:cs="Times New Roman"/>
                <w:szCs w:val="21"/>
              </w:rPr>
              <w:t>15</w:t>
            </w:r>
            <w:r>
              <w:rPr>
                <w:rFonts w:hint="eastAsia" w:ascii="Times New Roman" w:hAnsi="Times New Roman" w:cs="Times New Roman"/>
                <w:szCs w:val="21"/>
              </w:rPr>
              <w:t>0—500字。）</w:t>
            </w:r>
          </w:p>
          <w:p>
            <w:pPr>
              <w:spacing w:line="360" w:lineRule="auto"/>
              <w:ind w:firstLine="480" w:firstLineChars="200"/>
              <w:rPr>
                <w:rFonts w:ascii="宋体" w:hAnsi="宋体"/>
                <w:sz w:val="24"/>
                <w:szCs w:val="24"/>
              </w:rPr>
            </w:pPr>
          </w:p>
          <w:p>
            <w:pPr>
              <w:spacing w:line="360" w:lineRule="auto"/>
              <w:ind w:firstLine="480" w:firstLineChars="20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《概率论与数理统计》是一门应用性很强又颇具特色的数学学科，它在工程技术、科学研究、经济管理、企业管理经济预测等众多领域都有广泛的应用；它与其他数学分支（如微积分、高等代数）有着紧密的联系，是近代数学的重要组成部分；它与众多基础学科相结合产生出了许多边缘学科，如生物统计学、计量经济学、管理统计学、金融统计学等；它又是许多新兴的重要学科的基础，如信息论、控制论、人工智能、信息编码理论和数据挖掘等。</w:t>
            </w:r>
          </w:p>
          <w:p>
            <w:pPr>
              <w:spacing w:line="360" w:lineRule="auto"/>
              <w:ind w:firstLine="480" w:firstLineChars="20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本课程的主要教学内容包括：随机事件与概率、随机变量及其分布、多维随机变量及其分布、随机变量的数字特征、大数定理和中心极限定理、数理统计的基本概念、参数估计、假设检验。</w:t>
            </w:r>
          </w:p>
          <w:p>
            <w:pPr>
              <w:spacing w:line="360" w:lineRule="auto"/>
              <w:ind w:firstLine="480" w:firstLineChars="200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授课对象为软件学院本科二年级学生。通过这门课程的学习，学生将在以后的机器学习、人工智能等专业课程学习方面打下坚实的基础，而且对于学生在信息领域继续深造或者从事IT业工作也非常重要。</w:t>
            </w:r>
          </w:p>
          <w:p>
            <w:pPr>
              <w:rPr>
                <w:rFonts w:ascii="Times New Roman" w:hAnsi="Times New Roman" w:cs="Times New Roman"/>
                <w:szCs w:val="21"/>
              </w:rPr>
            </w:pPr>
          </w:p>
        </w:tc>
      </w:tr>
    </w:tbl>
    <w:p>
      <w:pPr>
        <w:spacing w:before="156" w:beforeLines="50"/>
        <w:rPr>
          <w:rFonts w:ascii="Times New Roman" w:hAnsi="Times New Roman" w:cs="Times New Roman"/>
          <w:b/>
          <w:bCs/>
          <w:sz w:val="30"/>
          <w:szCs w:val="30"/>
        </w:rPr>
      </w:pPr>
    </w:p>
    <w:p>
      <w:pPr>
        <w:spacing w:before="156" w:beforeLines="50"/>
        <w:rPr>
          <w:rFonts w:ascii="Times New Roman" w:hAnsi="Times New Roman" w:cs="Times New Roman"/>
          <w:b/>
          <w:bCs/>
          <w:sz w:val="30"/>
          <w:szCs w:val="30"/>
        </w:rPr>
      </w:pPr>
    </w:p>
    <w:p>
      <w:pPr>
        <w:spacing w:before="156" w:beforeLines="50"/>
        <w:rPr>
          <w:rFonts w:ascii="Times New Roman" w:hAnsi="Times New Roman" w:cs="Times New Roman"/>
          <w:b/>
          <w:bCs/>
          <w:sz w:val="30"/>
          <w:szCs w:val="30"/>
        </w:rPr>
      </w:pPr>
    </w:p>
    <w:p>
      <w:pPr>
        <w:spacing w:before="156" w:beforeLines="50"/>
        <w:rPr>
          <w:rFonts w:ascii="Times New Roman" w:hAnsi="Times New Roman" w:cs="Times New Roman"/>
          <w:b/>
          <w:bCs/>
          <w:sz w:val="30"/>
          <w:szCs w:val="30"/>
        </w:rPr>
      </w:pPr>
    </w:p>
    <w:p>
      <w:pPr>
        <w:spacing w:before="156" w:beforeLines="50"/>
        <w:rPr>
          <w:rFonts w:ascii="Times New Roman" w:hAnsi="Times New Roman" w:cs="Times New Roman"/>
          <w:b/>
          <w:bCs/>
          <w:sz w:val="30"/>
          <w:szCs w:val="30"/>
        </w:rPr>
      </w:pPr>
    </w:p>
    <w:p>
      <w:pPr>
        <w:spacing w:before="156" w:beforeLines="50"/>
        <w:rPr>
          <w:rFonts w:ascii="Times New Roman" w:hAnsi="Times New Roman" w:cs="Times New Roman"/>
          <w:b/>
          <w:bCs/>
          <w:sz w:val="30"/>
          <w:szCs w:val="30"/>
        </w:rPr>
      </w:pPr>
    </w:p>
    <w:p>
      <w:pPr>
        <w:spacing w:before="156" w:beforeLines="50"/>
        <w:rPr>
          <w:rFonts w:ascii="Times New Roman" w:hAnsi="Times New Roman" w:cs="Times New Roman"/>
          <w:b/>
          <w:bCs/>
          <w:sz w:val="30"/>
          <w:szCs w:val="30"/>
        </w:rPr>
      </w:pPr>
    </w:p>
    <w:p>
      <w:pPr>
        <w:spacing w:before="156" w:beforeLines="50"/>
        <w:rPr>
          <w:rFonts w:ascii="Times New Roman" w:hAnsi="Times New Roman" w:cs="Times New Roman"/>
          <w:b/>
          <w:bCs/>
          <w:sz w:val="30"/>
          <w:szCs w:val="30"/>
        </w:rPr>
      </w:pPr>
    </w:p>
    <w:p>
      <w:pPr>
        <w:spacing w:before="156" w:beforeLines="50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三</w:t>
      </w:r>
      <w:r>
        <w:rPr>
          <w:rFonts w:hint="eastAsia" w:ascii="Times New Roman" w:hAnsi="Times New Roman" w:cs="Times New Roman"/>
          <w:b/>
          <w:bCs/>
          <w:sz w:val="30"/>
          <w:szCs w:val="30"/>
        </w:rPr>
        <w:t>、英文</w:t>
      </w:r>
      <w:r>
        <w:rPr>
          <w:rFonts w:ascii="Times New Roman" w:hAnsi="Times New Roman" w:cs="Times New Roman"/>
          <w:b/>
          <w:bCs/>
          <w:sz w:val="30"/>
          <w:szCs w:val="30"/>
        </w:rPr>
        <w:t>课程简介</w:t>
      </w:r>
    </w:p>
    <w:tbl>
      <w:tblPr>
        <w:tblStyle w:val="9"/>
        <w:tblW w:w="850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5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7" w:hRule="atLeast"/>
          <w:jc w:val="center"/>
        </w:trPr>
        <w:tc>
          <w:tcPr>
            <w:tcW w:w="8505" w:type="dxa"/>
          </w:tcPr>
          <w:p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（中文课程简介的英文翻译版。）</w:t>
            </w:r>
          </w:p>
          <w:p>
            <w:pPr>
              <w:spacing w:line="360" w:lineRule="auto"/>
              <w:ind w:firstLine="480" w:firstLineChars="200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line="360" w:lineRule="auto"/>
              <w:ind w:firstLine="480" w:firstLineChars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"Probability Theory and Mathematical Statistics" is a highly applicable and characteristic mathematical discipline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has a wide range of applications in engineering technology, scientific research, economic management, business management and economic forecasting and other fields;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 is closely related to other branches of mathematics (such as calculus, advanced algebra) and is an important part of modern mathematics.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 combines with many basic disciplines to produce many marginal disciplines, such as biostatistics, econometrics, management statistics, financial statistics, etc.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 is also the basis of many emerging important disciplines, such as information theory, cybernetics, artificial intelligence, information coding theory and data mining.</w:t>
            </w:r>
          </w:p>
          <w:p>
            <w:pPr>
              <w:spacing w:line="360" w:lineRule="auto"/>
              <w:ind w:firstLine="480" w:firstLineChars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main teaching contents of this course include: random events and probability, random variables and their distribution, multi-dimensional random variables and their distribution, numerical characteristics of random variables, theorem of large numbers and central limit theorem, basic concepts of mathematical statistics, parameter estimation, hypothesis testing.</w:t>
            </w:r>
          </w:p>
          <w:p>
            <w:pPr>
              <w:spacing w:line="360" w:lineRule="auto"/>
              <w:ind w:firstLine="480" w:firstLineChars="20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class is for sophomores in the School of Software.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Through the study of this course, students will lay a solid foundation for the future study of machine learning, artificial intelligence and other professional courses, and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very important for students to further their study in the field of information or to work in the IT industry.</w:t>
            </w:r>
          </w:p>
        </w:tc>
      </w:tr>
    </w:tbl>
    <w:p>
      <w:pPr>
        <w:spacing w:before="156" w:beforeLines="50"/>
        <w:rPr>
          <w:rFonts w:ascii="Times New Roman" w:hAnsi="Times New Roman" w:cs="Times New Roman"/>
          <w:b/>
          <w:bCs/>
          <w:sz w:val="30"/>
          <w:szCs w:val="30"/>
        </w:rPr>
      </w:pPr>
    </w:p>
    <w:p>
      <w:pPr>
        <w:spacing w:before="156" w:beforeLines="50"/>
        <w:rPr>
          <w:rFonts w:ascii="Times New Roman" w:hAnsi="Times New Roman" w:cs="Times New Roman"/>
          <w:b/>
          <w:bCs/>
          <w:sz w:val="30"/>
          <w:szCs w:val="30"/>
        </w:rPr>
      </w:pPr>
    </w:p>
    <w:p>
      <w:pPr>
        <w:spacing w:before="156" w:beforeLines="50"/>
        <w:rPr>
          <w:rFonts w:ascii="Times New Roman" w:hAnsi="Times New Roman" w:cs="Times New Roman"/>
          <w:b/>
          <w:bCs/>
          <w:sz w:val="30"/>
          <w:szCs w:val="30"/>
        </w:rPr>
      </w:pPr>
    </w:p>
    <w:p>
      <w:pPr>
        <w:spacing w:before="156" w:beforeLines="50"/>
        <w:rPr>
          <w:rFonts w:ascii="Times New Roman" w:hAnsi="Times New Roman" w:cs="Times New Roman"/>
          <w:b/>
          <w:bCs/>
          <w:sz w:val="30"/>
          <w:szCs w:val="30"/>
        </w:rPr>
      </w:pPr>
    </w:p>
    <w:p>
      <w:pPr>
        <w:spacing w:before="156" w:beforeLines="50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四</w:t>
      </w:r>
      <w:r>
        <w:rPr>
          <w:rFonts w:hint="eastAsia" w:ascii="Times New Roman" w:hAnsi="Times New Roman" w:cs="Times New Roman"/>
          <w:b/>
          <w:bCs/>
          <w:sz w:val="30"/>
          <w:szCs w:val="30"/>
        </w:rPr>
        <w:t>、</w:t>
      </w:r>
      <w:r>
        <w:rPr>
          <w:rFonts w:ascii="Times New Roman" w:hAnsi="Times New Roman" w:cs="Times New Roman"/>
          <w:b/>
          <w:bCs/>
          <w:sz w:val="30"/>
          <w:szCs w:val="30"/>
        </w:rPr>
        <w:t>课程目标</w:t>
      </w:r>
    </w:p>
    <w:tbl>
      <w:tblPr>
        <w:tblStyle w:val="9"/>
        <w:tblW w:w="850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5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4" w:hRule="atLeast"/>
          <w:jc w:val="center"/>
        </w:trPr>
        <w:tc>
          <w:tcPr>
            <w:tcW w:w="8505" w:type="dxa"/>
          </w:tcPr>
          <w:p>
            <w:pPr>
              <w:spacing w:before="93" w:beforeLines="30" w:line="400" w:lineRule="exact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（需根据课程性质，描述课程教学在培养学生在知识、能力、素质等方面的贡献，以及课程思政相关目标。）</w:t>
            </w:r>
          </w:p>
          <w:p>
            <w:pPr>
              <w:spacing w:before="93" w:beforeLines="30" w:line="400" w:lineRule="exact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hint="eastAsia" w:ascii="Times New Roman" w:hAnsi="Times New Roman" w:cs="Times New Roman"/>
                <w:sz w:val="24"/>
                <w:szCs w:val="20"/>
              </w:rPr>
              <w:t>本课程有三个教学目标。</w:t>
            </w:r>
          </w:p>
          <w:p>
            <w:pPr>
              <w:spacing w:before="93" w:beforeLines="30" w:line="400" w:lineRule="exact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目标1：</w:t>
            </w:r>
            <w:r>
              <w:rPr>
                <w:rFonts w:hint="eastAsia" w:ascii="宋体" w:hAnsi="宋体"/>
                <w:sz w:val="24"/>
                <w:szCs w:val="24"/>
              </w:rPr>
              <w:t>使学生掌握概率论与数理统计的基本概念、基本理论和方法。</w:t>
            </w:r>
          </w:p>
          <w:p>
            <w:pPr>
              <w:spacing w:before="93" w:beforeLines="30" w:line="400" w:lineRule="exact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目标2：</w:t>
            </w:r>
            <w:r>
              <w:rPr>
                <w:rFonts w:hint="eastAsia" w:ascii="Times New Roman" w:hAnsi="Times New Roman" w:cs="Times New Roman"/>
                <w:sz w:val="24"/>
                <w:szCs w:val="20"/>
              </w:rPr>
              <w:t>学会使用Excel、SPSS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>等软件工具</w:t>
            </w:r>
            <w:r>
              <w:rPr>
                <w:rFonts w:hint="eastAsia" w:ascii="Times New Roman" w:hAnsi="Times New Roman" w:cs="Times New Roman"/>
                <w:sz w:val="24"/>
                <w:szCs w:val="20"/>
              </w:rPr>
              <w:t>进行概率统计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>的各种</w:t>
            </w:r>
            <w:r>
              <w:rPr>
                <w:rFonts w:hint="eastAsia" w:ascii="Times New Roman" w:hAnsi="Times New Roman" w:cs="Times New Roman"/>
                <w:sz w:val="24"/>
                <w:szCs w:val="20"/>
              </w:rPr>
              <w:t>计算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>。</w:t>
            </w:r>
          </w:p>
          <w:p>
            <w:pPr>
              <w:spacing w:before="93" w:beforeLines="30" w:line="400" w:lineRule="exact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目标3：</w:t>
            </w:r>
            <w:r>
              <w:rPr>
                <w:rFonts w:hint="eastAsia" w:ascii="宋体" w:hAnsi="宋体"/>
                <w:sz w:val="24"/>
                <w:szCs w:val="24"/>
              </w:rPr>
              <w:t>培养学生应用概率统计知识解决实际问题的意识和能力。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</w:p>
          <w:p>
            <w:pPr>
              <w:jc w:val="left"/>
              <w:rPr>
                <w:rFonts w:ascii="宋体" w:hAnsi="宋体"/>
                <w:sz w:val="24"/>
                <w:szCs w:val="24"/>
              </w:rPr>
            </w:pPr>
          </w:p>
          <w:p>
            <w:pPr>
              <w:ind w:firstLine="480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  <w:p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课程目标与毕业要求对应关系</w:t>
            </w:r>
          </w:p>
          <w:p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</w:rPr>
              <w:t>（通识课可不填写下列内容）</w:t>
            </w:r>
          </w:p>
          <w:tbl>
            <w:tblPr>
              <w:tblStyle w:val="10"/>
              <w:tblW w:w="7512" w:type="dxa"/>
              <w:tblInd w:w="298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01"/>
              <w:gridCol w:w="581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01" w:type="dxa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  <w:t>课程目标</w:t>
                  </w:r>
                </w:p>
              </w:tc>
              <w:tc>
                <w:tcPr>
                  <w:tcW w:w="5811" w:type="dxa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  <w:t>毕业要求指标点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01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Cs/>
                      <w:sz w:val="24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</w:rPr>
                    <w:t>1</w:t>
                  </w:r>
                </w:p>
              </w:tc>
              <w:tc>
                <w:tcPr>
                  <w:tcW w:w="5811" w:type="dxa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24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</w:rPr>
                    <w:t>毕业要求</w:t>
                  </w:r>
                  <w:r>
                    <w:rPr>
                      <w:rFonts w:hint="eastAsia" w:ascii="Times New Roman" w:hAnsi="Times New Roman" w:cs="Times New Roman"/>
                      <w:sz w:val="24"/>
                      <w:lang w:val="en-US" w:eastAsia="zh-CN"/>
                    </w:rPr>
                    <w:t>2</w:t>
                  </w:r>
                  <w:r>
                    <w:rPr>
                      <w:rFonts w:hint="eastAsia" w:ascii="Times New Roman" w:hAnsi="Times New Roman" w:cs="Times New Roman"/>
                      <w:sz w:val="24"/>
                    </w:rPr>
                    <w:t xml:space="preserve"> 工程知识 指标点ii</w:t>
                  </w:r>
                </w:p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01" w:type="dxa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5811" w:type="dxa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</w:rPr>
                    <w:t>毕业要求</w:t>
                  </w:r>
                  <w:r>
                    <w:rPr>
                      <w:rFonts w:hint="eastAsia" w:ascii="Times New Roman" w:hAnsi="Times New Roman" w:cs="Times New Roman"/>
                      <w:sz w:val="24"/>
                      <w:lang w:val="en-US" w:eastAsia="zh-CN"/>
                    </w:rPr>
                    <w:t>6</w:t>
                  </w:r>
                  <w:r>
                    <w:rPr>
                      <w:rFonts w:hint="eastAsia" w:ascii="Times New Roman" w:hAnsi="Times New Roman" w:cs="Times New Roman"/>
                      <w:sz w:val="24"/>
                    </w:rPr>
                    <w:t>使用现代工具指标点i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01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Cs/>
                      <w:sz w:val="24"/>
                    </w:rPr>
                  </w:pPr>
                  <w:r>
                    <w:rPr>
                      <w:rFonts w:hint="eastAsia" w:ascii="Times New Roman" w:hAnsi="Times New Roman" w:cs="Times New Roman"/>
                      <w:bCs/>
                      <w:sz w:val="24"/>
                    </w:rPr>
                    <w:t>3</w:t>
                  </w:r>
                </w:p>
              </w:tc>
              <w:tc>
                <w:tcPr>
                  <w:tcW w:w="5811" w:type="dxa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24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</w:rPr>
                    <w:t>毕业要求</w:t>
                  </w:r>
                  <w:r>
                    <w:rPr>
                      <w:rFonts w:hint="eastAsia" w:ascii="Times New Roman" w:hAnsi="Times New Roman" w:cs="Times New Roman"/>
                      <w:sz w:val="24"/>
                      <w:lang w:val="en-US" w:eastAsia="zh-CN"/>
                    </w:rPr>
                    <w:t>2</w:t>
                  </w:r>
                  <w:r>
                    <w:rPr>
                      <w:rFonts w:hint="eastAsia" w:ascii="Times New Roman" w:hAnsi="Times New Roman" w:cs="Times New Roman"/>
                      <w:sz w:val="24"/>
                    </w:rPr>
                    <w:t xml:space="preserve"> 工程知识指标点ii</w:t>
                  </w:r>
                </w:p>
                <w:p>
                  <w:pPr>
                    <w:jc w:val="center"/>
                    <w:rPr>
                      <w:rFonts w:ascii="Times New Roman" w:hAnsi="Times New Roman" w:cs="Times New Roman"/>
                      <w:sz w:val="24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</w:rPr>
                    <w:t>毕业要求1</w:t>
                  </w:r>
                  <w:r>
                    <w:rPr>
                      <w:rFonts w:hint="eastAsia" w:ascii="Times New Roman" w:hAnsi="Times New Roman" w:cs="Times New Roman"/>
                      <w:sz w:val="24"/>
                      <w:lang w:val="en-US" w:eastAsia="zh-CN"/>
                    </w:rPr>
                    <w:t>3</w:t>
                  </w:r>
                  <w:bookmarkStart w:id="2" w:name="_GoBack"/>
                  <w:bookmarkEnd w:id="2"/>
                  <w:r>
                    <w:rPr>
                      <w:rFonts w:hint="eastAsia" w:ascii="Times New Roman" w:hAnsi="Times New Roman" w:cs="Times New Roman"/>
                      <w:sz w:val="24"/>
                    </w:rPr>
                    <w:t>终身学习指标点i</w:t>
                  </w:r>
                </w:p>
              </w:tc>
            </w:tr>
          </w:tbl>
          <w:p>
            <w:pPr>
              <w:spacing w:before="156" w:beforeLines="5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hint="eastAsia" w:ascii="黑体" w:hAnsi="黑体" w:eastAsia="黑体"/>
                <w:szCs w:val="21"/>
              </w:rPr>
              <w:t>注：课程目标可填写对应相应序号，如“目标</w:t>
            </w:r>
            <w:r>
              <w:rPr>
                <w:rFonts w:ascii="黑体" w:hAnsi="黑体" w:eastAsia="黑体"/>
                <w:szCs w:val="21"/>
              </w:rPr>
              <w:t>2</w:t>
            </w:r>
            <w:r>
              <w:rPr>
                <w:rFonts w:hint="eastAsia" w:ascii="黑体" w:hAnsi="黑体" w:eastAsia="黑体"/>
                <w:szCs w:val="21"/>
              </w:rPr>
              <w:t>”。课程目标不一定与毕业要求一一对应。</w:t>
            </w:r>
          </w:p>
        </w:tc>
      </w:tr>
    </w:tbl>
    <w:p>
      <w:pPr>
        <w:spacing w:before="156" w:beforeLines="50"/>
        <w:rPr>
          <w:rFonts w:ascii="黑体" w:hAnsi="黑体" w:eastAsia="黑体"/>
          <w:szCs w:val="21"/>
        </w:rPr>
      </w:pPr>
    </w:p>
    <w:p>
      <w:pPr>
        <w:spacing w:before="156" w:beforeLines="50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hint="eastAsia" w:ascii="Times New Roman" w:hAnsi="Times New Roman" w:cs="Times New Roman"/>
          <w:b/>
          <w:bCs/>
          <w:sz w:val="30"/>
          <w:szCs w:val="30"/>
        </w:rPr>
        <w:t>五、</w:t>
      </w:r>
      <w:r>
        <w:rPr>
          <w:rFonts w:ascii="Times New Roman" w:hAnsi="Times New Roman" w:cs="Times New Roman"/>
          <w:b/>
          <w:bCs/>
          <w:sz w:val="30"/>
          <w:szCs w:val="30"/>
        </w:rPr>
        <w:t>课程内容与教学安排</w:t>
      </w:r>
    </w:p>
    <w:tbl>
      <w:tblPr>
        <w:tblStyle w:val="9"/>
        <w:tblW w:w="8506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3559"/>
        <w:gridCol w:w="709"/>
        <w:gridCol w:w="1969"/>
        <w:gridCol w:w="1575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4" w:type="dxa"/>
            <w:vAlign w:val="center"/>
          </w:tcPr>
          <w:p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3559" w:type="dxa"/>
            <w:vAlign w:val="center"/>
          </w:tcPr>
          <w:p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教学内容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学时</w:t>
            </w:r>
          </w:p>
        </w:tc>
        <w:tc>
          <w:tcPr>
            <w:tcW w:w="1969" w:type="dxa"/>
            <w:vAlign w:val="center"/>
          </w:tcPr>
          <w:p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教学方式</w:t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对应课程目标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4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3559" w:type="dxa"/>
          </w:tcPr>
          <w:p>
            <w:pPr>
              <w:rPr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课程的总体介绍</w:t>
            </w:r>
          </w:p>
        </w:tc>
        <w:tc>
          <w:tcPr>
            <w:tcW w:w="709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969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讲授</w:t>
            </w:r>
          </w:p>
        </w:tc>
        <w:tc>
          <w:tcPr>
            <w:tcW w:w="1575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1/3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4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3559" w:type="dxa"/>
          </w:tcPr>
          <w:p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概率论的基本概念</w:t>
            </w:r>
          </w:p>
          <w:p>
            <w:pPr>
              <w:pStyle w:val="17"/>
              <w:numPr>
                <w:ilvl w:val="0"/>
                <w:numId w:val="1"/>
              </w:numPr>
              <w:ind w:firstLineChars="0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随机试验</w:t>
            </w:r>
          </w:p>
          <w:p>
            <w:pPr>
              <w:pStyle w:val="17"/>
              <w:numPr>
                <w:ilvl w:val="0"/>
                <w:numId w:val="1"/>
              </w:numPr>
              <w:ind w:firstLine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样本空间、随机事件</w:t>
            </w:r>
          </w:p>
          <w:p>
            <w:pPr>
              <w:pStyle w:val="17"/>
              <w:numPr>
                <w:ilvl w:val="0"/>
                <w:numId w:val="1"/>
              </w:numPr>
              <w:ind w:firstLine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古典概型</w:t>
            </w:r>
          </w:p>
          <w:p>
            <w:pPr>
              <w:pStyle w:val="17"/>
              <w:numPr>
                <w:ilvl w:val="0"/>
                <w:numId w:val="1"/>
              </w:numPr>
              <w:ind w:firstLine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条件概率</w:t>
            </w:r>
          </w:p>
          <w:p>
            <w:pPr>
              <w:pStyle w:val="17"/>
              <w:numPr>
                <w:ilvl w:val="0"/>
                <w:numId w:val="1"/>
              </w:numPr>
              <w:ind w:firstLine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独立性</w:t>
            </w:r>
          </w:p>
        </w:tc>
        <w:tc>
          <w:tcPr>
            <w:tcW w:w="709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1969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讲授</w:t>
            </w:r>
          </w:p>
        </w:tc>
        <w:tc>
          <w:tcPr>
            <w:tcW w:w="1575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1/3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4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3559" w:type="dxa"/>
          </w:tcPr>
          <w:p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随机变量及其分布</w:t>
            </w:r>
          </w:p>
          <w:p>
            <w:pPr>
              <w:pStyle w:val="17"/>
              <w:numPr>
                <w:ilvl w:val="0"/>
                <w:numId w:val="2"/>
              </w:numPr>
              <w:ind w:firstLineChars="0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随机变量的概念</w:t>
            </w:r>
          </w:p>
          <w:p>
            <w:pPr>
              <w:pStyle w:val="17"/>
              <w:numPr>
                <w:ilvl w:val="0"/>
                <w:numId w:val="2"/>
              </w:numPr>
              <w:ind w:firstLine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离散型随机变量及其分布律</w:t>
            </w:r>
          </w:p>
          <w:p>
            <w:pPr>
              <w:pStyle w:val="17"/>
              <w:numPr>
                <w:ilvl w:val="0"/>
                <w:numId w:val="2"/>
              </w:numPr>
              <w:ind w:firstLine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随机变量的分布函数</w:t>
            </w:r>
          </w:p>
          <w:p>
            <w:pPr>
              <w:pStyle w:val="17"/>
              <w:numPr>
                <w:ilvl w:val="0"/>
                <w:numId w:val="2"/>
              </w:numPr>
              <w:ind w:firstLine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连续型随机变量及其概率密度</w:t>
            </w:r>
          </w:p>
          <w:p>
            <w:pPr>
              <w:pStyle w:val="17"/>
              <w:numPr>
                <w:ilvl w:val="0"/>
                <w:numId w:val="2"/>
              </w:numPr>
              <w:ind w:firstLine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随机变量的函数的分布</w:t>
            </w:r>
          </w:p>
        </w:tc>
        <w:tc>
          <w:tcPr>
            <w:tcW w:w="709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1969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讲授</w:t>
            </w:r>
          </w:p>
        </w:tc>
        <w:tc>
          <w:tcPr>
            <w:tcW w:w="1575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1/3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4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3559" w:type="dxa"/>
          </w:tcPr>
          <w:p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多维随机变量及其分布</w:t>
            </w:r>
          </w:p>
          <w:p>
            <w:pPr>
              <w:pStyle w:val="17"/>
              <w:numPr>
                <w:ilvl w:val="0"/>
                <w:numId w:val="3"/>
              </w:numPr>
              <w:ind w:firstLine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二维随机变量</w:t>
            </w:r>
          </w:p>
          <w:p>
            <w:pPr>
              <w:pStyle w:val="17"/>
              <w:numPr>
                <w:ilvl w:val="0"/>
                <w:numId w:val="3"/>
              </w:numPr>
              <w:ind w:firstLine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边缘分布</w:t>
            </w:r>
          </w:p>
          <w:p>
            <w:pPr>
              <w:pStyle w:val="17"/>
              <w:numPr>
                <w:ilvl w:val="0"/>
                <w:numId w:val="3"/>
              </w:numPr>
              <w:ind w:firstLine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条件分布</w:t>
            </w:r>
          </w:p>
          <w:p>
            <w:pPr>
              <w:pStyle w:val="17"/>
              <w:numPr>
                <w:ilvl w:val="0"/>
                <w:numId w:val="3"/>
              </w:numPr>
              <w:ind w:firstLine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相互独立的随机变量</w:t>
            </w:r>
          </w:p>
          <w:p>
            <w:pPr>
              <w:pStyle w:val="17"/>
              <w:numPr>
                <w:ilvl w:val="0"/>
                <w:numId w:val="3"/>
              </w:numPr>
              <w:ind w:firstLine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两个随机变量的函数的分布</w:t>
            </w:r>
          </w:p>
        </w:tc>
        <w:tc>
          <w:tcPr>
            <w:tcW w:w="709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1969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讲授</w:t>
            </w:r>
          </w:p>
        </w:tc>
        <w:tc>
          <w:tcPr>
            <w:tcW w:w="1575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1/3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694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3559" w:type="dxa"/>
          </w:tcPr>
          <w:p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随机变量的</w:t>
            </w:r>
            <w:r>
              <w:rPr>
                <w:rFonts w:hint="eastAsia" w:ascii="宋体" w:hAnsi="宋体"/>
                <w:sz w:val="20"/>
                <w:szCs w:val="20"/>
              </w:rPr>
              <w:t>数字特征</w:t>
            </w:r>
          </w:p>
          <w:p>
            <w:pPr>
              <w:pStyle w:val="17"/>
              <w:numPr>
                <w:ilvl w:val="0"/>
                <w:numId w:val="4"/>
              </w:numPr>
              <w:ind w:firstLineChars="0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数学期望</w:t>
            </w:r>
          </w:p>
          <w:p>
            <w:pPr>
              <w:pStyle w:val="17"/>
              <w:numPr>
                <w:ilvl w:val="0"/>
                <w:numId w:val="4"/>
              </w:numPr>
              <w:ind w:firstLine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方差</w:t>
            </w:r>
          </w:p>
          <w:p>
            <w:pPr>
              <w:pStyle w:val="17"/>
              <w:numPr>
                <w:ilvl w:val="0"/>
                <w:numId w:val="4"/>
              </w:numPr>
              <w:ind w:firstLine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协方差及相关系数</w:t>
            </w:r>
          </w:p>
          <w:p>
            <w:pPr>
              <w:pStyle w:val="17"/>
              <w:numPr>
                <w:ilvl w:val="0"/>
                <w:numId w:val="4"/>
              </w:numPr>
              <w:ind w:firstLine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矩、协方差矩阵</w:t>
            </w:r>
          </w:p>
        </w:tc>
        <w:tc>
          <w:tcPr>
            <w:tcW w:w="709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969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讲授</w:t>
            </w:r>
          </w:p>
        </w:tc>
        <w:tc>
          <w:tcPr>
            <w:tcW w:w="1575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1/3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4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3559" w:type="dxa"/>
          </w:tcPr>
          <w:p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大数定理及中心极限定理</w:t>
            </w:r>
          </w:p>
          <w:p>
            <w:pPr>
              <w:pStyle w:val="17"/>
              <w:numPr>
                <w:ilvl w:val="0"/>
                <w:numId w:val="5"/>
              </w:numPr>
              <w:ind w:firstLine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大数定律</w:t>
            </w:r>
          </w:p>
          <w:p>
            <w:pPr>
              <w:pStyle w:val="17"/>
              <w:numPr>
                <w:ilvl w:val="0"/>
                <w:numId w:val="5"/>
              </w:numPr>
              <w:ind w:firstLine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中心极限定理</w:t>
            </w:r>
          </w:p>
        </w:tc>
        <w:tc>
          <w:tcPr>
            <w:tcW w:w="709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969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讲授</w:t>
            </w:r>
          </w:p>
        </w:tc>
        <w:tc>
          <w:tcPr>
            <w:tcW w:w="1575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1/3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4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3559" w:type="dxa"/>
          </w:tcPr>
          <w:p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样本及抽样分布</w:t>
            </w:r>
          </w:p>
          <w:p>
            <w:pPr>
              <w:pStyle w:val="17"/>
              <w:numPr>
                <w:ilvl w:val="0"/>
                <w:numId w:val="6"/>
              </w:numPr>
              <w:ind w:firstLineChars="0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随机样本</w:t>
            </w:r>
          </w:p>
          <w:p>
            <w:pPr>
              <w:pStyle w:val="17"/>
              <w:numPr>
                <w:ilvl w:val="0"/>
                <w:numId w:val="6"/>
              </w:numPr>
              <w:ind w:firstLine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抽样分布</w:t>
            </w:r>
          </w:p>
        </w:tc>
        <w:tc>
          <w:tcPr>
            <w:tcW w:w="709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1969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讲授</w:t>
            </w:r>
          </w:p>
        </w:tc>
        <w:tc>
          <w:tcPr>
            <w:tcW w:w="1575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1/3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4" w:type="dxa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3559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参数估计</w:t>
            </w:r>
          </w:p>
          <w:p>
            <w:pPr>
              <w:pStyle w:val="17"/>
              <w:numPr>
                <w:ilvl w:val="0"/>
                <w:numId w:val="7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点估计</w:t>
            </w:r>
          </w:p>
          <w:p>
            <w:pPr>
              <w:pStyle w:val="17"/>
              <w:numPr>
                <w:ilvl w:val="0"/>
                <w:numId w:val="7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估计量的评选标准</w:t>
            </w:r>
          </w:p>
          <w:p>
            <w:pPr>
              <w:pStyle w:val="17"/>
              <w:numPr>
                <w:ilvl w:val="0"/>
                <w:numId w:val="7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区间估计</w:t>
            </w:r>
          </w:p>
          <w:p>
            <w:pPr>
              <w:pStyle w:val="17"/>
              <w:numPr>
                <w:ilvl w:val="0"/>
                <w:numId w:val="7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正态总体均值与方差的区间估计</w:t>
            </w:r>
          </w:p>
          <w:p>
            <w:pPr>
              <w:pStyle w:val="17"/>
              <w:numPr>
                <w:ilvl w:val="0"/>
                <w:numId w:val="7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（0-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）分布参数的区间估计</w:t>
            </w:r>
          </w:p>
          <w:p>
            <w:pPr>
              <w:pStyle w:val="17"/>
              <w:numPr>
                <w:ilvl w:val="0"/>
                <w:numId w:val="7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单侧置信区间</w:t>
            </w:r>
          </w:p>
        </w:tc>
        <w:tc>
          <w:tcPr>
            <w:tcW w:w="709" w:type="dxa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</w:p>
        </w:tc>
        <w:tc>
          <w:tcPr>
            <w:tcW w:w="1969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讲授</w:t>
            </w:r>
          </w:p>
        </w:tc>
        <w:tc>
          <w:tcPr>
            <w:tcW w:w="1575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1/2/3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4" w:type="dxa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</w:p>
        </w:tc>
        <w:tc>
          <w:tcPr>
            <w:tcW w:w="3559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假设检验</w:t>
            </w:r>
          </w:p>
          <w:p>
            <w:pPr>
              <w:pStyle w:val="17"/>
              <w:numPr>
                <w:ilvl w:val="0"/>
                <w:numId w:val="8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假设检验的概念</w:t>
            </w:r>
          </w:p>
          <w:p>
            <w:pPr>
              <w:pStyle w:val="17"/>
              <w:numPr>
                <w:ilvl w:val="0"/>
                <w:numId w:val="8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正态总体均值的假设检验</w:t>
            </w:r>
          </w:p>
          <w:p>
            <w:pPr>
              <w:pStyle w:val="17"/>
              <w:numPr>
                <w:ilvl w:val="0"/>
                <w:numId w:val="8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正态总体方差的假设检验</w:t>
            </w:r>
          </w:p>
          <w:p>
            <w:pPr>
              <w:pStyle w:val="17"/>
              <w:numPr>
                <w:ilvl w:val="0"/>
                <w:numId w:val="8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置信区间与假设检验的关系</w:t>
            </w:r>
          </w:p>
          <w:p>
            <w:pPr>
              <w:pStyle w:val="17"/>
              <w:numPr>
                <w:ilvl w:val="0"/>
                <w:numId w:val="8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分布拟合检验</w:t>
            </w:r>
          </w:p>
        </w:tc>
        <w:tc>
          <w:tcPr>
            <w:tcW w:w="709" w:type="dxa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</w:p>
        </w:tc>
        <w:tc>
          <w:tcPr>
            <w:tcW w:w="1969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讲授</w:t>
            </w:r>
          </w:p>
        </w:tc>
        <w:tc>
          <w:tcPr>
            <w:tcW w:w="1575" w:type="dxa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1/2/3</w:t>
            </w:r>
          </w:p>
        </w:tc>
      </w:tr>
    </w:tbl>
    <w:p>
      <w:pPr>
        <w:spacing w:before="156" w:beforeLines="50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注：1</w:t>
      </w:r>
      <w:r>
        <w:rPr>
          <w:rFonts w:ascii="黑体" w:hAnsi="黑体" w:eastAsia="黑体"/>
          <w:szCs w:val="21"/>
        </w:rPr>
        <w:t>.</w:t>
      </w:r>
      <w:r>
        <w:rPr>
          <w:rFonts w:hint="eastAsia" w:ascii="黑体" w:hAnsi="黑体" w:eastAsia="黑体"/>
          <w:szCs w:val="21"/>
        </w:rPr>
        <w:t>对应的课程目标可填写大纲中第四部分课程目标的相应序号。</w:t>
      </w:r>
    </w:p>
    <w:p>
      <w:pPr>
        <w:spacing w:before="156" w:beforeLines="50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 xml:space="preserve"> </w:t>
      </w:r>
      <w:r>
        <w:rPr>
          <w:rFonts w:ascii="黑体" w:hAnsi="黑体" w:eastAsia="黑体"/>
          <w:szCs w:val="21"/>
        </w:rPr>
        <w:t xml:space="preserve">   2.教学方式填写</w:t>
      </w:r>
      <w:r>
        <w:rPr>
          <w:rFonts w:hint="eastAsia" w:ascii="黑体" w:hAnsi="黑体" w:eastAsia="黑体"/>
          <w:szCs w:val="21"/>
        </w:rPr>
        <w:t>：讲授、研讨、上机、实验、习题课等内容。</w:t>
      </w:r>
    </w:p>
    <w:p>
      <w:pPr>
        <w:spacing w:before="156" w:beforeLines="50"/>
        <w:ind w:firstLine="420" w:firstLineChars="200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t>3.</w:t>
      </w:r>
      <w:r>
        <w:rPr>
          <w:rFonts w:hint="eastAsia" w:ascii="黑体" w:hAnsi="黑体" w:eastAsia="黑体"/>
          <w:szCs w:val="21"/>
        </w:rPr>
        <w:t>实验课程要在教学内容中详细列出每个实验的名称、内容、实验性质（验证性、综合性、设计性）、实验类别（选做、必做）和实验的分组情况等。实践教学课程要写出相应的时间、地点、方式、教学内容等。</w:t>
      </w:r>
    </w:p>
    <w:p>
      <w:pPr>
        <w:spacing w:before="156" w:beforeLines="50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hint="eastAsia" w:ascii="Times New Roman" w:hAnsi="Times New Roman" w:cs="Times New Roman"/>
          <w:b/>
          <w:bCs/>
          <w:sz w:val="30"/>
          <w:szCs w:val="30"/>
        </w:rPr>
        <w:t>六、</w:t>
      </w:r>
      <w:r>
        <w:rPr>
          <w:rFonts w:ascii="Times New Roman" w:hAnsi="Times New Roman" w:cs="Times New Roman"/>
          <w:b/>
          <w:bCs/>
          <w:sz w:val="30"/>
          <w:szCs w:val="30"/>
        </w:rPr>
        <w:t>课程考核</w:t>
      </w:r>
      <w:bookmarkEnd w:id="0"/>
      <w:bookmarkEnd w:id="1"/>
    </w:p>
    <w:tbl>
      <w:tblPr>
        <w:tblStyle w:val="10"/>
        <w:tblW w:w="8647" w:type="dxa"/>
        <w:tblInd w:w="-157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8" w:hRule="atLeast"/>
        </w:trPr>
        <w:tc>
          <w:tcPr>
            <w:tcW w:w="8647" w:type="dxa"/>
          </w:tcPr>
          <w:p>
            <w:pPr>
              <w:spacing w:line="400" w:lineRule="exact"/>
              <w:jc w:val="left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请简述本课程考核方案</w:t>
            </w:r>
            <w:r>
              <w:rPr>
                <w:rFonts w:hint="eastAsia" w:ascii="Times New Roman" w:hAnsi="Times New Roman" w:cs="Times New Roman"/>
                <w:bCs/>
                <w:szCs w:val="21"/>
              </w:rPr>
              <w:t>：</w:t>
            </w:r>
          </w:p>
          <w:p>
            <w:pPr>
              <w:spacing w:line="400" w:lineRule="exact"/>
              <w:jc w:val="left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hint="eastAsia" w:ascii="Times New Roman" w:hAnsi="Times New Roman" w:cs="Times New Roman"/>
                <w:bCs/>
                <w:szCs w:val="21"/>
              </w:rPr>
              <w:t>（</w:t>
            </w:r>
            <w:r>
              <w:rPr>
                <w:rFonts w:ascii="Times New Roman" w:hAnsi="Times New Roman" w:cs="Times New Roman"/>
                <w:bCs/>
                <w:szCs w:val="21"/>
              </w:rPr>
              <w:t>我校推行课程的</w:t>
            </w:r>
            <w:r>
              <w:rPr>
                <w:rFonts w:hint="eastAsia" w:ascii="Times New Roman" w:hAnsi="Times New Roman" w:cs="Times New Roman"/>
                <w:bCs/>
                <w:szCs w:val="21"/>
              </w:rPr>
              <w:t>过程化</w:t>
            </w:r>
            <w:r>
              <w:rPr>
                <w:rFonts w:ascii="Times New Roman" w:hAnsi="Times New Roman" w:cs="Times New Roman"/>
                <w:bCs/>
                <w:szCs w:val="21"/>
              </w:rPr>
              <w:t>考核</w:t>
            </w:r>
            <w:r>
              <w:rPr>
                <w:rFonts w:hint="eastAsia" w:ascii="Times New Roman" w:hAnsi="Times New Roman" w:cs="Times New Roman"/>
                <w:bCs/>
                <w:szCs w:val="21"/>
              </w:rPr>
              <w:t>，</w:t>
            </w:r>
            <w:r>
              <w:rPr>
                <w:rFonts w:ascii="Times New Roman" w:hAnsi="Times New Roman" w:cs="Times New Roman"/>
                <w:bCs/>
                <w:szCs w:val="21"/>
              </w:rPr>
              <w:t>鼓励采用平时多次考核的方式。</w:t>
            </w:r>
            <w:r>
              <w:rPr>
                <w:rFonts w:hint="eastAsia" w:ascii="Times New Roman" w:hAnsi="Times New Roman" w:cs="Times New Roman"/>
                <w:bCs/>
                <w:szCs w:val="21"/>
              </w:rPr>
              <w:t>过程化考核</w:t>
            </w:r>
            <w:r>
              <w:rPr>
                <w:rFonts w:ascii="Times New Roman" w:hAnsi="Times New Roman" w:cs="Times New Roman"/>
                <w:bCs/>
                <w:szCs w:val="21"/>
              </w:rPr>
              <w:t>包括</w:t>
            </w:r>
            <w:r>
              <w:rPr>
                <w:rFonts w:hint="eastAsia" w:ascii="Times New Roman" w:hAnsi="Times New Roman" w:cs="Times New Roman"/>
                <w:bCs/>
                <w:szCs w:val="21"/>
              </w:rPr>
              <w:t>课后书面</w:t>
            </w:r>
            <w:r>
              <w:rPr>
                <w:rFonts w:ascii="Times New Roman" w:hAnsi="Times New Roman" w:cs="Times New Roman"/>
                <w:bCs/>
                <w:szCs w:val="21"/>
              </w:rPr>
              <w:t>作业、实践</w:t>
            </w:r>
            <w:r>
              <w:rPr>
                <w:rFonts w:hint="eastAsia" w:ascii="Times New Roman" w:hAnsi="Times New Roman" w:cs="Times New Roman"/>
                <w:bCs/>
                <w:szCs w:val="21"/>
              </w:rPr>
              <w:t>、上机</w:t>
            </w:r>
            <w:r>
              <w:rPr>
                <w:rFonts w:ascii="Times New Roman" w:hAnsi="Times New Roman" w:cs="Times New Roman"/>
                <w:bCs/>
                <w:szCs w:val="21"/>
              </w:rPr>
              <w:t>、课堂讨论</w:t>
            </w:r>
            <w:r>
              <w:rPr>
                <w:rFonts w:hint="eastAsia" w:ascii="Times New Roman" w:hAnsi="Times New Roman" w:cs="Times New Roman"/>
                <w:bCs/>
                <w:szCs w:val="21"/>
              </w:rPr>
              <w:t>、</w:t>
            </w:r>
            <w:r>
              <w:rPr>
                <w:rFonts w:ascii="Times New Roman" w:hAnsi="Times New Roman" w:cs="Times New Roman"/>
                <w:bCs/>
                <w:szCs w:val="21"/>
              </w:rPr>
              <w:t>课堂作业表现及考试等等</w:t>
            </w:r>
            <w:r>
              <w:rPr>
                <w:rFonts w:hint="eastAsia" w:ascii="Times New Roman" w:hAnsi="Times New Roman" w:cs="Times New Roman"/>
                <w:bCs/>
                <w:szCs w:val="21"/>
              </w:rPr>
              <w:t>。）</w:t>
            </w:r>
          </w:p>
          <w:p>
            <w:pPr>
              <w:spacing w:line="400" w:lineRule="exact"/>
              <w:jc w:val="left"/>
              <w:rPr>
                <w:rFonts w:ascii="Times New Roman" w:hAnsi="Times New Roman" w:cs="Times New Roman"/>
                <w:bCs/>
                <w:szCs w:val="21"/>
              </w:rPr>
            </w:pPr>
          </w:p>
          <w:p>
            <w:pPr>
              <w:spacing w:line="400" w:lineRule="exact"/>
              <w:jc w:val="left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考勤、课后书面作业、小测验共占30%、期末闭卷考试分数占70%。</w:t>
            </w:r>
          </w:p>
          <w:p>
            <w:pPr>
              <w:spacing w:line="400" w:lineRule="exact"/>
              <w:jc w:val="left"/>
              <w:rPr>
                <w:rFonts w:ascii="Times New Roman" w:hAnsi="Times New Roman" w:cs="Times New Roman"/>
                <w:b/>
                <w:sz w:val="24"/>
              </w:rPr>
            </w:pPr>
          </w:p>
          <w:p>
            <w:pPr>
              <w:spacing w:line="400" w:lineRule="exact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考核环节占比与课程目标对应关系表</w:t>
            </w:r>
          </w:p>
          <w:tbl>
            <w:tblPr>
              <w:tblStyle w:val="10"/>
              <w:tblW w:w="842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63"/>
              <w:gridCol w:w="3544"/>
              <w:gridCol w:w="1276"/>
              <w:gridCol w:w="2438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63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Cs w:val="21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Cs w:val="21"/>
                    </w:rPr>
                    <w:t>序号</w:t>
                  </w:r>
                </w:p>
              </w:tc>
              <w:tc>
                <w:tcPr>
                  <w:tcW w:w="354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Cs w:val="21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Cs w:val="21"/>
                    </w:rPr>
                    <w:t>评估环节与内容</w:t>
                  </w:r>
                </w:p>
              </w:tc>
              <w:tc>
                <w:tcPr>
                  <w:tcW w:w="127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Cs w:val="21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Cs w:val="21"/>
                    </w:rPr>
                    <w:t>成绩占比</w:t>
                  </w:r>
                </w:p>
              </w:tc>
              <w:tc>
                <w:tcPr>
                  <w:tcW w:w="2438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Cs w:val="21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Cs w:val="21"/>
                    </w:rPr>
                    <w:t>对应课程目标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63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354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sz w:val="20"/>
                      <w:szCs w:val="20"/>
                    </w:rPr>
                    <w:t>考勤、课后书面作业、小测验</w:t>
                  </w:r>
                </w:p>
              </w:tc>
              <w:tc>
                <w:tcPr>
                  <w:tcW w:w="127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hint="eastAsia" w:ascii="Times New Roman" w:hAnsi="Times New Roman" w:cs="Times New Roman"/>
                      <w:sz w:val="20"/>
                      <w:szCs w:val="20"/>
                      <w:lang w:val="en-US" w:eastAsia="zh-CN"/>
                    </w:rPr>
                    <w:t>2</w:t>
                  </w:r>
                  <w:r>
                    <w:rPr>
                      <w:rFonts w:hint="eastAsia" w:ascii="Times New Roman" w:hAnsi="Times New Roman" w:cs="Times New Roman"/>
                      <w:sz w:val="20"/>
                      <w:szCs w:val="20"/>
                    </w:rPr>
                    <w:t>0%</w:t>
                  </w:r>
                </w:p>
              </w:tc>
              <w:tc>
                <w:tcPr>
                  <w:tcW w:w="2438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20"/>
                      <w:szCs w:val="20"/>
                    </w:rPr>
                    <w:t>1/2/3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163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354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sz w:val="20"/>
                      <w:szCs w:val="20"/>
                    </w:rPr>
                    <w:t>期末闭卷考试</w:t>
                  </w:r>
                </w:p>
              </w:tc>
              <w:tc>
                <w:tcPr>
                  <w:tcW w:w="127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hint="eastAsia" w:ascii="Times New Roman" w:hAnsi="Times New Roman" w:cs="Times New Roman"/>
                      <w:sz w:val="20"/>
                      <w:szCs w:val="20"/>
                      <w:lang w:val="en-US" w:eastAsia="zh-CN"/>
                    </w:rPr>
                    <w:t>8</w:t>
                  </w:r>
                  <w:r>
                    <w:rPr>
                      <w:rFonts w:hint="eastAsia" w:ascii="Times New Roman" w:hAnsi="Times New Roman" w:cs="Times New Roman"/>
                      <w:sz w:val="20"/>
                      <w:szCs w:val="20"/>
                    </w:rPr>
                    <w:t>0%</w:t>
                  </w:r>
                </w:p>
              </w:tc>
              <w:tc>
                <w:tcPr>
                  <w:tcW w:w="2438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sz w:val="20"/>
                      <w:szCs w:val="20"/>
                    </w:rPr>
                    <w:t>1/3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63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354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Cs w:val="21"/>
                    </w:rPr>
                  </w:pPr>
                </w:p>
              </w:tc>
              <w:tc>
                <w:tcPr>
                  <w:tcW w:w="2438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Cs w:val="21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63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3544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szCs w:val="21"/>
                    </w:rPr>
                  </w:pPr>
                </w:p>
              </w:tc>
              <w:tc>
                <w:tcPr>
                  <w:tcW w:w="2438" w:type="dxa"/>
                  <w:vAlign w:val="center"/>
                </w:tcPr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Cs w:val="21"/>
                    </w:rPr>
                  </w:pPr>
                </w:p>
              </w:tc>
            </w:tr>
          </w:tbl>
          <w:p>
            <w:pPr>
              <w:spacing w:line="400" w:lineRule="exact"/>
              <w:jc w:val="left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hint="eastAsia" w:ascii="黑体" w:hAnsi="黑体" w:eastAsia="黑体"/>
                <w:szCs w:val="21"/>
              </w:rPr>
              <w:t>注：对应的课程目标可填写大纲中第四部分课程目标的相应序号。</w:t>
            </w:r>
          </w:p>
        </w:tc>
      </w:tr>
    </w:tbl>
    <w:p>
      <w:pPr>
        <w:widowControl/>
        <w:jc w:val="left"/>
        <w:rPr>
          <w:rFonts w:ascii="Times New Roman" w:hAnsi="Times New Roman"/>
          <w:b/>
          <w:color w:val="000000"/>
          <w:sz w:val="30"/>
          <w:szCs w:val="30"/>
        </w:rPr>
      </w:pPr>
    </w:p>
    <w:p>
      <w:pPr>
        <w:widowControl/>
        <w:jc w:val="left"/>
        <w:rPr>
          <w:rFonts w:ascii="Times New Roman" w:hAnsi="Times New Roman"/>
          <w:b/>
          <w:color w:val="000000"/>
          <w:sz w:val="30"/>
          <w:szCs w:val="30"/>
        </w:rPr>
      </w:pPr>
      <w:r>
        <w:rPr>
          <w:rFonts w:ascii="Times New Roman" w:hAnsi="Times New Roman"/>
          <w:b/>
          <w:color w:val="000000"/>
          <w:sz w:val="30"/>
          <w:szCs w:val="30"/>
        </w:rPr>
        <w:t>七、</w:t>
      </w:r>
      <w:r>
        <w:rPr>
          <w:rFonts w:hint="eastAsia" w:ascii="Times New Roman" w:hAnsi="Times New Roman"/>
          <w:b/>
          <w:color w:val="000000"/>
          <w:sz w:val="30"/>
          <w:szCs w:val="30"/>
        </w:rPr>
        <w:t>审批意见</w:t>
      </w:r>
    </w:p>
    <w:tbl>
      <w:tblPr>
        <w:tblStyle w:val="10"/>
        <w:tblW w:w="8276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8" w:hRule="atLeast"/>
        </w:trPr>
        <w:tc>
          <w:tcPr>
            <w:tcW w:w="8276" w:type="dxa"/>
          </w:tcPr>
          <w:p>
            <w:pPr>
              <w:snapToGrid w:val="0"/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开课单位学术委员会或本科教学指导委员会意见：</w:t>
            </w:r>
          </w:p>
          <w:p>
            <w:pPr>
              <w:snapToGrid w:val="0"/>
              <w:spacing w:line="360" w:lineRule="auto"/>
              <w:rPr>
                <w:b/>
              </w:rPr>
            </w:pPr>
          </w:p>
          <w:p>
            <w:pPr>
              <w:snapToGrid w:val="0"/>
              <w:spacing w:line="360" w:lineRule="auto"/>
              <w:rPr>
                <w:b/>
              </w:rPr>
            </w:pPr>
          </w:p>
          <w:p>
            <w:pPr>
              <w:snapToGrid w:val="0"/>
              <w:spacing w:line="360" w:lineRule="auto"/>
              <w:rPr>
                <w:b/>
              </w:rPr>
            </w:pPr>
          </w:p>
          <w:p>
            <w:pPr>
              <w:snapToGrid w:val="0"/>
              <w:spacing w:line="360" w:lineRule="auto"/>
              <w:rPr>
                <w:b/>
              </w:rPr>
            </w:pPr>
          </w:p>
          <w:p>
            <w:pPr>
              <w:snapToGrid w:val="0"/>
              <w:spacing w:after="156" w:afterLines="50" w:line="360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 xml:space="preserve">                             负责人</w:t>
            </w:r>
            <w:r>
              <w:rPr>
                <w:rFonts w:hint="eastAsia"/>
                <w:b/>
              </w:rPr>
              <w:t xml:space="preserve">签字： </w:t>
            </w:r>
            <w:r>
              <w:rPr>
                <w:b/>
              </w:rPr>
              <w:t xml:space="preserve">                 </w:t>
            </w:r>
            <w:r>
              <w:rPr>
                <w:rFonts w:hint="eastAsia"/>
                <w:b/>
              </w:rPr>
              <w:t>日期：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9" w:hRule="atLeast"/>
        </w:trPr>
        <w:tc>
          <w:tcPr>
            <w:tcW w:w="8276" w:type="dxa"/>
          </w:tcPr>
          <w:p>
            <w:pPr>
              <w:snapToGrid w:val="0"/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 xml:space="preserve">开课单位分管负责人意见： </w:t>
            </w:r>
            <w:r>
              <w:rPr>
                <w:b/>
              </w:rPr>
              <w:t xml:space="preserve"> </w:t>
            </w:r>
          </w:p>
          <w:p>
            <w:pPr>
              <w:snapToGrid w:val="0"/>
              <w:spacing w:line="360" w:lineRule="auto"/>
              <w:rPr>
                <w:b/>
              </w:rPr>
            </w:pPr>
          </w:p>
          <w:p>
            <w:pPr>
              <w:snapToGrid w:val="0"/>
              <w:spacing w:line="360" w:lineRule="auto"/>
              <w:rPr>
                <w:b/>
              </w:rPr>
            </w:pPr>
          </w:p>
          <w:p>
            <w:pPr>
              <w:snapToGrid w:val="0"/>
              <w:spacing w:line="360" w:lineRule="auto"/>
              <w:rPr>
                <w:b/>
              </w:rPr>
            </w:pPr>
          </w:p>
          <w:p>
            <w:pPr>
              <w:snapToGrid w:val="0"/>
              <w:spacing w:line="360" w:lineRule="auto"/>
              <w:rPr>
                <w:b/>
              </w:rPr>
            </w:pPr>
          </w:p>
          <w:p>
            <w:pPr>
              <w:snapToGrid w:val="0"/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 xml:space="preserve">                            负责人</w:t>
            </w:r>
            <w:r>
              <w:rPr>
                <w:rFonts w:hint="eastAsia"/>
                <w:b/>
              </w:rPr>
              <w:t xml:space="preserve">签字： </w:t>
            </w:r>
            <w:r>
              <w:rPr>
                <w:b/>
              </w:rPr>
              <w:t xml:space="preserve">                 </w:t>
            </w:r>
            <w:r>
              <w:rPr>
                <w:rFonts w:hint="eastAsia"/>
                <w:b/>
              </w:rPr>
              <w:t>（单位公章）</w:t>
            </w:r>
          </w:p>
          <w:p>
            <w:pPr>
              <w:snapToGrid w:val="0"/>
              <w:spacing w:line="360" w:lineRule="auto"/>
              <w:rPr>
                <w:b/>
              </w:rPr>
            </w:pPr>
          </w:p>
          <w:p>
            <w:pPr>
              <w:snapToGrid w:val="0"/>
              <w:spacing w:line="360" w:lineRule="auto"/>
              <w:ind w:firstLine="3162" w:firstLineChars="1500"/>
              <w:rPr>
                <w:b/>
              </w:rPr>
            </w:pPr>
            <w:r>
              <w:rPr>
                <w:rFonts w:hint="eastAsia"/>
                <w:b/>
              </w:rPr>
              <w:t>日期：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7" w:hRule="atLeast"/>
        </w:trPr>
        <w:tc>
          <w:tcPr>
            <w:tcW w:w="8276" w:type="dxa"/>
          </w:tcPr>
          <w:p>
            <w:pPr>
              <w:snapToGrid w:val="0"/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教务处意见：</w:t>
            </w:r>
          </w:p>
          <w:p>
            <w:pPr>
              <w:snapToGrid w:val="0"/>
              <w:spacing w:line="360" w:lineRule="auto"/>
              <w:rPr>
                <w:b/>
              </w:rPr>
            </w:pPr>
          </w:p>
          <w:p>
            <w:pPr>
              <w:snapToGrid w:val="0"/>
              <w:spacing w:line="360" w:lineRule="auto"/>
              <w:rPr>
                <w:b/>
              </w:rPr>
            </w:pPr>
          </w:p>
          <w:p>
            <w:pPr>
              <w:snapToGrid w:val="0"/>
              <w:spacing w:line="360" w:lineRule="auto"/>
              <w:rPr>
                <w:b/>
              </w:rPr>
            </w:pPr>
          </w:p>
          <w:p>
            <w:pPr>
              <w:snapToGrid w:val="0"/>
              <w:spacing w:line="360" w:lineRule="auto"/>
              <w:rPr>
                <w:b/>
              </w:rPr>
            </w:pPr>
          </w:p>
          <w:p>
            <w:pPr>
              <w:snapToGrid w:val="0"/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 xml:space="preserve">                            </w:t>
            </w:r>
            <w:r>
              <w:rPr>
                <w:rFonts w:hint="eastAsia"/>
                <w:b/>
              </w:rPr>
              <w:t xml:space="preserve">负责人签字： </w:t>
            </w:r>
            <w:r>
              <w:rPr>
                <w:b/>
              </w:rPr>
              <w:t xml:space="preserve">              </w:t>
            </w:r>
            <w:r>
              <w:rPr>
                <w:rFonts w:hint="eastAsia"/>
                <w:b/>
              </w:rPr>
              <w:t>（公章）</w:t>
            </w:r>
          </w:p>
          <w:p>
            <w:pPr>
              <w:snapToGrid w:val="0"/>
              <w:spacing w:line="360" w:lineRule="auto"/>
              <w:rPr>
                <w:b/>
              </w:rPr>
            </w:pPr>
          </w:p>
          <w:p>
            <w:pPr>
              <w:snapToGrid w:val="0"/>
              <w:spacing w:after="156" w:afterLines="50" w:line="360" w:lineRule="auto"/>
              <w:rPr>
                <w:b/>
              </w:rPr>
            </w:pP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 xml:space="preserve">                            </w:t>
            </w:r>
            <w:r>
              <w:rPr>
                <w:rFonts w:hint="eastAsia"/>
                <w:b/>
              </w:rPr>
              <w:t>日期：</w:t>
            </w:r>
          </w:p>
        </w:tc>
      </w:tr>
    </w:tbl>
    <w:p>
      <w:pPr>
        <w:spacing w:line="400" w:lineRule="exact"/>
        <w:rPr>
          <w:rFonts w:ascii="Times New Roman" w:hAnsi="Times New Roman" w:cs="Times New Roman"/>
          <w:b/>
          <w:sz w:val="24"/>
        </w:rPr>
      </w:pPr>
    </w:p>
    <w:sectPr>
      <w:pgSz w:w="11906" w:h="16838"/>
      <w:pgMar w:top="1440" w:right="1800" w:bottom="1276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7F19FD"/>
    <w:multiLevelType w:val="multilevel"/>
    <w:tmpl w:val="017F19FD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2FC2D29"/>
    <w:multiLevelType w:val="multilevel"/>
    <w:tmpl w:val="02FC2D29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5873389"/>
    <w:multiLevelType w:val="multilevel"/>
    <w:tmpl w:val="05873389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AFF19A6"/>
    <w:multiLevelType w:val="multilevel"/>
    <w:tmpl w:val="0AFF19A6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FF60B49"/>
    <w:multiLevelType w:val="multilevel"/>
    <w:tmpl w:val="0FF60B49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A1E0CA9"/>
    <w:multiLevelType w:val="multilevel"/>
    <w:tmpl w:val="2A1E0CA9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6910A75"/>
    <w:multiLevelType w:val="multilevel"/>
    <w:tmpl w:val="36910A75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6A527DA"/>
    <w:multiLevelType w:val="multilevel"/>
    <w:tmpl w:val="36A527DA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5"/>
  </w:num>
  <w:num w:numId="5">
    <w:abstractNumId w:val="3"/>
  </w:num>
  <w:num w:numId="6">
    <w:abstractNumId w:val="2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k5YjBiZTExNzdkZTMzZGJkYjE3NzExMTJjOGEwMDIifQ=="/>
  </w:docVars>
  <w:rsids>
    <w:rsidRoot w:val="00314EDB"/>
    <w:rsid w:val="000004CA"/>
    <w:rsid w:val="000012CC"/>
    <w:rsid w:val="0000222E"/>
    <w:rsid w:val="00024FBC"/>
    <w:rsid w:val="00036EF6"/>
    <w:rsid w:val="00043F4C"/>
    <w:rsid w:val="00052C85"/>
    <w:rsid w:val="0007654C"/>
    <w:rsid w:val="00076C86"/>
    <w:rsid w:val="0008763C"/>
    <w:rsid w:val="00087FC5"/>
    <w:rsid w:val="000A45E5"/>
    <w:rsid w:val="000A5B6C"/>
    <w:rsid w:val="000B1778"/>
    <w:rsid w:val="000B2D14"/>
    <w:rsid w:val="000B4AB0"/>
    <w:rsid w:val="000D5AC9"/>
    <w:rsid w:val="000D6FC1"/>
    <w:rsid w:val="000D7190"/>
    <w:rsid w:val="000E67A5"/>
    <w:rsid w:val="000F5420"/>
    <w:rsid w:val="000F77C1"/>
    <w:rsid w:val="000F7D31"/>
    <w:rsid w:val="00110E19"/>
    <w:rsid w:val="00120AE7"/>
    <w:rsid w:val="00122DF3"/>
    <w:rsid w:val="00123210"/>
    <w:rsid w:val="0012366E"/>
    <w:rsid w:val="001319D1"/>
    <w:rsid w:val="001448FC"/>
    <w:rsid w:val="001450D9"/>
    <w:rsid w:val="00152CD6"/>
    <w:rsid w:val="00154E5C"/>
    <w:rsid w:val="001552E0"/>
    <w:rsid w:val="0016150E"/>
    <w:rsid w:val="00184544"/>
    <w:rsid w:val="00194B95"/>
    <w:rsid w:val="001A2576"/>
    <w:rsid w:val="001A3A80"/>
    <w:rsid w:val="001B1B1C"/>
    <w:rsid w:val="001B1F2E"/>
    <w:rsid w:val="001C2533"/>
    <w:rsid w:val="001C7050"/>
    <w:rsid w:val="001D2DC1"/>
    <w:rsid w:val="001D45F9"/>
    <w:rsid w:val="001D741C"/>
    <w:rsid w:val="001F2ED2"/>
    <w:rsid w:val="001F59DE"/>
    <w:rsid w:val="002067B3"/>
    <w:rsid w:val="00220E93"/>
    <w:rsid w:val="00222835"/>
    <w:rsid w:val="00222E46"/>
    <w:rsid w:val="00231262"/>
    <w:rsid w:val="002428B8"/>
    <w:rsid w:val="00246890"/>
    <w:rsid w:val="00247BBC"/>
    <w:rsid w:val="00270075"/>
    <w:rsid w:val="0027145B"/>
    <w:rsid w:val="00281005"/>
    <w:rsid w:val="00282F71"/>
    <w:rsid w:val="00290724"/>
    <w:rsid w:val="002A2B7F"/>
    <w:rsid w:val="002A5E8E"/>
    <w:rsid w:val="002B51DC"/>
    <w:rsid w:val="002C1C47"/>
    <w:rsid w:val="002C32B5"/>
    <w:rsid w:val="002D03C4"/>
    <w:rsid w:val="002D28E6"/>
    <w:rsid w:val="002E7833"/>
    <w:rsid w:val="002F666D"/>
    <w:rsid w:val="002F6DB6"/>
    <w:rsid w:val="003025BB"/>
    <w:rsid w:val="00305FF6"/>
    <w:rsid w:val="00312DB1"/>
    <w:rsid w:val="00314B49"/>
    <w:rsid w:val="00314EDB"/>
    <w:rsid w:val="003177D1"/>
    <w:rsid w:val="00324691"/>
    <w:rsid w:val="0033340D"/>
    <w:rsid w:val="00336E37"/>
    <w:rsid w:val="00340AAA"/>
    <w:rsid w:val="00362A61"/>
    <w:rsid w:val="00362EA9"/>
    <w:rsid w:val="0036782A"/>
    <w:rsid w:val="003835A1"/>
    <w:rsid w:val="00390FA9"/>
    <w:rsid w:val="00392D91"/>
    <w:rsid w:val="00396366"/>
    <w:rsid w:val="0039644E"/>
    <w:rsid w:val="003A0106"/>
    <w:rsid w:val="003A7B12"/>
    <w:rsid w:val="003A7E2C"/>
    <w:rsid w:val="003B20DE"/>
    <w:rsid w:val="003C04E3"/>
    <w:rsid w:val="003D4B34"/>
    <w:rsid w:val="003D5F9C"/>
    <w:rsid w:val="003E4C53"/>
    <w:rsid w:val="003F5498"/>
    <w:rsid w:val="00404359"/>
    <w:rsid w:val="00405CDE"/>
    <w:rsid w:val="00410D32"/>
    <w:rsid w:val="0043379F"/>
    <w:rsid w:val="004409C3"/>
    <w:rsid w:val="00444CB7"/>
    <w:rsid w:val="004572EC"/>
    <w:rsid w:val="00460706"/>
    <w:rsid w:val="004726B1"/>
    <w:rsid w:val="00474F64"/>
    <w:rsid w:val="00491F15"/>
    <w:rsid w:val="00495919"/>
    <w:rsid w:val="00495995"/>
    <w:rsid w:val="004C0135"/>
    <w:rsid w:val="004C0923"/>
    <w:rsid w:val="004D6156"/>
    <w:rsid w:val="00503080"/>
    <w:rsid w:val="00504428"/>
    <w:rsid w:val="00504866"/>
    <w:rsid w:val="00510A50"/>
    <w:rsid w:val="00520470"/>
    <w:rsid w:val="00522F79"/>
    <w:rsid w:val="00541B22"/>
    <w:rsid w:val="00543649"/>
    <w:rsid w:val="0054770F"/>
    <w:rsid w:val="0058401A"/>
    <w:rsid w:val="00595061"/>
    <w:rsid w:val="00595B83"/>
    <w:rsid w:val="005A57A0"/>
    <w:rsid w:val="005B02BF"/>
    <w:rsid w:val="005B2451"/>
    <w:rsid w:val="005B25B7"/>
    <w:rsid w:val="005C2433"/>
    <w:rsid w:val="005C6E7D"/>
    <w:rsid w:val="005F1F19"/>
    <w:rsid w:val="005F2FA5"/>
    <w:rsid w:val="005F5F17"/>
    <w:rsid w:val="005F7F40"/>
    <w:rsid w:val="00612B25"/>
    <w:rsid w:val="00624954"/>
    <w:rsid w:val="00627E3A"/>
    <w:rsid w:val="00632DE0"/>
    <w:rsid w:val="00635C1C"/>
    <w:rsid w:val="00656C24"/>
    <w:rsid w:val="00661A69"/>
    <w:rsid w:val="006635EE"/>
    <w:rsid w:val="00665EAA"/>
    <w:rsid w:val="006777D7"/>
    <w:rsid w:val="00683E19"/>
    <w:rsid w:val="00684976"/>
    <w:rsid w:val="006A5597"/>
    <w:rsid w:val="006C3D39"/>
    <w:rsid w:val="006C4CA4"/>
    <w:rsid w:val="006D1D8E"/>
    <w:rsid w:val="006E0E0D"/>
    <w:rsid w:val="006F7F21"/>
    <w:rsid w:val="00701960"/>
    <w:rsid w:val="00704F6D"/>
    <w:rsid w:val="00714DB5"/>
    <w:rsid w:val="00715FDD"/>
    <w:rsid w:val="0072119B"/>
    <w:rsid w:val="0073507B"/>
    <w:rsid w:val="007419FF"/>
    <w:rsid w:val="007534CA"/>
    <w:rsid w:val="00763D00"/>
    <w:rsid w:val="007770D3"/>
    <w:rsid w:val="0078478C"/>
    <w:rsid w:val="007857ED"/>
    <w:rsid w:val="00794A38"/>
    <w:rsid w:val="007A2ED4"/>
    <w:rsid w:val="007A4606"/>
    <w:rsid w:val="007A4A9B"/>
    <w:rsid w:val="007A61DF"/>
    <w:rsid w:val="007B011D"/>
    <w:rsid w:val="007B0E10"/>
    <w:rsid w:val="007B5535"/>
    <w:rsid w:val="007C1C6E"/>
    <w:rsid w:val="007D4893"/>
    <w:rsid w:val="007F1821"/>
    <w:rsid w:val="007F2EE1"/>
    <w:rsid w:val="008032E9"/>
    <w:rsid w:val="00815E16"/>
    <w:rsid w:val="00820059"/>
    <w:rsid w:val="0082578F"/>
    <w:rsid w:val="008268CD"/>
    <w:rsid w:val="008323DC"/>
    <w:rsid w:val="0084405C"/>
    <w:rsid w:val="00845DF4"/>
    <w:rsid w:val="00846EF3"/>
    <w:rsid w:val="00863D78"/>
    <w:rsid w:val="00865D36"/>
    <w:rsid w:val="00870FFD"/>
    <w:rsid w:val="0087214D"/>
    <w:rsid w:val="0087418C"/>
    <w:rsid w:val="00876646"/>
    <w:rsid w:val="00882484"/>
    <w:rsid w:val="00883FE1"/>
    <w:rsid w:val="008846FA"/>
    <w:rsid w:val="00890C74"/>
    <w:rsid w:val="008934AF"/>
    <w:rsid w:val="008A06A9"/>
    <w:rsid w:val="008B502F"/>
    <w:rsid w:val="008C0A99"/>
    <w:rsid w:val="008D05F6"/>
    <w:rsid w:val="008D29CE"/>
    <w:rsid w:val="008E1B4F"/>
    <w:rsid w:val="008E386A"/>
    <w:rsid w:val="008F174E"/>
    <w:rsid w:val="00905549"/>
    <w:rsid w:val="00925F1D"/>
    <w:rsid w:val="0093230E"/>
    <w:rsid w:val="00935247"/>
    <w:rsid w:val="00963D0B"/>
    <w:rsid w:val="0097110C"/>
    <w:rsid w:val="0097281E"/>
    <w:rsid w:val="00994678"/>
    <w:rsid w:val="009A2610"/>
    <w:rsid w:val="009A7719"/>
    <w:rsid w:val="009D2733"/>
    <w:rsid w:val="009E1B56"/>
    <w:rsid w:val="009E28AD"/>
    <w:rsid w:val="009E3CFF"/>
    <w:rsid w:val="009F5A70"/>
    <w:rsid w:val="009F6077"/>
    <w:rsid w:val="009F60AC"/>
    <w:rsid w:val="00A05380"/>
    <w:rsid w:val="00A12457"/>
    <w:rsid w:val="00A152FD"/>
    <w:rsid w:val="00A15538"/>
    <w:rsid w:val="00A220D9"/>
    <w:rsid w:val="00A36067"/>
    <w:rsid w:val="00A531C0"/>
    <w:rsid w:val="00A5618E"/>
    <w:rsid w:val="00A62C56"/>
    <w:rsid w:val="00A62C84"/>
    <w:rsid w:val="00A85D11"/>
    <w:rsid w:val="00A9391F"/>
    <w:rsid w:val="00A9554F"/>
    <w:rsid w:val="00AA2466"/>
    <w:rsid w:val="00AA2D79"/>
    <w:rsid w:val="00AA6E7F"/>
    <w:rsid w:val="00AA76D4"/>
    <w:rsid w:val="00AB091F"/>
    <w:rsid w:val="00AB4072"/>
    <w:rsid w:val="00AC6244"/>
    <w:rsid w:val="00AC652D"/>
    <w:rsid w:val="00AE0466"/>
    <w:rsid w:val="00AF4FE0"/>
    <w:rsid w:val="00B00105"/>
    <w:rsid w:val="00B0478B"/>
    <w:rsid w:val="00B165FE"/>
    <w:rsid w:val="00B171DB"/>
    <w:rsid w:val="00B20816"/>
    <w:rsid w:val="00B20FEA"/>
    <w:rsid w:val="00B242D1"/>
    <w:rsid w:val="00B279FE"/>
    <w:rsid w:val="00B306D9"/>
    <w:rsid w:val="00B36FA0"/>
    <w:rsid w:val="00B400D0"/>
    <w:rsid w:val="00B43C61"/>
    <w:rsid w:val="00B53145"/>
    <w:rsid w:val="00B5321C"/>
    <w:rsid w:val="00B62262"/>
    <w:rsid w:val="00B703FA"/>
    <w:rsid w:val="00B76205"/>
    <w:rsid w:val="00B80E7F"/>
    <w:rsid w:val="00B85A00"/>
    <w:rsid w:val="00B863EB"/>
    <w:rsid w:val="00B90DDB"/>
    <w:rsid w:val="00B96161"/>
    <w:rsid w:val="00BA03D5"/>
    <w:rsid w:val="00BB1E5D"/>
    <w:rsid w:val="00BB6E47"/>
    <w:rsid w:val="00BC1705"/>
    <w:rsid w:val="00BD1F36"/>
    <w:rsid w:val="00BD374D"/>
    <w:rsid w:val="00BD3E16"/>
    <w:rsid w:val="00BE5C6C"/>
    <w:rsid w:val="00BF36DB"/>
    <w:rsid w:val="00C14E59"/>
    <w:rsid w:val="00C2098E"/>
    <w:rsid w:val="00C2144F"/>
    <w:rsid w:val="00C2292A"/>
    <w:rsid w:val="00C36449"/>
    <w:rsid w:val="00C404DE"/>
    <w:rsid w:val="00C415CB"/>
    <w:rsid w:val="00C42FA4"/>
    <w:rsid w:val="00C4646A"/>
    <w:rsid w:val="00C52961"/>
    <w:rsid w:val="00C63875"/>
    <w:rsid w:val="00C71FA4"/>
    <w:rsid w:val="00C85D17"/>
    <w:rsid w:val="00C94AB5"/>
    <w:rsid w:val="00C9593B"/>
    <w:rsid w:val="00CB0F13"/>
    <w:rsid w:val="00CC2CCD"/>
    <w:rsid w:val="00CC32EC"/>
    <w:rsid w:val="00CD1A1D"/>
    <w:rsid w:val="00D04AA2"/>
    <w:rsid w:val="00D05457"/>
    <w:rsid w:val="00D15CFA"/>
    <w:rsid w:val="00D20926"/>
    <w:rsid w:val="00D20D8B"/>
    <w:rsid w:val="00D3138D"/>
    <w:rsid w:val="00D31F74"/>
    <w:rsid w:val="00D372EB"/>
    <w:rsid w:val="00D44966"/>
    <w:rsid w:val="00D465FC"/>
    <w:rsid w:val="00D52073"/>
    <w:rsid w:val="00D528D5"/>
    <w:rsid w:val="00D623A6"/>
    <w:rsid w:val="00D70A85"/>
    <w:rsid w:val="00D72793"/>
    <w:rsid w:val="00D7609E"/>
    <w:rsid w:val="00D76F5B"/>
    <w:rsid w:val="00D8161D"/>
    <w:rsid w:val="00D92F71"/>
    <w:rsid w:val="00D961F6"/>
    <w:rsid w:val="00DA3F43"/>
    <w:rsid w:val="00DB7774"/>
    <w:rsid w:val="00DE07A7"/>
    <w:rsid w:val="00DE1F8E"/>
    <w:rsid w:val="00DE4866"/>
    <w:rsid w:val="00DF3CEF"/>
    <w:rsid w:val="00DF778C"/>
    <w:rsid w:val="00E158D9"/>
    <w:rsid w:val="00E20CEF"/>
    <w:rsid w:val="00E37E26"/>
    <w:rsid w:val="00E43E08"/>
    <w:rsid w:val="00E463A3"/>
    <w:rsid w:val="00E52551"/>
    <w:rsid w:val="00E56FA9"/>
    <w:rsid w:val="00E708BA"/>
    <w:rsid w:val="00E75235"/>
    <w:rsid w:val="00E7743E"/>
    <w:rsid w:val="00E774F1"/>
    <w:rsid w:val="00E846E4"/>
    <w:rsid w:val="00E86499"/>
    <w:rsid w:val="00E9582E"/>
    <w:rsid w:val="00EA1320"/>
    <w:rsid w:val="00EB2D70"/>
    <w:rsid w:val="00EC097C"/>
    <w:rsid w:val="00EC143F"/>
    <w:rsid w:val="00ED4735"/>
    <w:rsid w:val="00EE2838"/>
    <w:rsid w:val="00EE6FFB"/>
    <w:rsid w:val="00EE7BC8"/>
    <w:rsid w:val="00EF6EE1"/>
    <w:rsid w:val="00F1155A"/>
    <w:rsid w:val="00F17988"/>
    <w:rsid w:val="00F23E60"/>
    <w:rsid w:val="00F2540F"/>
    <w:rsid w:val="00F31581"/>
    <w:rsid w:val="00F35433"/>
    <w:rsid w:val="00F37979"/>
    <w:rsid w:val="00F41A89"/>
    <w:rsid w:val="00F53120"/>
    <w:rsid w:val="00F54E09"/>
    <w:rsid w:val="00F57A24"/>
    <w:rsid w:val="00F601EF"/>
    <w:rsid w:val="00F61CD6"/>
    <w:rsid w:val="00F6291E"/>
    <w:rsid w:val="00F671AF"/>
    <w:rsid w:val="00F758AF"/>
    <w:rsid w:val="00F76E2E"/>
    <w:rsid w:val="00F77189"/>
    <w:rsid w:val="00F86D29"/>
    <w:rsid w:val="00F923DC"/>
    <w:rsid w:val="00F9391A"/>
    <w:rsid w:val="00FA56A5"/>
    <w:rsid w:val="00FA652F"/>
    <w:rsid w:val="00FB643D"/>
    <w:rsid w:val="00FB757F"/>
    <w:rsid w:val="00FC344B"/>
    <w:rsid w:val="00FE0B75"/>
    <w:rsid w:val="00FF120E"/>
    <w:rsid w:val="00FF2644"/>
    <w:rsid w:val="00FF4195"/>
    <w:rsid w:val="00FF4B95"/>
    <w:rsid w:val="04211571"/>
    <w:rsid w:val="0624694C"/>
    <w:rsid w:val="0E97D2E5"/>
    <w:rsid w:val="0EF90AF8"/>
    <w:rsid w:val="13F7CA60"/>
    <w:rsid w:val="1EF31489"/>
    <w:rsid w:val="2C7F4C26"/>
    <w:rsid w:val="37DE58D0"/>
    <w:rsid w:val="397F2389"/>
    <w:rsid w:val="3BCD36BA"/>
    <w:rsid w:val="3E924906"/>
    <w:rsid w:val="3FAF7F0C"/>
    <w:rsid w:val="3FBB9D7B"/>
    <w:rsid w:val="3FFAB6E2"/>
    <w:rsid w:val="3FFFD639"/>
    <w:rsid w:val="4369447A"/>
    <w:rsid w:val="46FBAA3A"/>
    <w:rsid w:val="499F6CC7"/>
    <w:rsid w:val="4E762582"/>
    <w:rsid w:val="4FC33CEA"/>
    <w:rsid w:val="5575C2B2"/>
    <w:rsid w:val="57EF3654"/>
    <w:rsid w:val="5E758F83"/>
    <w:rsid w:val="5EF72688"/>
    <w:rsid w:val="5FDF14FF"/>
    <w:rsid w:val="5FFC9CEF"/>
    <w:rsid w:val="603F2E02"/>
    <w:rsid w:val="67F670E6"/>
    <w:rsid w:val="6CDF4D6A"/>
    <w:rsid w:val="6D8F8924"/>
    <w:rsid w:val="6DEB0B3A"/>
    <w:rsid w:val="6FB58A70"/>
    <w:rsid w:val="71DB22D8"/>
    <w:rsid w:val="75765F28"/>
    <w:rsid w:val="7797301C"/>
    <w:rsid w:val="783C0429"/>
    <w:rsid w:val="78FFFD60"/>
    <w:rsid w:val="7BCB182B"/>
    <w:rsid w:val="7BFB7A50"/>
    <w:rsid w:val="7DDB5B39"/>
    <w:rsid w:val="7DEF27C8"/>
    <w:rsid w:val="7EFDF835"/>
    <w:rsid w:val="7FAE7DFF"/>
    <w:rsid w:val="7FDC63C5"/>
    <w:rsid w:val="8D4503AB"/>
    <w:rsid w:val="9DADA4B0"/>
    <w:rsid w:val="9FAD5BBE"/>
    <w:rsid w:val="AF3F2F78"/>
    <w:rsid w:val="B4BDF859"/>
    <w:rsid w:val="B7BA5013"/>
    <w:rsid w:val="B93F5635"/>
    <w:rsid w:val="BBFCAAB8"/>
    <w:rsid w:val="BE5E7BE4"/>
    <w:rsid w:val="BFAFAB31"/>
    <w:rsid w:val="BFFF73B9"/>
    <w:rsid w:val="CB7755B9"/>
    <w:rsid w:val="CBB18818"/>
    <w:rsid w:val="D2FFD6B9"/>
    <w:rsid w:val="D31F9E4A"/>
    <w:rsid w:val="D7FD653A"/>
    <w:rsid w:val="D9407059"/>
    <w:rsid w:val="DEA52EA2"/>
    <w:rsid w:val="DFFFA267"/>
    <w:rsid w:val="DFFFB18A"/>
    <w:rsid w:val="E7FEA821"/>
    <w:rsid w:val="EA6E1330"/>
    <w:rsid w:val="EBFCDA6F"/>
    <w:rsid w:val="ECE81EE8"/>
    <w:rsid w:val="EDFFA13A"/>
    <w:rsid w:val="EED1F134"/>
    <w:rsid w:val="EFFF6079"/>
    <w:rsid w:val="F3BF41D6"/>
    <w:rsid w:val="F7778696"/>
    <w:rsid w:val="F78F863C"/>
    <w:rsid w:val="F7BB4DF3"/>
    <w:rsid w:val="F87DA4D7"/>
    <w:rsid w:val="F8FE7193"/>
    <w:rsid w:val="F9F3DE0D"/>
    <w:rsid w:val="FA763D32"/>
    <w:rsid w:val="FAAEE931"/>
    <w:rsid w:val="FB6E93E8"/>
    <w:rsid w:val="FB7BE62F"/>
    <w:rsid w:val="FD2F4167"/>
    <w:rsid w:val="FDDD9E6D"/>
    <w:rsid w:val="FDF76C5E"/>
    <w:rsid w:val="FEF70324"/>
    <w:rsid w:val="FF1D468D"/>
    <w:rsid w:val="FF77A4FE"/>
    <w:rsid w:val="FF9A0660"/>
    <w:rsid w:val="FFA65B06"/>
    <w:rsid w:val="FFB11AB7"/>
    <w:rsid w:val="FFBF5B82"/>
    <w:rsid w:val="FFCF5446"/>
    <w:rsid w:val="FFD60B96"/>
    <w:rsid w:val="FFFF6731"/>
    <w:rsid w:val="FFFFD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6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2"/>
    <w:qFormat/>
    <w:uiPriority w:val="6"/>
    <w:pPr>
      <w:keepNext/>
      <w:widowControl/>
      <w:spacing w:before="240" w:after="60"/>
      <w:jc w:val="left"/>
      <w:outlineLvl w:val="1"/>
    </w:pPr>
    <w:rPr>
      <w:rFonts w:ascii="Arial" w:hAnsi="Arial" w:cs="Times New Roman"/>
      <w:b/>
      <w:i/>
      <w:kern w:val="0"/>
      <w:sz w:val="20"/>
      <w:szCs w:val="20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link w:val="19"/>
    <w:semiHidden/>
    <w:unhideWhenUsed/>
    <w:qFormat/>
    <w:uiPriority w:val="99"/>
    <w:pPr>
      <w:ind w:firstLine="480" w:firstLineChars="200"/>
    </w:pPr>
    <w:rPr>
      <w:sz w:val="24"/>
      <w:szCs w:val="24"/>
    </w:rPr>
  </w:style>
  <w:style w:type="paragraph" w:styleId="5">
    <w:name w:val="Plain Text"/>
    <w:basedOn w:val="1"/>
    <w:link w:val="20"/>
    <w:semiHidden/>
    <w:unhideWhenUsed/>
    <w:qFormat/>
    <w:uiPriority w:val="0"/>
    <w:pPr>
      <w:spacing w:line="480" w:lineRule="auto"/>
      <w:jc w:val="center"/>
    </w:pPr>
    <w:rPr>
      <w:rFonts w:ascii="宋体" w:hAnsi="Courier New" w:cs="Times New Roman"/>
      <w:b/>
      <w:sz w:val="24"/>
      <w:szCs w:val="20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link w:val="16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Times New Roman"/>
      <w:kern w:val="0"/>
      <w:sz w:val="24"/>
      <w:szCs w:val="24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标题 2 字符"/>
    <w:basedOn w:val="11"/>
    <w:link w:val="3"/>
    <w:qFormat/>
    <w:uiPriority w:val="6"/>
    <w:rPr>
      <w:rFonts w:ascii="Arial" w:hAnsi="Arial" w:eastAsia="宋体" w:cs="Times New Roman"/>
      <w:b/>
      <w:i/>
      <w:kern w:val="0"/>
      <w:sz w:val="20"/>
      <w:szCs w:val="20"/>
    </w:rPr>
  </w:style>
  <w:style w:type="character" w:customStyle="1" w:styleId="13">
    <w:name w:val="页眉 字符"/>
    <w:basedOn w:val="11"/>
    <w:link w:val="7"/>
    <w:qFormat/>
    <w:uiPriority w:val="99"/>
    <w:rPr>
      <w:rFonts w:ascii="Calibri" w:hAnsi="Calibri" w:eastAsia="宋体" w:cs="黑体"/>
      <w:sz w:val="18"/>
      <w:szCs w:val="18"/>
    </w:rPr>
  </w:style>
  <w:style w:type="character" w:customStyle="1" w:styleId="14">
    <w:name w:val="页脚 字符"/>
    <w:basedOn w:val="11"/>
    <w:link w:val="6"/>
    <w:qFormat/>
    <w:uiPriority w:val="99"/>
    <w:rPr>
      <w:rFonts w:ascii="Calibri" w:hAnsi="Calibri" w:eastAsia="宋体" w:cs="黑体"/>
      <w:sz w:val="18"/>
      <w:szCs w:val="18"/>
    </w:rPr>
  </w:style>
  <w:style w:type="paragraph" w:customStyle="1" w:styleId="15">
    <w:name w:val="Default"/>
    <w:qFormat/>
    <w:uiPriority w:val="0"/>
    <w:pPr>
      <w:widowControl w:val="0"/>
      <w:autoSpaceDE w:val="0"/>
      <w:autoSpaceDN w:val="0"/>
      <w:adjustRightInd w:val="0"/>
    </w:pPr>
    <w:rPr>
      <w:rFonts w:ascii="Calibri" w:hAnsi="Calibri" w:eastAsia="宋体" w:cs="Calibri"/>
      <w:color w:val="000000"/>
      <w:sz w:val="24"/>
      <w:szCs w:val="24"/>
      <w:lang w:val="en-US" w:eastAsia="zh-CN" w:bidi="ar-SA"/>
    </w:rPr>
  </w:style>
  <w:style w:type="character" w:customStyle="1" w:styleId="16">
    <w:name w:val="普通(网站) 字符"/>
    <w:link w:val="8"/>
    <w:qFormat/>
    <w:uiPriority w:val="0"/>
    <w:rPr>
      <w:rFonts w:ascii="宋体" w:hAnsi="宋体" w:eastAsia="宋体" w:cs="Times New Roman"/>
      <w:kern w:val="0"/>
      <w:sz w:val="24"/>
      <w:szCs w:val="24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标题 1 字符"/>
    <w:basedOn w:val="11"/>
    <w:link w:val="2"/>
    <w:qFormat/>
    <w:uiPriority w:val="9"/>
    <w:rPr>
      <w:rFonts w:ascii="Calibri" w:hAnsi="Calibri" w:eastAsia="宋体" w:cs="黑体"/>
      <w:b/>
      <w:bCs/>
      <w:kern w:val="44"/>
      <w:sz w:val="44"/>
      <w:szCs w:val="44"/>
    </w:rPr>
  </w:style>
  <w:style w:type="character" w:customStyle="1" w:styleId="19">
    <w:name w:val="正文文本缩进 字符"/>
    <w:basedOn w:val="11"/>
    <w:link w:val="4"/>
    <w:semiHidden/>
    <w:qFormat/>
    <w:uiPriority w:val="99"/>
    <w:rPr>
      <w:rFonts w:ascii="Calibri" w:hAnsi="Calibri" w:eastAsia="宋体" w:cs="黑体"/>
      <w:sz w:val="24"/>
      <w:szCs w:val="24"/>
    </w:rPr>
  </w:style>
  <w:style w:type="character" w:customStyle="1" w:styleId="20">
    <w:name w:val="纯文本 字符"/>
    <w:basedOn w:val="11"/>
    <w:link w:val="5"/>
    <w:semiHidden/>
    <w:qFormat/>
    <w:uiPriority w:val="0"/>
    <w:rPr>
      <w:rFonts w:ascii="宋体" w:hAnsi="Courier New" w:eastAsia="宋体" w:cs="Times New Roman"/>
      <w:b/>
      <w:sz w:val="2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微软中国</Company>
  <Pages>6</Pages>
  <Words>1975</Words>
  <Characters>3162</Characters>
  <Lines>240</Lines>
  <Paragraphs>227</Paragraphs>
  <TotalTime>329</TotalTime>
  <ScaleCrop>false</ScaleCrop>
  <LinksUpToDate>false</LinksUpToDate>
  <CharactersWithSpaces>3556</CharactersWithSpaces>
  <Application>WPS Office_11.1.0.14177_F1E327BC-269C-435d-A152-05C5408002CA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2021-06-03T16:36:00Z</dcterms:created>
  <dc:creator>Dexin</dc:creator>
  <cp:lastModifiedBy>沈舒尹</cp:lastModifiedBy>
  <dcterms:modified xsi:type="dcterms:W3CDTF">2023-10-08T02:28:03Z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2052-11.1.0.14177</vt:lpwstr>
  </property>
  <property fmtid="{D5CDD505-2E9C-101B-9397-08002B2CF9AE}" pid="3" name="ICV">
    <vt:lpwstr>2C47E69266DC4CC487EAA3204FE143AC</vt:lpwstr>
  </property>
</Properties>
</file>