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3805" w14:textId="65CFF7C6" w:rsidR="003D6BF5" w:rsidRPr="00605A07" w:rsidRDefault="00730480" w:rsidP="007E5D38">
      <w:pPr>
        <w:pStyle w:val="Title"/>
        <w:jc w:val="both"/>
        <w:rPr>
          <w:rFonts w:ascii="Open Sans" w:hAnsi="Open Sans" w:cs="Open Sans"/>
          <w:sz w:val="48"/>
          <w:szCs w:val="48"/>
        </w:rPr>
      </w:pPr>
      <w:r w:rsidRPr="00605A07">
        <w:rPr>
          <w:rFonts w:ascii="Open Sans" w:hAnsi="Open Sans" w:cs="Open Sans"/>
          <w:sz w:val="48"/>
          <w:szCs w:val="48"/>
        </w:rPr>
        <w:t>A</w:t>
      </w:r>
      <w:r w:rsidRPr="00605A07">
        <w:rPr>
          <w:rFonts w:ascii="Open Sans" w:hAnsi="Open Sans" w:cs="Open Sans"/>
          <w:caps w:val="0"/>
          <w:sz w:val="48"/>
          <w:szCs w:val="48"/>
        </w:rPr>
        <w:t>ccessibility account</w:t>
      </w:r>
    </w:p>
    <w:p w14:paraId="64CDCD44" w14:textId="746A589E" w:rsidR="00D51AF7" w:rsidRPr="00605A07" w:rsidRDefault="00D51AF7" w:rsidP="007E5D38">
      <w:pPr>
        <w:jc w:val="both"/>
        <w:rPr>
          <w:rFonts w:ascii="Open Sans" w:hAnsi="Open Sans" w:cs="Open Sans"/>
          <w:sz w:val="24"/>
          <w:szCs w:val="24"/>
        </w:rPr>
      </w:pPr>
      <w:r w:rsidRPr="00605A07">
        <w:rPr>
          <w:rFonts w:ascii="Open Sans" w:hAnsi="Open Sans" w:cs="Open Sans"/>
          <w:sz w:val="24"/>
          <w:szCs w:val="24"/>
        </w:rPr>
        <w:t>U</w:t>
      </w:r>
      <w:r w:rsidR="00597996" w:rsidRPr="00605A07">
        <w:rPr>
          <w:rFonts w:ascii="Open Sans" w:hAnsi="Open Sans" w:cs="Open Sans"/>
          <w:sz w:val="24"/>
          <w:szCs w:val="24"/>
        </w:rPr>
        <w:t xml:space="preserve">sing the OODA (Observe, Orient, Decide, Act) </w:t>
      </w:r>
      <w:r w:rsidRPr="00605A07">
        <w:rPr>
          <w:rFonts w:ascii="Open Sans" w:hAnsi="Open Sans" w:cs="Open Sans"/>
          <w:sz w:val="24"/>
          <w:szCs w:val="24"/>
        </w:rPr>
        <w:t xml:space="preserve">problem solving </w:t>
      </w:r>
      <w:r w:rsidR="00597996" w:rsidRPr="00605A07">
        <w:rPr>
          <w:rFonts w:ascii="Open Sans" w:hAnsi="Open Sans" w:cs="Open Sans"/>
          <w:sz w:val="24"/>
          <w:szCs w:val="24"/>
        </w:rPr>
        <w:t xml:space="preserve">model, </w:t>
      </w:r>
      <w:r w:rsidRPr="00605A07">
        <w:rPr>
          <w:rFonts w:ascii="Open Sans" w:hAnsi="Open Sans" w:cs="Open Sans"/>
          <w:sz w:val="24"/>
          <w:szCs w:val="24"/>
        </w:rPr>
        <w:t>I’ve outlined some potential solutions for accessibility with regards to Dyslexia, Dyspraxia and Colour-blindness. This model is useful for this application as it’s simplistic, requiring only 4</w:t>
      </w:r>
      <w:r w:rsidR="00D374CB" w:rsidRPr="00605A07">
        <w:rPr>
          <w:rFonts w:ascii="Open Sans" w:hAnsi="Open Sans" w:cs="Open Sans"/>
          <w:sz w:val="24"/>
          <w:szCs w:val="24"/>
        </w:rPr>
        <w:t xml:space="preserve"> concise</w:t>
      </w:r>
      <w:r w:rsidRPr="00605A07">
        <w:rPr>
          <w:rFonts w:ascii="Open Sans" w:hAnsi="Open Sans" w:cs="Open Sans"/>
          <w:sz w:val="24"/>
          <w:szCs w:val="24"/>
        </w:rPr>
        <w:t xml:space="preserve"> steps for completion, and</w:t>
      </w:r>
      <w:r w:rsidR="00D374CB" w:rsidRPr="00605A07">
        <w:rPr>
          <w:rFonts w:ascii="Open Sans" w:hAnsi="Open Sans" w:cs="Open Sans"/>
          <w:sz w:val="24"/>
          <w:szCs w:val="24"/>
        </w:rPr>
        <w:t xml:space="preserve">, in this case, </w:t>
      </w:r>
      <w:r w:rsidRPr="00605A07">
        <w:rPr>
          <w:rFonts w:ascii="Open Sans" w:hAnsi="Open Sans" w:cs="Open Sans"/>
          <w:sz w:val="24"/>
          <w:szCs w:val="24"/>
        </w:rPr>
        <w:t>involves research of each condition</w:t>
      </w:r>
      <w:r w:rsidR="00D374CB" w:rsidRPr="00605A07">
        <w:rPr>
          <w:rFonts w:ascii="Open Sans" w:hAnsi="Open Sans" w:cs="Open Sans"/>
          <w:sz w:val="24"/>
          <w:szCs w:val="24"/>
        </w:rPr>
        <w:t xml:space="preserve"> and how it can be accounted for</w:t>
      </w:r>
      <w:r w:rsidRPr="00605A07">
        <w:rPr>
          <w:rFonts w:ascii="Open Sans" w:hAnsi="Open Sans" w:cs="Open Sans"/>
          <w:sz w:val="24"/>
          <w:szCs w:val="24"/>
        </w:rPr>
        <w:t xml:space="preserve"> as a core component.</w:t>
      </w:r>
      <w:r w:rsidR="00D374CB" w:rsidRPr="00605A07">
        <w:rPr>
          <w:rFonts w:ascii="Open Sans" w:hAnsi="Open Sans" w:cs="Open Sans"/>
          <w:sz w:val="24"/>
          <w:szCs w:val="24"/>
        </w:rPr>
        <w:t xml:space="preserve"> </w:t>
      </w:r>
      <w:r w:rsidR="00D374CB" w:rsidRPr="00605A07">
        <w:rPr>
          <w:rFonts w:ascii="Open Sans" w:hAnsi="Open Sans" w:cs="Open Sans"/>
        </w:rPr>
        <w:t>(Mulder, 2017)</w:t>
      </w:r>
    </w:p>
    <w:p w14:paraId="6D326D4D" w14:textId="606A0DCB" w:rsidR="00730480" w:rsidRPr="00605A07" w:rsidRDefault="00D51AF7" w:rsidP="007E5D38">
      <w:pPr>
        <w:jc w:val="both"/>
        <w:rPr>
          <w:rFonts w:ascii="Open Sans" w:hAnsi="Open Sans" w:cs="Open Sans"/>
          <w:sz w:val="24"/>
          <w:szCs w:val="24"/>
        </w:rPr>
      </w:pPr>
      <w:r w:rsidRPr="00605A07">
        <w:rPr>
          <w:rFonts w:ascii="Open Sans" w:hAnsi="Open Sans" w:cs="Open Sans"/>
          <w:sz w:val="24"/>
          <w:szCs w:val="24"/>
        </w:rPr>
        <w:t xml:space="preserve">Other methods are less practical for this implementation, a good example being the GROW model, which requires specifying the goal, the reality, and the obstacles, then working on the way forward </w:t>
      </w:r>
      <w:r w:rsidRPr="00605A07">
        <w:rPr>
          <w:rFonts w:ascii="Open Sans" w:hAnsi="Open Sans" w:cs="Open Sans"/>
        </w:rPr>
        <w:t>(Mindtools.com, n.d.)</w:t>
      </w:r>
      <w:r w:rsidRPr="00605A07">
        <w:rPr>
          <w:rFonts w:ascii="Open Sans" w:hAnsi="Open Sans" w:cs="Open Sans"/>
          <w:sz w:val="24"/>
          <w:szCs w:val="24"/>
        </w:rPr>
        <w:t>. For this example, defining those three characteristics provide no insight on solving the issue of accessibility.</w:t>
      </w:r>
    </w:p>
    <w:p w14:paraId="70841923" w14:textId="1156D9AF"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Dyslexia</w:t>
      </w:r>
    </w:p>
    <w:p w14:paraId="37B82E69" w14:textId="60F747B4"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4D7DF5D5" w14:textId="2FD818F9" w:rsidR="00224B44" w:rsidRPr="00605A07" w:rsidRDefault="00CB2DF4" w:rsidP="007E5D38">
      <w:pPr>
        <w:jc w:val="both"/>
        <w:rPr>
          <w:rFonts w:ascii="Open Sans" w:hAnsi="Open Sans" w:cs="Open Sans"/>
          <w:sz w:val="24"/>
          <w:szCs w:val="24"/>
        </w:rPr>
      </w:pPr>
      <w:r w:rsidRPr="00605A07">
        <w:rPr>
          <w:rFonts w:ascii="Open Sans" w:hAnsi="Open Sans" w:cs="Open Sans"/>
          <w:sz w:val="24"/>
          <w:szCs w:val="24"/>
        </w:rPr>
        <w:t>Dyslexia</w:t>
      </w:r>
      <w:r w:rsidR="002E162E" w:rsidRPr="00605A07">
        <w:rPr>
          <w:rFonts w:ascii="Open Sans" w:hAnsi="Open Sans" w:cs="Open Sans"/>
          <w:sz w:val="24"/>
          <w:szCs w:val="24"/>
        </w:rPr>
        <w:t xml:space="preserve"> can</w:t>
      </w:r>
      <w:r w:rsidRPr="00605A07">
        <w:rPr>
          <w:rFonts w:ascii="Open Sans" w:hAnsi="Open Sans" w:cs="Open Sans"/>
          <w:sz w:val="24"/>
          <w:szCs w:val="24"/>
        </w:rPr>
        <w:t xml:space="preserve"> </w:t>
      </w:r>
      <w:r w:rsidR="002E162E" w:rsidRPr="00605A07">
        <w:rPr>
          <w:rFonts w:ascii="Open Sans" w:hAnsi="Open Sans" w:cs="Open Sans"/>
          <w:sz w:val="24"/>
          <w:szCs w:val="24"/>
        </w:rPr>
        <w:t>have the following impacts</w:t>
      </w:r>
      <w:r w:rsidR="00CA6307" w:rsidRPr="00605A07">
        <w:rPr>
          <w:rFonts w:ascii="Open Sans" w:hAnsi="Open Sans" w:cs="Open Sans"/>
          <w:sz w:val="24"/>
          <w:szCs w:val="24"/>
        </w:rPr>
        <w:t xml:space="preserve"> on reading and understanding</w:t>
      </w:r>
      <w:r w:rsidR="002E162E" w:rsidRPr="00605A07">
        <w:rPr>
          <w:rFonts w:ascii="Open Sans" w:hAnsi="Open Sans" w:cs="Open Sans"/>
          <w:sz w:val="24"/>
          <w:szCs w:val="24"/>
        </w:rPr>
        <w:t>;</w:t>
      </w:r>
    </w:p>
    <w:p w14:paraId="170BAD6A" w14:textId="18823443" w:rsidR="002E162E" w:rsidRPr="00605A07" w:rsidRDefault="002E162E" w:rsidP="007E5D38">
      <w:pPr>
        <w:pStyle w:val="ListParagraph"/>
        <w:numPr>
          <w:ilvl w:val="0"/>
          <w:numId w:val="2"/>
        </w:numPr>
        <w:jc w:val="both"/>
        <w:rPr>
          <w:rFonts w:ascii="Open Sans" w:hAnsi="Open Sans" w:cs="Open Sans"/>
          <w:sz w:val="24"/>
          <w:szCs w:val="24"/>
        </w:rPr>
      </w:pPr>
      <w:r w:rsidRPr="00605A07">
        <w:rPr>
          <w:rFonts w:ascii="Open Sans" w:hAnsi="Open Sans" w:cs="Open Sans"/>
          <w:sz w:val="24"/>
          <w:szCs w:val="24"/>
        </w:rPr>
        <w:t>Difficulty understanding the meaning and intent of written content</w:t>
      </w:r>
    </w:p>
    <w:p w14:paraId="4BC24503" w14:textId="5934C197"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Slow reading and writing</w:t>
      </w:r>
    </w:p>
    <w:p w14:paraId="57F3A04F" w14:textId="5728F082" w:rsidR="002E162E" w:rsidRPr="00605A07" w:rsidRDefault="002E162E" w:rsidP="007E5D38">
      <w:pPr>
        <w:pStyle w:val="ListParagraph"/>
        <w:numPr>
          <w:ilvl w:val="0"/>
          <w:numId w:val="1"/>
        </w:numPr>
        <w:jc w:val="both"/>
        <w:rPr>
          <w:rFonts w:ascii="Open Sans" w:hAnsi="Open Sans" w:cs="Open Sans"/>
          <w:sz w:val="24"/>
          <w:szCs w:val="24"/>
        </w:rPr>
      </w:pPr>
      <w:r w:rsidRPr="00605A07">
        <w:rPr>
          <w:rFonts w:ascii="Open Sans" w:hAnsi="Open Sans" w:cs="Open Sans"/>
          <w:sz w:val="24"/>
          <w:szCs w:val="24"/>
        </w:rPr>
        <w:t xml:space="preserve">Difficulty with the order of letters in </w:t>
      </w:r>
      <w:r w:rsidR="00FF0E08" w:rsidRPr="00605A07">
        <w:rPr>
          <w:rFonts w:ascii="Open Sans" w:hAnsi="Open Sans" w:cs="Open Sans"/>
          <w:sz w:val="24"/>
          <w:szCs w:val="24"/>
        </w:rPr>
        <w:t>words</w:t>
      </w:r>
    </w:p>
    <w:p w14:paraId="589FA06A" w14:textId="5FC232A8" w:rsidR="00FF0E08" w:rsidRPr="00605A07" w:rsidRDefault="00FF0E08" w:rsidP="007E5D38">
      <w:pPr>
        <w:jc w:val="both"/>
        <w:rPr>
          <w:rFonts w:ascii="Open Sans" w:hAnsi="Open Sans" w:cs="Open Sans"/>
          <w:sz w:val="24"/>
          <w:szCs w:val="24"/>
        </w:rPr>
      </w:pPr>
      <w:r w:rsidRPr="00605A07">
        <w:rPr>
          <w:rFonts w:ascii="Open Sans" w:hAnsi="Open Sans" w:cs="Open Sans"/>
          <w:sz w:val="24"/>
          <w:szCs w:val="24"/>
        </w:rPr>
        <w:t>These impact the way a presentation could be interpreted and understood, resulting in misunderstanding written content, difficulty reading quickly and difficulty with large blocks of text.</w:t>
      </w:r>
    </w:p>
    <w:p w14:paraId="381E4540" w14:textId="7CB9BC2C" w:rsidR="00CA6307" w:rsidRPr="00605A07" w:rsidRDefault="00CA6307" w:rsidP="007E5D38">
      <w:pPr>
        <w:jc w:val="both"/>
        <w:rPr>
          <w:rFonts w:ascii="Open Sans" w:hAnsi="Open Sans" w:cs="Open Sans"/>
        </w:rPr>
      </w:pPr>
      <w:r w:rsidRPr="00605A07">
        <w:rPr>
          <w:rFonts w:ascii="Open Sans" w:hAnsi="Open Sans" w:cs="Open Sans"/>
        </w:rPr>
        <w:t>(nhs.uk, 2018)</w:t>
      </w:r>
      <w:r w:rsidRPr="00605A07">
        <w:rPr>
          <w:rFonts w:ascii="Open Sans" w:hAnsi="Open Sans" w:cs="Open Sans"/>
        </w:rPr>
        <w:t xml:space="preserve"> </w:t>
      </w:r>
    </w:p>
    <w:p w14:paraId="43DA90BB" w14:textId="10989F42" w:rsidR="00730480" w:rsidRPr="00605A07" w:rsidRDefault="00730480" w:rsidP="007E5D38">
      <w:pPr>
        <w:pStyle w:val="Heading3"/>
        <w:jc w:val="both"/>
        <w:rPr>
          <w:rStyle w:val="Heading3Char"/>
          <w:rFonts w:ascii="Open Sans" w:hAnsi="Open Sans" w:cs="Open Sans"/>
          <w:sz w:val="24"/>
          <w:szCs w:val="24"/>
        </w:rPr>
      </w:pPr>
      <w:r w:rsidRPr="00605A07">
        <w:rPr>
          <w:rFonts w:ascii="Open Sans" w:hAnsi="Open Sans" w:cs="Open Sans"/>
          <w:caps w:val="0"/>
          <w:sz w:val="24"/>
          <w:szCs w:val="24"/>
        </w:rPr>
        <w:t>Orient</w:t>
      </w:r>
    </w:p>
    <w:p w14:paraId="5FD16445" w14:textId="277402C9" w:rsidR="00730480" w:rsidRPr="00605A07" w:rsidRDefault="007E5D38" w:rsidP="007E5D38">
      <w:pPr>
        <w:tabs>
          <w:tab w:val="left" w:pos="1249"/>
        </w:tabs>
        <w:jc w:val="both"/>
        <w:rPr>
          <w:rFonts w:ascii="Open Sans" w:hAnsi="Open Sans" w:cs="Open Sans"/>
        </w:rPr>
      </w:pPr>
      <w:r w:rsidRPr="00605A07">
        <w:rPr>
          <w:rFonts w:ascii="Open Sans" w:hAnsi="Open Sans" w:cs="Open Sans"/>
          <w:sz w:val="24"/>
          <w:szCs w:val="24"/>
        </w:rPr>
        <w:t xml:space="preserve">There are multiple fonts (most notably Dyslexie and OpenDyslexic) that supposedly help with readability and the letter shifting that dyslexia usually causes, allowing for easier understanding and reading. This would help with the legibility of written text, however it provides no insight into how text should be displayed or whether it should be high contrast or split into smaller, concise sentences. </w:t>
      </w:r>
      <w:r w:rsidR="00A322F7" w:rsidRPr="00605A07">
        <w:rPr>
          <w:rFonts w:ascii="Open Sans" w:hAnsi="Open Sans" w:cs="Open Sans"/>
        </w:rPr>
        <w:t xml:space="preserve">(Dyslexiefont.com, </w:t>
      </w:r>
      <w:r w:rsidR="00A322F7" w:rsidRPr="00605A07">
        <w:rPr>
          <w:rFonts w:ascii="Open Sans" w:hAnsi="Open Sans" w:cs="Open Sans"/>
        </w:rPr>
        <w:t>2017</w:t>
      </w:r>
      <w:r w:rsidR="00A322F7" w:rsidRPr="00605A07">
        <w:rPr>
          <w:rFonts w:ascii="Open Sans" w:hAnsi="Open Sans" w:cs="Open Sans"/>
        </w:rPr>
        <w:t>)</w:t>
      </w:r>
      <w:r w:rsidR="00A322F7" w:rsidRPr="00605A07">
        <w:rPr>
          <w:rFonts w:ascii="Open Sans" w:hAnsi="Open Sans" w:cs="Open Sans"/>
        </w:rPr>
        <w:t xml:space="preserve"> </w:t>
      </w:r>
      <w:r w:rsidR="00A322F7" w:rsidRPr="00605A07">
        <w:rPr>
          <w:rFonts w:ascii="Open Sans" w:hAnsi="Open Sans" w:cs="Open Sans"/>
        </w:rPr>
        <w:t xml:space="preserve">(Opendyslexic.org, </w:t>
      </w:r>
      <w:r w:rsidR="00A322F7" w:rsidRPr="00605A07">
        <w:rPr>
          <w:rFonts w:ascii="Open Sans" w:hAnsi="Open Sans" w:cs="Open Sans"/>
        </w:rPr>
        <w:t>n.p.</w:t>
      </w:r>
      <w:r w:rsidR="00A322F7" w:rsidRPr="00605A07">
        <w:rPr>
          <w:rFonts w:ascii="Open Sans" w:hAnsi="Open Sans" w:cs="Open Sans"/>
        </w:rPr>
        <w:t>)</w:t>
      </w:r>
    </w:p>
    <w:p w14:paraId="289BA17A" w14:textId="6007BC1E" w:rsidR="00A322F7" w:rsidRPr="00605A07" w:rsidRDefault="00A322F7" w:rsidP="007E5D38">
      <w:pPr>
        <w:tabs>
          <w:tab w:val="left" w:pos="1249"/>
        </w:tabs>
        <w:jc w:val="both"/>
        <w:rPr>
          <w:rFonts w:ascii="Open Sans" w:hAnsi="Open Sans" w:cs="Open Sans"/>
          <w:sz w:val="24"/>
          <w:szCs w:val="24"/>
        </w:rPr>
      </w:pPr>
      <w:r w:rsidRPr="00605A07">
        <w:rPr>
          <w:rFonts w:ascii="Open Sans" w:hAnsi="Open Sans" w:cs="Open Sans"/>
          <w:sz w:val="24"/>
          <w:szCs w:val="24"/>
        </w:rPr>
        <w:lastRenderedPageBreak/>
        <w:t xml:space="preserve">As well as this, there are </w:t>
      </w:r>
      <w:r w:rsidR="005F1D26" w:rsidRPr="00605A07">
        <w:rPr>
          <w:rFonts w:ascii="Open Sans" w:hAnsi="Open Sans" w:cs="Open Sans"/>
          <w:sz w:val="24"/>
          <w:szCs w:val="24"/>
        </w:rPr>
        <w:t>guides for making information more accessible for dyslexia, providing information such as;</w:t>
      </w:r>
    </w:p>
    <w:p w14:paraId="0E1F4113" w14:textId="1038DE8A"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single colour backgrounds. Avoid background patterns or pictures and distracting surrounds.</w:t>
      </w:r>
    </w:p>
    <w:p w14:paraId="70BE104C" w14:textId="00BDBCA9"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sufficient contrast levels between background and text.</w:t>
      </w:r>
    </w:p>
    <w:p w14:paraId="09FB3F18" w14:textId="6CCDCF75"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 xml:space="preserve">Font size should be 12-14 point or equivalent (e.g. 1-1.2em / 16-19 px). </w:t>
      </w:r>
    </w:p>
    <w:p w14:paraId="54F11528" w14:textId="6592BE3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Larger line spacing improves readability and should be proportional to inter-word spacing; 1.5/150% is preferable.</w:t>
      </w:r>
    </w:p>
    <w:p w14:paraId="499796B9" w14:textId="2E9CA96D"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Use short, simple sentences in a direct style.</w:t>
      </w:r>
    </w:p>
    <w:p w14:paraId="4B1C800E" w14:textId="240DCFB4"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Be concise; avoid using long, dense paragraphs.</w:t>
      </w:r>
    </w:p>
    <w:p w14:paraId="40E5EF14" w14:textId="44687B93" w:rsidR="00FB32D2" w:rsidRPr="00605A07" w:rsidRDefault="00FB32D2" w:rsidP="00FB32D2">
      <w:pPr>
        <w:pStyle w:val="ListParagraph"/>
        <w:numPr>
          <w:ilvl w:val="0"/>
          <w:numId w:val="4"/>
        </w:numPr>
        <w:tabs>
          <w:tab w:val="left" w:pos="1249"/>
        </w:tabs>
        <w:jc w:val="both"/>
        <w:rPr>
          <w:rFonts w:ascii="Open Sans" w:hAnsi="Open Sans" w:cs="Open Sans"/>
          <w:i/>
          <w:iCs/>
          <w:sz w:val="24"/>
          <w:szCs w:val="24"/>
        </w:rPr>
      </w:pPr>
      <w:r w:rsidRPr="00605A07">
        <w:rPr>
          <w:rFonts w:ascii="Open Sans" w:hAnsi="Open Sans" w:cs="Open Sans"/>
          <w:i/>
          <w:iCs/>
          <w:sz w:val="24"/>
          <w:szCs w:val="24"/>
        </w:rPr>
        <w:t>Left align text, without justification.</w:t>
      </w:r>
    </w:p>
    <w:p w14:paraId="446A0C0A" w14:textId="58FFD565" w:rsidR="005F1D26" w:rsidRPr="00605A07" w:rsidRDefault="00FB32D2" w:rsidP="005F1D26">
      <w:pPr>
        <w:tabs>
          <w:tab w:val="left" w:pos="1249"/>
        </w:tabs>
        <w:jc w:val="both"/>
        <w:rPr>
          <w:rFonts w:ascii="Open Sans" w:hAnsi="Open Sans" w:cs="Open Sans"/>
          <w:b/>
          <w:bCs/>
          <w:sz w:val="24"/>
          <w:szCs w:val="24"/>
        </w:rPr>
      </w:pPr>
      <w:r w:rsidRPr="00605A07">
        <w:rPr>
          <w:rFonts w:ascii="Open Sans" w:hAnsi="Open Sans" w:cs="Open Sans"/>
          <w:sz w:val="24"/>
          <w:szCs w:val="24"/>
        </w:rPr>
        <w:t xml:space="preserve">Quoted from </w:t>
      </w:r>
      <w:r w:rsidRPr="00605A07">
        <w:rPr>
          <w:rFonts w:ascii="Open Sans" w:hAnsi="Open Sans" w:cs="Open Sans"/>
          <w:i/>
          <w:iCs/>
          <w:sz w:val="24"/>
          <w:szCs w:val="24"/>
        </w:rPr>
        <w:t>Dyslexia friendly style guide</w:t>
      </w:r>
      <w:r w:rsidRPr="00605A07">
        <w:rPr>
          <w:rFonts w:ascii="Open Sans" w:hAnsi="Open Sans" w:cs="Open Sans"/>
          <w:sz w:val="24"/>
          <w:szCs w:val="24"/>
        </w:rPr>
        <w:t>.</w:t>
      </w:r>
      <w:r w:rsidRPr="00605A07">
        <w:rPr>
          <w:rFonts w:ascii="Open Sans" w:hAnsi="Open Sans" w:cs="Open Sans"/>
          <w:sz w:val="24"/>
          <w:szCs w:val="24"/>
        </w:rPr>
        <w:t xml:space="preserve"> </w:t>
      </w:r>
      <w:r w:rsidRPr="00605A07">
        <w:rPr>
          <w:rFonts w:ascii="Open Sans" w:hAnsi="Open Sans" w:cs="Open Sans"/>
        </w:rPr>
        <w:t>(British Dyslexia Association, 2018)</w:t>
      </w:r>
    </w:p>
    <w:p w14:paraId="19C89F3A" w14:textId="25AB05D4" w:rsidR="005F1D26" w:rsidRPr="00605A07" w:rsidRDefault="005F1D26" w:rsidP="005F1D26">
      <w:pPr>
        <w:tabs>
          <w:tab w:val="left" w:pos="1249"/>
        </w:tabs>
        <w:jc w:val="both"/>
        <w:rPr>
          <w:rFonts w:ascii="Open Sans" w:hAnsi="Open Sans" w:cs="Open Sans"/>
          <w:sz w:val="24"/>
          <w:szCs w:val="24"/>
        </w:rPr>
      </w:pPr>
      <w:r w:rsidRPr="00605A07">
        <w:rPr>
          <w:rFonts w:ascii="Open Sans" w:hAnsi="Open Sans" w:cs="Open Sans"/>
          <w:sz w:val="24"/>
          <w:szCs w:val="24"/>
        </w:rPr>
        <w:t xml:space="preserve">Style guides such as these are important in showing correct procedures for dyslexia accessibility, as they </w:t>
      </w:r>
      <w:r w:rsidR="00FB32D2" w:rsidRPr="00605A07">
        <w:rPr>
          <w:rFonts w:ascii="Open Sans" w:hAnsi="Open Sans" w:cs="Open Sans"/>
          <w:sz w:val="24"/>
          <w:szCs w:val="24"/>
        </w:rPr>
        <w:t>provide information about how text can be made more readable, and how things can be written differently or rephrased to be more understandable.</w:t>
      </w:r>
    </w:p>
    <w:p w14:paraId="5181AF41" w14:textId="36167902"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39CF3497" w14:textId="7EF4B41A" w:rsidR="00730480" w:rsidRPr="00605A07" w:rsidRDefault="00FB32D2" w:rsidP="007E5D38">
      <w:pPr>
        <w:jc w:val="both"/>
        <w:rPr>
          <w:rFonts w:ascii="Open Sans" w:hAnsi="Open Sans" w:cs="Open Sans"/>
          <w:sz w:val="24"/>
          <w:szCs w:val="24"/>
        </w:rPr>
      </w:pPr>
      <w:r w:rsidRPr="00605A07">
        <w:rPr>
          <w:rFonts w:ascii="Open Sans" w:hAnsi="Open Sans" w:cs="Open Sans"/>
          <w:sz w:val="24"/>
          <w:szCs w:val="24"/>
        </w:rPr>
        <w:t xml:space="preserve">Following a dyslexia style guide, like the one from the British Dyslexia Association, seems like the most significant thing that can be done to help with dyslexia accessibility, as it provides explicit instructions as to how information should be presented. A font such as Dyslexie or OpenDyslexic might be useful, however in this application it would likely not look professional or add much to the readability over the additions from a style guide, and as such is not worth implementing in this case. </w:t>
      </w:r>
    </w:p>
    <w:p w14:paraId="65C7527D" w14:textId="39F74ACB"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Dyspraxia</w:t>
      </w:r>
    </w:p>
    <w:p w14:paraId="0FA2AB15" w14:textId="330C6A4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3AEDE5C1" w14:textId="4B19FC82" w:rsidR="0078641D" w:rsidRPr="00605A07" w:rsidRDefault="004B3604" w:rsidP="007E5D38">
      <w:pPr>
        <w:jc w:val="both"/>
        <w:rPr>
          <w:rFonts w:ascii="Open Sans" w:hAnsi="Open Sans" w:cs="Open Sans"/>
          <w:sz w:val="24"/>
          <w:szCs w:val="24"/>
        </w:rPr>
      </w:pPr>
      <w:r w:rsidRPr="00605A07">
        <w:rPr>
          <w:rFonts w:ascii="Open Sans" w:hAnsi="Open Sans" w:cs="Open Sans"/>
          <w:sz w:val="24"/>
          <w:szCs w:val="24"/>
        </w:rPr>
        <w:t xml:space="preserve">Dyspraxia, or Developmental Co-ordination Disorder, affects co-ordination, balance, </w:t>
      </w:r>
      <w:r w:rsidR="0078641D" w:rsidRPr="00605A07">
        <w:rPr>
          <w:rFonts w:ascii="Open Sans" w:hAnsi="Open Sans" w:cs="Open Sans"/>
          <w:sz w:val="24"/>
          <w:szCs w:val="24"/>
        </w:rPr>
        <w:t xml:space="preserve">learning skills, and time management. Generally it’s strongest in children, as it’s a developmental disorder rather than a lifelong condition, however it sometimes has impacts later on into someone’s life, such as difficulty writing, typing, drawing, and playing in sports. </w:t>
      </w:r>
      <w:r w:rsidR="0078641D" w:rsidRPr="00605A07">
        <w:rPr>
          <w:rFonts w:ascii="Open Sans" w:hAnsi="Open Sans" w:cs="Open Sans"/>
        </w:rPr>
        <w:t>(nhs.uk, 2017)</w:t>
      </w:r>
    </w:p>
    <w:p w14:paraId="51B7F07B" w14:textId="357BA575"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17641D96" w14:textId="77777777" w:rsidR="0078641D" w:rsidRPr="00605A07" w:rsidRDefault="0078641D" w:rsidP="0078641D">
      <w:pPr>
        <w:jc w:val="both"/>
        <w:rPr>
          <w:rFonts w:ascii="Open Sans" w:hAnsi="Open Sans" w:cs="Open Sans"/>
          <w:sz w:val="24"/>
          <w:szCs w:val="24"/>
        </w:rPr>
      </w:pPr>
      <w:r w:rsidRPr="0078641D">
        <w:rPr>
          <w:rFonts w:ascii="Open Sans" w:hAnsi="Open Sans" w:cs="Open Sans"/>
          <w:sz w:val="24"/>
          <w:szCs w:val="24"/>
        </w:rPr>
        <w:t xml:space="preserve">This could potentially impact group activities, as well as understanding processes explained in the presentation. Group activities that rely on co-ordination, like throwing around a ball with writing on it for an example, likely wouldn’t be possible. </w:t>
      </w:r>
      <w:r w:rsidRPr="00605A07">
        <w:rPr>
          <w:rFonts w:ascii="Open Sans" w:hAnsi="Open Sans" w:cs="Open Sans"/>
          <w:sz w:val="24"/>
          <w:szCs w:val="24"/>
        </w:rPr>
        <w:t>Additionally, complex procedures and lists may be difficult to interpret, understand, or remember, like with Dyslexia.</w:t>
      </w:r>
    </w:p>
    <w:p w14:paraId="0AB5AD3B" w14:textId="2691B99A" w:rsidR="0078641D" w:rsidRPr="00605A07" w:rsidRDefault="0078641D" w:rsidP="0078641D">
      <w:pPr>
        <w:jc w:val="both"/>
        <w:rPr>
          <w:rFonts w:ascii="Open Sans" w:hAnsi="Open Sans" w:cs="Open Sans"/>
          <w:sz w:val="24"/>
          <w:szCs w:val="24"/>
        </w:rPr>
      </w:pPr>
      <w:r w:rsidRPr="00605A07">
        <w:rPr>
          <w:rFonts w:ascii="Open Sans" w:hAnsi="Open Sans" w:cs="Open Sans"/>
          <w:sz w:val="24"/>
          <w:szCs w:val="24"/>
        </w:rPr>
        <w:t>One of the biggest impacts that could affect the presentation regards writing. Group tasks that involve writing down ideas, for example, may be difficult or impossible, and expecting someone with dyspraxia to take part in this type of activity isn’t reasonable. However, this could be circumvented by assigning someone as a designated writer, who is known not to have difficulty writing.</w:t>
      </w:r>
    </w:p>
    <w:p w14:paraId="3A4213CB" w14:textId="3FED2AEB"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1A2C8016" w14:textId="54153016" w:rsidR="00730480" w:rsidRPr="00605A07" w:rsidRDefault="00CE5E5C" w:rsidP="007E5D38">
      <w:pPr>
        <w:jc w:val="both"/>
        <w:rPr>
          <w:rFonts w:ascii="Open Sans" w:hAnsi="Open Sans" w:cs="Open Sans"/>
          <w:sz w:val="24"/>
          <w:szCs w:val="24"/>
        </w:rPr>
      </w:pPr>
      <w:r w:rsidRPr="00605A07">
        <w:rPr>
          <w:rFonts w:ascii="Open Sans" w:hAnsi="Open Sans" w:cs="Open Sans"/>
          <w:sz w:val="24"/>
          <w:szCs w:val="24"/>
        </w:rPr>
        <w:t>The general issues that this condition present mostly involve group work activities, which means that consideration needs to be taken for each group task. A potential solution would be using tablets or laptops instead of pen and paper; however, this isn’t incredibly accessible with Dyslexia. Another method could involve the presenter writing down information presented by groups instead.</w:t>
      </w:r>
    </w:p>
    <w:p w14:paraId="4BE2A0D8" w14:textId="6CB2C5A1" w:rsidR="00CE5E5C" w:rsidRPr="00605A07" w:rsidRDefault="00CE5E5C" w:rsidP="007E5D38">
      <w:pPr>
        <w:jc w:val="both"/>
        <w:rPr>
          <w:rFonts w:ascii="Open Sans" w:hAnsi="Open Sans" w:cs="Open Sans"/>
          <w:sz w:val="24"/>
          <w:szCs w:val="24"/>
        </w:rPr>
      </w:pPr>
      <w:r w:rsidRPr="00605A07">
        <w:rPr>
          <w:rFonts w:ascii="Open Sans" w:hAnsi="Open Sans" w:cs="Open Sans"/>
          <w:sz w:val="24"/>
          <w:szCs w:val="24"/>
        </w:rPr>
        <w:t>As well as this, any group work involving physical dexterity should be avoided, a good example being the concept of passing a ball with written information on it around the group. Instead, a visual demonstration within the presentation or on an interactive board could be used instead.</w:t>
      </w:r>
    </w:p>
    <w:p w14:paraId="3783ACE7" w14:textId="272ACE17" w:rsidR="00730480" w:rsidRPr="00605A07" w:rsidRDefault="00730480" w:rsidP="007E5D38">
      <w:pPr>
        <w:pStyle w:val="Heading1"/>
        <w:jc w:val="both"/>
        <w:rPr>
          <w:rFonts w:ascii="Open Sans" w:hAnsi="Open Sans" w:cs="Open Sans"/>
          <w:sz w:val="24"/>
          <w:szCs w:val="24"/>
        </w:rPr>
      </w:pPr>
      <w:r w:rsidRPr="00605A07">
        <w:rPr>
          <w:rFonts w:ascii="Open Sans" w:hAnsi="Open Sans" w:cs="Open Sans"/>
          <w:caps w:val="0"/>
          <w:sz w:val="24"/>
          <w:szCs w:val="24"/>
        </w:rPr>
        <w:t>Colour-blindness</w:t>
      </w:r>
    </w:p>
    <w:p w14:paraId="69EB3D04" w14:textId="6547C8D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Observe</w:t>
      </w:r>
    </w:p>
    <w:p w14:paraId="26A90B03" w14:textId="34146FEA" w:rsidR="001B25D6" w:rsidRPr="00605A07" w:rsidRDefault="00CE5E5C" w:rsidP="007E5D38">
      <w:pPr>
        <w:jc w:val="both"/>
        <w:rPr>
          <w:rFonts w:ascii="Open Sans" w:hAnsi="Open Sans" w:cs="Open Sans"/>
          <w:sz w:val="24"/>
          <w:szCs w:val="24"/>
        </w:rPr>
      </w:pPr>
      <w:r w:rsidRPr="00605A07">
        <w:rPr>
          <w:rFonts w:ascii="Open Sans" w:hAnsi="Open Sans" w:cs="Open Sans"/>
          <w:sz w:val="24"/>
          <w:szCs w:val="24"/>
        </w:rPr>
        <w:t>There are many varieties of colour-blindness, all of which fit under the following terms; anomalous trichromacy, dichromacy, and monochromacy. T</w:t>
      </w:r>
      <w:r w:rsidR="001B25D6" w:rsidRPr="00605A07">
        <w:rPr>
          <w:rFonts w:ascii="Open Sans" w:hAnsi="Open Sans" w:cs="Open Sans"/>
          <w:sz w:val="24"/>
          <w:szCs w:val="24"/>
        </w:rPr>
        <w:t xml:space="preserve">he differences between these terms relate to the perception of colour that an individual has, however all of the varieties involve altered or diminished colour differentiation. </w:t>
      </w:r>
      <w:r w:rsidR="001B25D6" w:rsidRPr="00605A07">
        <w:rPr>
          <w:rFonts w:ascii="Open Sans" w:hAnsi="Open Sans" w:cs="Open Sans"/>
        </w:rPr>
        <w:t>(Colour Blind Awareness, n.d.)</w:t>
      </w:r>
    </w:p>
    <w:p w14:paraId="71F75FF1" w14:textId="6ECD785A" w:rsidR="00730480" w:rsidRPr="00605A07" w:rsidRDefault="001B25D6" w:rsidP="007E5D38">
      <w:pPr>
        <w:jc w:val="both"/>
        <w:rPr>
          <w:rFonts w:ascii="Open Sans" w:hAnsi="Open Sans" w:cs="Open Sans"/>
          <w:sz w:val="24"/>
          <w:szCs w:val="24"/>
        </w:rPr>
      </w:pPr>
      <w:r w:rsidRPr="00605A07">
        <w:rPr>
          <w:rFonts w:ascii="Open Sans" w:hAnsi="Open Sans" w:cs="Open Sans"/>
          <w:sz w:val="24"/>
          <w:szCs w:val="24"/>
        </w:rPr>
        <w:t>T</w:t>
      </w:r>
      <w:r w:rsidR="00497567" w:rsidRPr="00605A07">
        <w:rPr>
          <w:rFonts w:ascii="Open Sans" w:hAnsi="Open Sans" w:cs="Open Sans"/>
          <w:sz w:val="24"/>
          <w:szCs w:val="24"/>
        </w:rPr>
        <w:t>he specific varieties of colour-blindness specify which colours of light someone can perceive properly, which applies in every case except for monochromacy.</w:t>
      </w:r>
      <w:r w:rsidRPr="00605A07">
        <w:rPr>
          <w:rFonts w:ascii="Open Sans" w:hAnsi="Open Sans" w:cs="Open Sans"/>
        </w:rPr>
        <w:t xml:space="preserve"> </w:t>
      </w:r>
      <w:r w:rsidRPr="00605A07">
        <w:rPr>
          <w:rFonts w:ascii="Open Sans" w:hAnsi="Open Sans" w:cs="Open Sans"/>
        </w:rPr>
        <w:t>(nhs.uk, 2019)</w:t>
      </w:r>
    </w:p>
    <w:p w14:paraId="359BFE37" w14:textId="20129BC0"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lastRenderedPageBreak/>
        <w:t>Orient</w:t>
      </w:r>
    </w:p>
    <w:p w14:paraId="48A05336" w14:textId="2B4E3EC1" w:rsidR="00730480" w:rsidRPr="00605A07" w:rsidRDefault="00497567" w:rsidP="007E5D38">
      <w:pPr>
        <w:jc w:val="both"/>
        <w:rPr>
          <w:rFonts w:ascii="Open Sans" w:hAnsi="Open Sans" w:cs="Open Sans"/>
          <w:sz w:val="24"/>
          <w:szCs w:val="24"/>
        </w:rPr>
      </w:pPr>
      <w:r w:rsidRPr="00605A07">
        <w:rPr>
          <w:rFonts w:ascii="Open Sans" w:hAnsi="Open Sans" w:cs="Open Sans"/>
          <w:sz w:val="24"/>
          <w:szCs w:val="24"/>
        </w:rPr>
        <w:t xml:space="preserve">Similar to Dyslexia, there’s style guides that specify colour combinations that can be used for specific types of colour-blindness. As well as this, there’s multiple guides that specify using colours with different contrast, as well as using monochromatic designs. Another solution to this is to not use colour as the sole method of communicating information, instead also utilising patterns or icons or textures. </w:t>
      </w:r>
      <w:r w:rsidRPr="00605A07">
        <w:rPr>
          <w:rFonts w:ascii="Open Sans" w:hAnsi="Open Sans" w:cs="Open Sans"/>
        </w:rPr>
        <w:t>(Krzywinski, n.d.)</w:t>
      </w:r>
      <w:r w:rsidRPr="00605A07">
        <w:rPr>
          <w:rFonts w:ascii="Open Sans" w:hAnsi="Open Sans" w:cs="Open Sans"/>
        </w:rPr>
        <w:t xml:space="preserve"> </w:t>
      </w:r>
      <w:r w:rsidRPr="00605A07">
        <w:rPr>
          <w:rFonts w:ascii="Open Sans" w:hAnsi="Open Sans" w:cs="Open Sans"/>
        </w:rPr>
        <w:t>(Cravit, 2019)</w:t>
      </w:r>
      <w:r w:rsidRPr="00605A07">
        <w:rPr>
          <w:rFonts w:ascii="Open Sans" w:hAnsi="Open Sans" w:cs="Open Sans"/>
        </w:rPr>
        <w:t xml:space="preserve"> </w:t>
      </w:r>
      <w:r w:rsidRPr="00605A07">
        <w:rPr>
          <w:rFonts w:ascii="Open Sans" w:hAnsi="Open Sans" w:cs="Open Sans"/>
        </w:rPr>
        <w:t>(DesignMatic, n.d.)</w:t>
      </w:r>
    </w:p>
    <w:p w14:paraId="5B3B2E1C" w14:textId="040004FF" w:rsidR="00730480" w:rsidRPr="00605A07" w:rsidRDefault="00730480" w:rsidP="007E5D38">
      <w:pPr>
        <w:pStyle w:val="Heading3"/>
        <w:jc w:val="both"/>
        <w:rPr>
          <w:rFonts w:ascii="Open Sans" w:hAnsi="Open Sans" w:cs="Open Sans"/>
          <w:sz w:val="24"/>
          <w:szCs w:val="24"/>
        </w:rPr>
      </w:pPr>
      <w:r w:rsidRPr="00605A07">
        <w:rPr>
          <w:rFonts w:ascii="Open Sans" w:hAnsi="Open Sans" w:cs="Open Sans"/>
          <w:caps w:val="0"/>
          <w:sz w:val="24"/>
          <w:szCs w:val="24"/>
        </w:rPr>
        <w:t>Decide/act</w:t>
      </w:r>
    </w:p>
    <w:p w14:paraId="7969F23D" w14:textId="5F7E6550" w:rsidR="00730480" w:rsidRPr="00605A07" w:rsidRDefault="00DA0BF8" w:rsidP="00C65B9E">
      <w:pPr>
        <w:jc w:val="both"/>
        <w:rPr>
          <w:rFonts w:ascii="Open Sans" w:hAnsi="Open Sans" w:cs="Open Sans"/>
          <w:sz w:val="24"/>
          <w:szCs w:val="24"/>
        </w:rPr>
      </w:pPr>
      <w:r w:rsidRPr="00605A07">
        <w:rPr>
          <w:rFonts w:ascii="Open Sans" w:hAnsi="Open Sans" w:cs="Open Sans"/>
          <w:sz w:val="24"/>
          <w:szCs w:val="24"/>
        </w:rPr>
        <w:t xml:space="preserve">This links with the decision and action in the dyslexia section of this account, in that the most obvious and simple method of accounting for colour-blindness is to use a set of guidelines and rules that provide safe colour combinations and alternatives to colour. Diagrams that rely on colour will also have a pattern or symbol to help differentiate, and background colours and text colours will be considered for legibility and contrast. </w:t>
      </w:r>
      <w:r w:rsidR="00730480" w:rsidRPr="00605A07">
        <w:rPr>
          <w:rFonts w:ascii="Open Sans" w:hAnsi="Open Sans" w:cs="Open Sans"/>
        </w:rPr>
        <w:br w:type="page"/>
      </w:r>
    </w:p>
    <w:p w14:paraId="23068BA0" w14:textId="78D910DE" w:rsidR="00730480" w:rsidRPr="00605A07" w:rsidRDefault="00C37C8C" w:rsidP="007E5D38">
      <w:pPr>
        <w:pStyle w:val="Heading5"/>
        <w:jc w:val="both"/>
        <w:rPr>
          <w:rFonts w:ascii="Open Sans" w:hAnsi="Open Sans" w:cs="Open Sans"/>
          <w:sz w:val="24"/>
          <w:szCs w:val="24"/>
        </w:rPr>
      </w:pPr>
      <w:r w:rsidRPr="00605A07">
        <w:rPr>
          <w:rFonts w:ascii="Open Sans" w:hAnsi="Open Sans" w:cs="Open Sans"/>
          <w:caps w:val="0"/>
          <w:sz w:val="24"/>
          <w:szCs w:val="24"/>
        </w:rPr>
        <w:lastRenderedPageBreak/>
        <w:t>Biblio</w:t>
      </w:r>
      <w:bookmarkStart w:id="0" w:name="_GoBack"/>
      <w:bookmarkEnd w:id="0"/>
      <w:r w:rsidRPr="00605A07">
        <w:rPr>
          <w:rFonts w:ascii="Open Sans" w:hAnsi="Open Sans" w:cs="Open Sans"/>
          <w:caps w:val="0"/>
          <w:sz w:val="24"/>
          <w:szCs w:val="24"/>
        </w:rPr>
        <w:t>graphy</w:t>
      </w:r>
    </w:p>
    <w:p w14:paraId="511285E9" w14:textId="00287A47" w:rsidR="00D374CB" w:rsidRPr="00605A07" w:rsidRDefault="00D374CB" w:rsidP="007E5D38">
      <w:pPr>
        <w:rPr>
          <w:rFonts w:ascii="Open Sans" w:hAnsi="Open Sans" w:cs="Open Sans"/>
        </w:rPr>
      </w:pPr>
      <w:r w:rsidRPr="00605A07">
        <w:rPr>
          <w:rFonts w:ascii="Open Sans" w:hAnsi="Open Sans" w:cs="Open Sans"/>
        </w:rPr>
        <w:t xml:space="preserve">Mulder, P. (2017). </w:t>
      </w:r>
      <w:r w:rsidRPr="00605A07">
        <w:rPr>
          <w:rFonts w:ascii="Open Sans" w:hAnsi="Open Sans" w:cs="Open Sans"/>
          <w:i/>
          <w:iCs/>
        </w:rPr>
        <w:t>OODA Loop</w:t>
      </w:r>
      <w:r w:rsidRPr="00605A07">
        <w:rPr>
          <w:rFonts w:ascii="Open Sans" w:hAnsi="Open Sans" w:cs="Open Sans"/>
        </w:rPr>
        <w:t>. [online] toolshero. Available at:</w:t>
      </w:r>
      <w:r w:rsidRPr="00605A07">
        <w:rPr>
          <w:rFonts w:ascii="Open Sans" w:hAnsi="Open Sans" w:cs="Open Sans"/>
        </w:rPr>
        <w:br/>
      </w:r>
      <w:r w:rsidRPr="00605A07">
        <w:rPr>
          <w:rFonts w:ascii="Open Sans" w:hAnsi="Open Sans" w:cs="Open Sans"/>
        </w:rPr>
        <w:t>https://www.toolshero.com/decision-making/ooda-loop/ [Accessed 10 Oct. 2019].</w:t>
      </w:r>
    </w:p>
    <w:p w14:paraId="5BF89B57" w14:textId="5349CB8B" w:rsidR="00D51AF7" w:rsidRPr="00605A07" w:rsidRDefault="00D51AF7" w:rsidP="007E5D38">
      <w:pPr>
        <w:rPr>
          <w:rFonts w:ascii="Open Sans" w:hAnsi="Open Sans" w:cs="Open Sans"/>
        </w:rPr>
      </w:pPr>
      <w:r w:rsidRPr="00605A07">
        <w:rPr>
          <w:rFonts w:ascii="Open Sans" w:hAnsi="Open Sans" w:cs="Open Sans"/>
        </w:rPr>
        <w:t xml:space="preserve">Mindtools.com. (n.d.). </w:t>
      </w:r>
      <w:r w:rsidRPr="00605A07">
        <w:rPr>
          <w:rFonts w:ascii="Open Sans" w:hAnsi="Open Sans" w:cs="Open Sans"/>
          <w:i/>
          <w:iCs/>
        </w:rPr>
        <w:t>The GROW Model of Coaching and Mentoring</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https://www.mindtools.com/pages/article/newLDR_89.htm [Accessed 10 Oct. 2019].</w:t>
      </w:r>
    </w:p>
    <w:p w14:paraId="209803AE" w14:textId="3646FA2F" w:rsidR="00CA6307" w:rsidRPr="00605A07" w:rsidRDefault="00CA6307" w:rsidP="007E5D38">
      <w:pPr>
        <w:rPr>
          <w:rFonts w:ascii="Open Sans" w:hAnsi="Open Sans" w:cs="Open Sans"/>
        </w:rPr>
      </w:pPr>
      <w:r w:rsidRPr="00605A07">
        <w:rPr>
          <w:rFonts w:ascii="Open Sans" w:hAnsi="Open Sans" w:cs="Open Sans"/>
        </w:rPr>
        <w:t xml:space="preserve">nhs.uk. (2018). </w:t>
      </w:r>
      <w:r w:rsidRPr="00605A07">
        <w:rPr>
          <w:rFonts w:ascii="Open Sans" w:hAnsi="Open Sans" w:cs="Open Sans"/>
          <w:i/>
          <w:iCs/>
        </w:rPr>
        <w:t>Dyslexia</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https://www.nhs.uk/conditions/dyslexia/ [Accessed 10 Oct. 2019].</w:t>
      </w:r>
    </w:p>
    <w:p w14:paraId="775700AF" w14:textId="3520C0F5" w:rsidR="00CA6307" w:rsidRPr="00605A07" w:rsidRDefault="007E5D38" w:rsidP="007E5D38">
      <w:pPr>
        <w:rPr>
          <w:rFonts w:ascii="Open Sans" w:hAnsi="Open Sans" w:cs="Open Sans"/>
        </w:rPr>
      </w:pPr>
      <w:r w:rsidRPr="00605A07">
        <w:rPr>
          <w:rFonts w:ascii="Open Sans" w:hAnsi="Open Sans" w:cs="Open Sans"/>
        </w:rPr>
        <w:t>Dyslexiefont.com. (</w:t>
      </w:r>
      <w:r w:rsidRPr="00605A07">
        <w:rPr>
          <w:rFonts w:ascii="Open Sans" w:hAnsi="Open Sans" w:cs="Open Sans"/>
        </w:rPr>
        <w:t>2017</w:t>
      </w:r>
      <w:r w:rsidRPr="00605A07">
        <w:rPr>
          <w:rFonts w:ascii="Open Sans" w:hAnsi="Open Sans" w:cs="Open Sans"/>
        </w:rPr>
        <w:t xml:space="preserve">). </w:t>
      </w:r>
      <w:r w:rsidRPr="00605A07">
        <w:rPr>
          <w:rFonts w:ascii="Open Sans" w:hAnsi="Open Sans" w:cs="Open Sans"/>
          <w:i/>
          <w:iCs/>
        </w:rPr>
        <w:t>Dyslexie Font</w:t>
      </w:r>
      <w:r w:rsidRPr="00605A07">
        <w:rPr>
          <w:rFonts w:ascii="Open Sans" w:hAnsi="Open Sans" w:cs="Open Sans"/>
        </w:rPr>
        <w:t>. [online] Available at:</w:t>
      </w:r>
      <w:r w:rsidR="00A322F7" w:rsidRPr="00605A07">
        <w:rPr>
          <w:rFonts w:ascii="Open Sans" w:hAnsi="Open Sans" w:cs="Open Sans"/>
        </w:rPr>
        <w:br/>
      </w:r>
      <w:r w:rsidRPr="00605A07">
        <w:rPr>
          <w:rFonts w:ascii="Open Sans" w:hAnsi="Open Sans" w:cs="Open Sans"/>
        </w:rPr>
        <w:t>https://www.dyslexiefont.com/en/typeface/ [Accessed 10 Oct. 2019].</w:t>
      </w:r>
    </w:p>
    <w:p w14:paraId="44974AD9" w14:textId="099A2178" w:rsidR="00A322F7" w:rsidRPr="00605A07" w:rsidRDefault="00A322F7" w:rsidP="007E5D38">
      <w:pPr>
        <w:rPr>
          <w:rFonts w:ascii="Open Sans" w:hAnsi="Open Sans" w:cs="Open Sans"/>
        </w:rPr>
      </w:pPr>
      <w:r w:rsidRPr="00605A07">
        <w:rPr>
          <w:rFonts w:ascii="Open Sans" w:hAnsi="Open Sans" w:cs="Open Sans"/>
        </w:rPr>
        <w:t>Opendyslexic.org. (</w:t>
      </w:r>
      <w:r w:rsidRPr="00605A07">
        <w:rPr>
          <w:rFonts w:ascii="Open Sans" w:hAnsi="Open Sans" w:cs="Open Sans"/>
        </w:rPr>
        <w:t>n.d.</w:t>
      </w:r>
      <w:r w:rsidRPr="00605A07">
        <w:rPr>
          <w:rFonts w:ascii="Open Sans" w:hAnsi="Open Sans" w:cs="Open Sans"/>
        </w:rPr>
        <w:t xml:space="preserve">). </w:t>
      </w:r>
      <w:r w:rsidRPr="00605A07">
        <w:rPr>
          <w:rFonts w:ascii="Open Sans" w:hAnsi="Open Sans" w:cs="Open Sans"/>
          <w:i/>
          <w:iCs/>
        </w:rPr>
        <w:t>OpenDyslexic</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https://www.opendyslexic.org/ [Accessed 10 Oct. 2019].</w:t>
      </w:r>
    </w:p>
    <w:p w14:paraId="3200A06F" w14:textId="66FF050E" w:rsidR="005F1D26" w:rsidRPr="00605A07" w:rsidRDefault="00FB32D2" w:rsidP="00FB32D2">
      <w:pPr>
        <w:rPr>
          <w:rFonts w:ascii="Open Sans" w:hAnsi="Open Sans" w:cs="Open Sans"/>
        </w:rPr>
      </w:pPr>
      <w:r w:rsidRPr="00605A07">
        <w:rPr>
          <w:rFonts w:ascii="Open Sans" w:hAnsi="Open Sans" w:cs="Open Sans"/>
        </w:rPr>
        <w:t xml:space="preserve">British Dyslexia Association. (2018). </w:t>
      </w:r>
      <w:r w:rsidRPr="00605A07">
        <w:rPr>
          <w:rFonts w:ascii="Open Sans" w:hAnsi="Open Sans" w:cs="Open Sans"/>
          <w:i/>
          <w:iCs/>
        </w:rPr>
        <w:t>Dyslexia friendly style guide</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https://www.bdadyslexia.org.uk/advice/employers/creating-a-dyslexia-friendly-workplace/dyslexia-friendly-style-guide [Accessed 10 Oct. 2019].</w:t>
      </w:r>
    </w:p>
    <w:p w14:paraId="6071EA96" w14:textId="435CEEBF" w:rsidR="0078641D" w:rsidRPr="00605A07" w:rsidRDefault="0078641D" w:rsidP="00FB32D2">
      <w:pPr>
        <w:rPr>
          <w:rFonts w:ascii="Open Sans" w:hAnsi="Open Sans" w:cs="Open Sans"/>
        </w:rPr>
      </w:pPr>
      <w:r w:rsidRPr="00605A07">
        <w:rPr>
          <w:rFonts w:ascii="Open Sans" w:hAnsi="Open Sans" w:cs="Open Sans"/>
        </w:rPr>
        <w:t xml:space="preserve">nhs.uk. (2017). </w:t>
      </w:r>
      <w:r w:rsidRPr="00605A07">
        <w:rPr>
          <w:rFonts w:ascii="Open Sans" w:hAnsi="Open Sans" w:cs="Open Sans"/>
          <w:i/>
          <w:iCs/>
        </w:rPr>
        <w:t>Dyspraxia</w:t>
      </w:r>
      <w:r w:rsidRPr="00605A07">
        <w:rPr>
          <w:rFonts w:ascii="Open Sans" w:hAnsi="Open Sans" w:cs="Open Sans"/>
          <w:i/>
          <w:iCs/>
        </w:rPr>
        <w:t xml:space="preserve"> (Developmental Co-ordination Disorder)</w:t>
      </w:r>
      <w:r w:rsidRPr="00605A07">
        <w:rPr>
          <w:rFonts w:ascii="Open Sans" w:hAnsi="Open Sans" w:cs="Open Sans"/>
          <w:i/>
          <w:iCs/>
        </w:rPr>
        <w:t xml:space="preserve"> in adults</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https://www.nhs.uk/conditions/developmental-coordination-disorder-dyspraxia-in-adults/ [Accessed 10 Oct. 2019].</w:t>
      </w:r>
    </w:p>
    <w:p w14:paraId="5F3FE961" w14:textId="4066C009" w:rsidR="001B25D6" w:rsidRPr="00605A07" w:rsidRDefault="001B25D6" w:rsidP="00FB32D2">
      <w:pPr>
        <w:rPr>
          <w:rFonts w:ascii="Open Sans" w:hAnsi="Open Sans" w:cs="Open Sans"/>
        </w:rPr>
      </w:pPr>
      <w:r w:rsidRPr="00605A07">
        <w:rPr>
          <w:rFonts w:ascii="Open Sans" w:hAnsi="Open Sans" w:cs="Open Sans"/>
        </w:rPr>
        <w:t xml:space="preserve">Colour Blind Awareness. (n.d.). </w:t>
      </w:r>
      <w:r w:rsidRPr="00605A07">
        <w:rPr>
          <w:rFonts w:ascii="Open Sans" w:hAnsi="Open Sans" w:cs="Open Sans"/>
          <w:i/>
          <w:iCs/>
        </w:rPr>
        <w:t>Types of Colour Blindness</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http://www.colourblindawareness.org/colour-blindness/types-of-colour-blindness/ [Accessed 10 Oct. 2019].</w:t>
      </w:r>
    </w:p>
    <w:p w14:paraId="40E1F97A" w14:textId="769F1CF3" w:rsidR="001B25D6" w:rsidRPr="00605A07" w:rsidRDefault="001B25D6" w:rsidP="00FB32D2">
      <w:pPr>
        <w:rPr>
          <w:rFonts w:ascii="Open Sans" w:hAnsi="Open Sans" w:cs="Open Sans"/>
        </w:rPr>
      </w:pPr>
      <w:r w:rsidRPr="00605A07">
        <w:rPr>
          <w:rFonts w:ascii="Open Sans" w:hAnsi="Open Sans" w:cs="Open Sans"/>
        </w:rPr>
        <w:t xml:space="preserve">nhs.uk. (2019). </w:t>
      </w:r>
      <w:r w:rsidRPr="00605A07">
        <w:rPr>
          <w:rFonts w:ascii="Open Sans" w:hAnsi="Open Sans" w:cs="Open Sans"/>
          <w:i/>
          <w:iCs/>
        </w:rPr>
        <w:t>Colour vision deficiency (colour blindness)</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https://www.nhs.uk/conditions/Colour-vision-deficiency/ [Accessed 10 Oct. 2019].</w:t>
      </w:r>
    </w:p>
    <w:p w14:paraId="51269CF6" w14:textId="0D9FE18C" w:rsidR="00497567" w:rsidRPr="00605A07" w:rsidRDefault="00497567" w:rsidP="00FB32D2">
      <w:pPr>
        <w:rPr>
          <w:rFonts w:ascii="Open Sans" w:hAnsi="Open Sans" w:cs="Open Sans"/>
        </w:rPr>
      </w:pPr>
      <w:r w:rsidRPr="00605A07">
        <w:rPr>
          <w:rFonts w:ascii="Open Sans" w:hAnsi="Open Sans" w:cs="Open Sans"/>
        </w:rPr>
        <w:t xml:space="preserve">Krzywinski, M. (n.d.). </w:t>
      </w:r>
      <w:r w:rsidRPr="00605A07">
        <w:rPr>
          <w:rFonts w:ascii="Open Sans" w:hAnsi="Open Sans" w:cs="Open Sans"/>
          <w:i/>
          <w:iCs/>
        </w:rPr>
        <w:t>Color Palettes for Color Blindness</w:t>
      </w:r>
      <w:r w:rsidRPr="00605A07">
        <w:rPr>
          <w:rFonts w:ascii="Open Sans" w:hAnsi="Open Sans" w:cs="Open Sans"/>
        </w:rPr>
        <w:t xml:space="preserve">. [online] mkweb.bcgsc.ca. Available at: </w:t>
      </w:r>
      <w:r w:rsidRPr="00605A07">
        <w:rPr>
          <w:rFonts w:ascii="Open Sans" w:hAnsi="Open Sans" w:cs="Open Sans"/>
        </w:rPr>
        <w:br/>
      </w:r>
      <w:r w:rsidRPr="00605A07">
        <w:rPr>
          <w:rFonts w:ascii="Open Sans" w:hAnsi="Open Sans" w:cs="Open Sans"/>
        </w:rPr>
        <w:t>http://mkweb.bcgsc.ca/colorblind/ [Accessed 10 Oct. 2019].</w:t>
      </w:r>
    </w:p>
    <w:p w14:paraId="7F75F516" w14:textId="1A8E6E6D" w:rsidR="00497567" w:rsidRPr="00605A07" w:rsidRDefault="00497567" w:rsidP="00FB32D2">
      <w:pPr>
        <w:rPr>
          <w:rFonts w:ascii="Open Sans" w:hAnsi="Open Sans" w:cs="Open Sans"/>
        </w:rPr>
      </w:pPr>
      <w:r w:rsidRPr="00605A07">
        <w:rPr>
          <w:rFonts w:ascii="Open Sans" w:hAnsi="Open Sans" w:cs="Open Sans"/>
        </w:rPr>
        <w:t xml:space="preserve">Cravit, R. (2019). </w:t>
      </w:r>
      <w:r w:rsidRPr="00605A07">
        <w:rPr>
          <w:rFonts w:ascii="Open Sans" w:hAnsi="Open Sans" w:cs="Open Sans"/>
          <w:i/>
          <w:iCs/>
        </w:rPr>
        <w:t>How to Use Color Blind Friendly Palettes to Make Your Charts Accessible</w:t>
      </w:r>
      <w:r w:rsidRPr="00605A07">
        <w:rPr>
          <w:rFonts w:ascii="Open Sans" w:hAnsi="Open Sans" w:cs="Open Sans"/>
        </w:rPr>
        <w:t>. [online] Venngage. Available at:</w:t>
      </w:r>
      <w:r w:rsidRPr="00605A07">
        <w:rPr>
          <w:rFonts w:ascii="Open Sans" w:hAnsi="Open Sans" w:cs="Open Sans"/>
        </w:rPr>
        <w:br/>
      </w:r>
      <w:r w:rsidRPr="00605A07">
        <w:rPr>
          <w:rFonts w:ascii="Open Sans" w:hAnsi="Open Sans" w:cs="Open Sans"/>
        </w:rPr>
        <w:t>https://venngage.com/blog/color-blind-friendly-palette/ [Accessed 10 Oct. 2019].</w:t>
      </w:r>
    </w:p>
    <w:p w14:paraId="652EF88D" w14:textId="0D77B401" w:rsidR="00497567" w:rsidRPr="00605A07" w:rsidRDefault="00497567" w:rsidP="00FB32D2">
      <w:pPr>
        <w:rPr>
          <w:rFonts w:ascii="Open Sans" w:hAnsi="Open Sans" w:cs="Open Sans"/>
        </w:rPr>
      </w:pPr>
      <w:r w:rsidRPr="00605A07">
        <w:rPr>
          <w:rFonts w:ascii="Open Sans" w:hAnsi="Open Sans" w:cs="Open Sans"/>
        </w:rPr>
        <w:t xml:space="preserve">DesignMatic. (n.d.). </w:t>
      </w:r>
      <w:r w:rsidRPr="00605A07">
        <w:rPr>
          <w:rFonts w:ascii="Open Sans" w:hAnsi="Open Sans" w:cs="Open Sans"/>
          <w:i/>
          <w:iCs/>
        </w:rPr>
        <w:t>Web Design Guidelines For Color Blind Audience</w:t>
      </w:r>
      <w:r w:rsidRPr="00605A07">
        <w:rPr>
          <w:rFonts w:ascii="Open Sans" w:hAnsi="Open Sans" w:cs="Open Sans"/>
        </w:rPr>
        <w:t>. [online] Available at:</w:t>
      </w:r>
      <w:r w:rsidRPr="00605A07">
        <w:rPr>
          <w:rFonts w:ascii="Open Sans" w:hAnsi="Open Sans" w:cs="Open Sans"/>
        </w:rPr>
        <w:br/>
      </w:r>
      <w:r w:rsidRPr="00605A07">
        <w:rPr>
          <w:rFonts w:ascii="Open Sans" w:hAnsi="Open Sans" w:cs="Open Sans"/>
        </w:rPr>
        <w:t>https://www.designmantic.com/community/website-design-guide-color-blind.php [Accessed 10 Oct. 2019].</w:t>
      </w:r>
    </w:p>
    <w:sectPr w:rsidR="00497567" w:rsidRPr="00605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0A9"/>
    <w:multiLevelType w:val="hybridMultilevel"/>
    <w:tmpl w:val="09DA39AA"/>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A45642"/>
    <w:multiLevelType w:val="hybridMultilevel"/>
    <w:tmpl w:val="E4E23A22"/>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87E27"/>
    <w:multiLevelType w:val="hybridMultilevel"/>
    <w:tmpl w:val="C638E1A8"/>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C5310D"/>
    <w:multiLevelType w:val="hybridMultilevel"/>
    <w:tmpl w:val="0E52C766"/>
    <w:lvl w:ilvl="0" w:tplc="5B9E4674">
      <w:start w:val="1"/>
      <w:numFmt w:val="bullet"/>
      <w:lvlText w:val="-"/>
      <w:lvlJc w:val="left"/>
      <w:pPr>
        <w:ind w:left="720" w:hanging="360"/>
      </w:pPr>
      <w:rPr>
        <w:rFonts w:ascii="Open Sans" w:hAnsi="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80"/>
    <w:rsid w:val="00037874"/>
    <w:rsid w:val="00077EC6"/>
    <w:rsid w:val="000C4F22"/>
    <w:rsid w:val="001B25D6"/>
    <w:rsid w:val="00224B44"/>
    <w:rsid w:val="0025113F"/>
    <w:rsid w:val="002E162E"/>
    <w:rsid w:val="002F73E7"/>
    <w:rsid w:val="00497567"/>
    <w:rsid w:val="004B3604"/>
    <w:rsid w:val="00597996"/>
    <w:rsid w:val="005A5DB6"/>
    <w:rsid w:val="005F1D26"/>
    <w:rsid w:val="00605A07"/>
    <w:rsid w:val="006E60A4"/>
    <w:rsid w:val="00730480"/>
    <w:rsid w:val="0074521F"/>
    <w:rsid w:val="0078641D"/>
    <w:rsid w:val="007E5D38"/>
    <w:rsid w:val="008A7F02"/>
    <w:rsid w:val="00A322F7"/>
    <w:rsid w:val="00C37C8C"/>
    <w:rsid w:val="00C65B9E"/>
    <w:rsid w:val="00CA6307"/>
    <w:rsid w:val="00CB2DF4"/>
    <w:rsid w:val="00CE5E5C"/>
    <w:rsid w:val="00D374CB"/>
    <w:rsid w:val="00D51AF7"/>
    <w:rsid w:val="00DA0BF8"/>
    <w:rsid w:val="00FB32D2"/>
    <w:rsid w:val="00FF0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899"/>
  <w15:chartTrackingRefBased/>
  <w15:docId w15:val="{3B727EF6-8580-4969-B8E3-0C143537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480"/>
  </w:style>
  <w:style w:type="paragraph" w:styleId="Heading1">
    <w:name w:val="heading 1"/>
    <w:basedOn w:val="Normal"/>
    <w:next w:val="Normal"/>
    <w:link w:val="Heading1Char"/>
    <w:uiPriority w:val="9"/>
    <w:qFormat/>
    <w:rsid w:val="0073048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048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0480"/>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unhideWhenUsed/>
    <w:qFormat/>
    <w:rsid w:val="00730480"/>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unhideWhenUsed/>
    <w:qFormat/>
    <w:rsid w:val="00730480"/>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730480"/>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730480"/>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7304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048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80"/>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730480"/>
    <w:rPr>
      <w:caps/>
      <w:spacing w:val="15"/>
      <w:shd w:val="clear" w:color="auto" w:fill="F6CBD5" w:themeFill="accent1" w:themeFillTint="33"/>
    </w:rPr>
  </w:style>
  <w:style w:type="character" w:customStyle="1" w:styleId="Heading3Char">
    <w:name w:val="Heading 3 Char"/>
    <w:basedOn w:val="DefaultParagraphFont"/>
    <w:link w:val="Heading3"/>
    <w:uiPriority w:val="9"/>
    <w:rsid w:val="00730480"/>
    <w:rPr>
      <w:caps/>
      <w:color w:val="5B0F20" w:themeColor="accent1" w:themeShade="7F"/>
      <w:spacing w:val="15"/>
    </w:rPr>
  </w:style>
  <w:style w:type="character" w:customStyle="1" w:styleId="Heading4Char">
    <w:name w:val="Heading 4 Char"/>
    <w:basedOn w:val="DefaultParagraphFont"/>
    <w:link w:val="Heading4"/>
    <w:uiPriority w:val="9"/>
    <w:rsid w:val="00730480"/>
    <w:rPr>
      <w:caps/>
      <w:color w:val="881631" w:themeColor="accent1" w:themeShade="BF"/>
      <w:spacing w:val="10"/>
    </w:rPr>
  </w:style>
  <w:style w:type="character" w:customStyle="1" w:styleId="Heading5Char">
    <w:name w:val="Heading 5 Char"/>
    <w:basedOn w:val="DefaultParagraphFont"/>
    <w:link w:val="Heading5"/>
    <w:uiPriority w:val="9"/>
    <w:rsid w:val="00730480"/>
    <w:rPr>
      <w:caps/>
      <w:color w:val="881631" w:themeColor="accent1" w:themeShade="BF"/>
      <w:spacing w:val="10"/>
    </w:rPr>
  </w:style>
  <w:style w:type="character" w:customStyle="1" w:styleId="Heading6Char">
    <w:name w:val="Heading 6 Char"/>
    <w:basedOn w:val="DefaultParagraphFont"/>
    <w:link w:val="Heading6"/>
    <w:uiPriority w:val="9"/>
    <w:semiHidden/>
    <w:rsid w:val="00730480"/>
    <w:rPr>
      <w:caps/>
      <w:color w:val="881631" w:themeColor="accent1" w:themeShade="BF"/>
      <w:spacing w:val="10"/>
    </w:rPr>
  </w:style>
  <w:style w:type="character" w:customStyle="1" w:styleId="Heading7Char">
    <w:name w:val="Heading 7 Char"/>
    <w:basedOn w:val="DefaultParagraphFont"/>
    <w:link w:val="Heading7"/>
    <w:uiPriority w:val="9"/>
    <w:semiHidden/>
    <w:rsid w:val="00730480"/>
    <w:rPr>
      <w:caps/>
      <w:color w:val="881631" w:themeColor="accent1" w:themeShade="BF"/>
      <w:spacing w:val="10"/>
    </w:rPr>
  </w:style>
  <w:style w:type="character" w:customStyle="1" w:styleId="Heading8Char">
    <w:name w:val="Heading 8 Char"/>
    <w:basedOn w:val="DefaultParagraphFont"/>
    <w:link w:val="Heading8"/>
    <w:uiPriority w:val="9"/>
    <w:semiHidden/>
    <w:rsid w:val="00730480"/>
    <w:rPr>
      <w:caps/>
      <w:spacing w:val="10"/>
      <w:sz w:val="18"/>
      <w:szCs w:val="18"/>
    </w:rPr>
  </w:style>
  <w:style w:type="character" w:customStyle="1" w:styleId="Heading9Char">
    <w:name w:val="Heading 9 Char"/>
    <w:basedOn w:val="DefaultParagraphFont"/>
    <w:link w:val="Heading9"/>
    <w:uiPriority w:val="9"/>
    <w:semiHidden/>
    <w:rsid w:val="00730480"/>
    <w:rPr>
      <w:i/>
      <w:iCs/>
      <w:caps/>
      <w:spacing w:val="10"/>
      <w:sz w:val="18"/>
      <w:szCs w:val="18"/>
    </w:rPr>
  </w:style>
  <w:style w:type="paragraph" w:styleId="Caption">
    <w:name w:val="caption"/>
    <w:basedOn w:val="Normal"/>
    <w:next w:val="Normal"/>
    <w:uiPriority w:val="35"/>
    <w:semiHidden/>
    <w:unhideWhenUsed/>
    <w:qFormat/>
    <w:rsid w:val="00730480"/>
    <w:rPr>
      <w:b/>
      <w:bCs/>
      <w:color w:val="881631" w:themeColor="accent1" w:themeShade="BF"/>
      <w:sz w:val="16"/>
      <w:szCs w:val="16"/>
    </w:rPr>
  </w:style>
  <w:style w:type="paragraph" w:styleId="Title">
    <w:name w:val="Title"/>
    <w:basedOn w:val="Normal"/>
    <w:next w:val="Normal"/>
    <w:link w:val="TitleChar"/>
    <w:uiPriority w:val="10"/>
    <w:qFormat/>
    <w:rsid w:val="00730480"/>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730480"/>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7304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0480"/>
    <w:rPr>
      <w:caps/>
      <w:color w:val="595959" w:themeColor="text1" w:themeTint="A6"/>
      <w:spacing w:val="10"/>
      <w:sz w:val="21"/>
      <w:szCs w:val="21"/>
    </w:rPr>
  </w:style>
  <w:style w:type="character" w:styleId="Strong">
    <w:name w:val="Strong"/>
    <w:uiPriority w:val="22"/>
    <w:qFormat/>
    <w:rsid w:val="00730480"/>
    <w:rPr>
      <w:b/>
      <w:bCs/>
    </w:rPr>
  </w:style>
  <w:style w:type="character" w:styleId="Emphasis">
    <w:name w:val="Emphasis"/>
    <w:uiPriority w:val="20"/>
    <w:qFormat/>
    <w:rsid w:val="00730480"/>
    <w:rPr>
      <w:caps/>
      <w:color w:val="5B0F20" w:themeColor="accent1" w:themeShade="7F"/>
      <w:spacing w:val="5"/>
    </w:rPr>
  </w:style>
  <w:style w:type="paragraph" w:styleId="NoSpacing">
    <w:name w:val="No Spacing"/>
    <w:uiPriority w:val="1"/>
    <w:qFormat/>
    <w:rsid w:val="00730480"/>
    <w:pPr>
      <w:spacing w:after="0" w:line="240" w:lineRule="auto"/>
    </w:pPr>
  </w:style>
  <w:style w:type="paragraph" w:styleId="Quote">
    <w:name w:val="Quote"/>
    <w:basedOn w:val="Normal"/>
    <w:next w:val="Normal"/>
    <w:link w:val="QuoteChar"/>
    <w:uiPriority w:val="29"/>
    <w:qFormat/>
    <w:rsid w:val="00730480"/>
    <w:rPr>
      <w:i/>
      <w:iCs/>
      <w:sz w:val="24"/>
      <w:szCs w:val="24"/>
    </w:rPr>
  </w:style>
  <w:style w:type="character" w:customStyle="1" w:styleId="QuoteChar">
    <w:name w:val="Quote Char"/>
    <w:basedOn w:val="DefaultParagraphFont"/>
    <w:link w:val="Quote"/>
    <w:uiPriority w:val="29"/>
    <w:rsid w:val="00730480"/>
    <w:rPr>
      <w:i/>
      <w:iCs/>
      <w:sz w:val="24"/>
      <w:szCs w:val="24"/>
    </w:rPr>
  </w:style>
  <w:style w:type="paragraph" w:styleId="IntenseQuote">
    <w:name w:val="Intense Quote"/>
    <w:basedOn w:val="Normal"/>
    <w:next w:val="Normal"/>
    <w:link w:val="IntenseQuoteChar"/>
    <w:uiPriority w:val="30"/>
    <w:qFormat/>
    <w:rsid w:val="00730480"/>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730480"/>
    <w:rPr>
      <w:color w:val="B71E42" w:themeColor="accent1"/>
      <w:sz w:val="24"/>
      <w:szCs w:val="24"/>
    </w:rPr>
  </w:style>
  <w:style w:type="character" w:styleId="SubtleEmphasis">
    <w:name w:val="Subtle Emphasis"/>
    <w:uiPriority w:val="19"/>
    <w:qFormat/>
    <w:rsid w:val="00730480"/>
    <w:rPr>
      <w:i/>
      <w:iCs/>
      <w:color w:val="5B0F20" w:themeColor="accent1" w:themeShade="7F"/>
    </w:rPr>
  </w:style>
  <w:style w:type="character" w:styleId="IntenseEmphasis">
    <w:name w:val="Intense Emphasis"/>
    <w:uiPriority w:val="21"/>
    <w:qFormat/>
    <w:rsid w:val="00730480"/>
    <w:rPr>
      <w:b/>
      <w:bCs/>
      <w:caps/>
      <w:color w:val="5B0F20" w:themeColor="accent1" w:themeShade="7F"/>
      <w:spacing w:val="10"/>
    </w:rPr>
  </w:style>
  <w:style w:type="character" w:styleId="SubtleReference">
    <w:name w:val="Subtle Reference"/>
    <w:uiPriority w:val="31"/>
    <w:qFormat/>
    <w:rsid w:val="00730480"/>
    <w:rPr>
      <w:b/>
      <w:bCs/>
      <w:color w:val="B71E42" w:themeColor="accent1"/>
    </w:rPr>
  </w:style>
  <w:style w:type="character" w:styleId="IntenseReference">
    <w:name w:val="Intense Reference"/>
    <w:uiPriority w:val="32"/>
    <w:qFormat/>
    <w:rsid w:val="00730480"/>
    <w:rPr>
      <w:b/>
      <w:bCs/>
      <w:i/>
      <w:iCs/>
      <w:caps/>
      <w:color w:val="B71E42" w:themeColor="accent1"/>
    </w:rPr>
  </w:style>
  <w:style w:type="character" w:styleId="BookTitle">
    <w:name w:val="Book Title"/>
    <w:uiPriority w:val="33"/>
    <w:qFormat/>
    <w:rsid w:val="00730480"/>
    <w:rPr>
      <w:b/>
      <w:bCs/>
      <w:i/>
      <w:iCs/>
      <w:spacing w:val="0"/>
    </w:rPr>
  </w:style>
  <w:style w:type="paragraph" w:styleId="TOCHeading">
    <w:name w:val="TOC Heading"/>
    <w:basedOn w:val="Heading1"/>
    <w:next w:val="Normal"/>
    <w:uiPriority w:val="39"/>
    <w:semiHidden/>
    <w:unhideWhenUsed/>
    <w:qFormat/>
    <w:rsid w:val="00730480"/>
    <w:pPr>
      <w:outlineLvl w:val="9"/>
    </w:pPr>
  </w:style>
  <w:style w:type="paragraph" w:styleId="ListParagraph">
    <w:name w:val="List Paragraph"/>
    <w:basedOn w:val="Normal"/>
    <w:uiPriority w:val="34"/>
    <w:qFormat/>
    <w:rsid w:val="002E1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22">
      <w:bodyDiv w:val="1"/>
      <w:marLeft w:val="0"/>
      <w:marRight w:val="0"/>
      <w:marTop w:val="0"/>
      <w:marBottom w:val="0"/>
      <w:divBdr>
        <w:top w:val="none" w:sz="0" w:space="0" w:color="auto"/>
        <w:left w:val="none" w:sz="0" w:space="0" w:color="auto"/>
        <w:bottom w:val="none" w:sz="0" w:space="0" w:color="auto"/>
        <w:right w:val="none" w:sz="0" w:space="0" w:color="auto"/>
      </w:divBdr>
    </w:div>
    <w:div w:id="173155582">
      <w:bodyDiv w:val="1"/>
      <w:marLeft w:val="0"/>
      <w:marRight w:val="0"/>
      <w:marTop w:val="0"/>
      <w:marBottom w:val="0"/>
      <w:divBdr>
        <w:top w:val="none" w:sz="0" w:space="0" w:color="auto"/>
        <w:left w:val="none" w:sz="0" w:space="0" w:color="auto"/>
        <w:bottom w:val="none" w:sz="0" w:space="0" w:color="auto"/>
        <w:right w:val="none" w:sz="0" w:space="0" w:color="auto"/>
      </w:divBdr>
    </w:div>
    <w:div w:id="292299310">
      <w:bodyDiv w:val="1"/>
      <w:marLeft w:val="0"/>
      <w:marRight w:val="0"/>
      <w:marTop w:val="0"/>
      <w:marBottom w:val="0"/>
      <w:divBdr>
        <w:top w:val="none" w:sz="0" w:space="0" w:color="auto"/>
        <w:left w:val="none" w:sz="0" w:space="0" w:color="auto"/>
        <w:bottom w:val="none" w:sz="0" w:space="0" w:color="auto"/>
        <w:right w:val="none" w:sz="0" w:space="0" w:color="auto"/>
      </w:divBdr>
    </w:div>
    <w:div w:id="346641327">
      <w:bodyDiv w:val="1"/>
      <w:marLeft w:val="0"/>
      <w:marRight w:val="0"/>
      <w:marTop w:val="0"/>
      <w:marBottom w:val="0"/>
      <w:divBdr>
        <w:top w:val="none" w:sz="0" w:space="0" w:color="auto"/>
        <w:left w:val="none" w:sz="0" w:space="0" w:color="auto"/>
        <w:bottom w:val="none" w:sz="0" w:space="0" w:color="auto"/>
        <w:right w:val="none" w:sz="0" w:space="0" w:color="auto"/>
      </w:divBdr>
    </w:div>
    <w:div w:id="538973182">
      <w:bodyDiv w:val="1"/>
      <w:marLeft w:val="0"/>
      <w:marRight w:val="0"/>
      <w:marTop w:val="0"/>
      <w:marBottom w:val="0"/>
      <w:divBdr>
        <w:top w:val="none" w:sz="0" w:space="0" w:color="auto"/>
        <w:left w:val="none" w:sz="0" w:space="0" w:color="auto"/>
        <w:bottom w:val="none" w:sz="0" w:space="0" w:color="auto"/>
        <w:right w:val="none" w:sz="0" w:space="0" w:color="auto"/>
      </w:divBdr>
    </w:div>
    <w:div w:id="652215979">
      <w:bodyDiv w:val="1"/>
      <w:marLeft w:val="0"/>
      <w:marRight w:val="0"/>
      <w:marTop w:val="0"/>
      <w:marBottom w:val="0"/>
      <w:divBdr>
        <w:top w:val="none" w:sz="0" w:space="0" w:color="auto"/>
        <w:left w:val="none" w:sz="0" w:space="0" w:color="auto"/>
        <w:bottom w:val="none" w:sz="0" w:space="0" w:color="auto"/>
        <w:right w:val="none" w:sz="0" w:space="0" w:color="auto"/>
      </w:divBdr>
    </w:div>
    <w:div w:id="799150405">
      <w:bodyDiv w:val="1"/>
      <w:marLeft w:val="0"/>
      <w:marRight w:val="0"/>
      <w:marTop w:val="0"/>
      <w:marBottom w:val="0"/>
      <w:divBdr>
        <w:top w:val="none" w:sz="0" w:space="0" w:color="auto"/>
        <w:left w:val="none" w:sz="0" w:space="0" w:color="auto"/>
        <w:bottom w:val="none" w:sz="0" w:space="0" w:color="auto"/>
        <w:right w:val="none" w:sz="0" w:space="0" w:color="auto"/>
      </w:divBdr>
    </w:div>
    <w:div w:id="12217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9</cp:revision>
  <dcterms:created xsi:type="dcterms:W3CDTF">2019-10-10T09:56:00Z</dcterms:created>
  <dcterms:modified xsi:type="dcterms:W3CDTF">2019-10-10T12:45:00Z</dcterms:modified>
</cp:coreProperties>
</file>