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6783" w14:textId="1804C844" w:rsidR="006C2762" w:rsidRPr="00F46D4B" w:rsidRDefault="00DD69BA" w:rsidP="00DD69BA">
      <w:pPr>
        <w:pStyle w:val="Title"/>
        <w:rPr>
          <w:rFonts w:ascii="Open Sans" w:hAnsi="Open Sans" w:cs="Open Sans"/>
          <w:caps w:val="0"/>
        </w:rPr>
      </w:pPr>
      <w:r w:rsidRPr="00F46D4B">
        <w:rPr>
          <w:rFonts w:ascii="Open Sans" w:hAnsi="Open Sans" w:cs="Open Sans"/>
          <w:caps w:val="0"/>
        </w:rPr>
        <w:t>Technical Solutions</w:t>
      </w:r>
    </w:p>
    <w:p w14:paraId="0A838C42" w14:textId="427886FC" w:rsidR="00DD69BA" w:rsidRPr="00101835" w:rsidRDefault="00154283" w:rsidP="006E1C55">
      <w:pPr>
        <w:jc w:val="both"/>
        <w:rPr>
          <w:rFonts w:ascii="Open Sans" w:hAnsi="Open Sans" w:cs="Open Sans"/>
        </w:rPr>
      </w:pPr>
      <w:r w:rsidRPr="00101835">
        <w:rPr>
          <w:rFonts w:ascii="Open Sans" w:hAnsi="Open Sans" w:cs="Open Sans"/>
        </w:rPr>
        <w:t xml:space="preserve">Feasibility reports rely on analysing and </w:t>
      </w:r>
      <w:r w:rsidR="006E1C55" w:rsidRPr="00101835">
        <w:rPr>
          <w:rFonts w:ascii="Open Sans" w:hAnsi="Open Sans" w:cs="Open Sans"/>
        </w:rPr>
        <w:t>comparing</w:t>
      </w:r>
      <w:r w:rsidRPr="00101835">
        <w:rPr>
          <w:rFonts w:ascii="Open Sans" w:hAnsi="Open Sans" w:cs="Open Sans"/>
        </w:rPr>
        <w:t xml:space="preserve"> diverse technical solutions</w:t>
      </w:r>
      <w:r w:rsidR="006E1C55" w:rsidRPr="00101835">
        <w:rPr>
          <w:rFonts w:ascii="Open Sans" w:hAnsi="Open Sans" w:cs="Open Sans"/>
        </w:rPr>
        <w:t xml:space="preserve">, as well as their implications and features. </w:t>
      </w:r>
      <w:r w:rsidR="00BB2539" w:rsidRPr="00101835">
        <w:rPr>
          <w:rFonts w:ascii="Open Sans" w:hAnsi="Open Sans" w:cs="Open Sans"/>
        </w:rPr>
        <w:t>There are</w:t>
      </w:r>
      <w:r w:rsidR="006E1C55" w:rsidRPr="00101835">
        <w:rPr>
          <w:rFonts w:ascii="Open Sans" w:hAnsi="Open Sans" w:cs="Open Sans"/>
        </w:rPr>
        <w:t xml:space="preserve"> many factors to why technical solutions </w:t>
      </w:r>
      <w:r w:rsidR="005F4560" w:rsidRPr="00101835">
        <w:rPr>
          <w:rFonts w:ascii="Open Sans" w:hAnsi="Open Sans" w:cs="Open Sans"/>
        </w:rPr>
        <w:t xml:space="preserve">may be chosen, </w:t>
      </w:r>
      <w:r w:rsidR="003A6353" w:rsidRPr="00101835">
        <w:rPr>
          <w:rFonts w:ascii="Open Sans" w:hAnsi="Open Sans" w:cs="Open Sans"/>
        </w:rPr>
        <w:t xml:space="preserve">ranging from computational complexity to the </w:t>
      </w:r>
      <w:r w:rsidR="009257F7" w:rsidRPr="00101835">
        <w:rPr>
          <w:rFonts w:ascii="Open Sans" w:hAnsi="Open Sans" w:cs="Open Sans"/>
        </w:rPr>
        <w:t>potential training requirements for the solution to be implemented and/or utilised</w:t>
      </w:r>
      <w:r w:rsidR="000826FE"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-170724751"/>
          <w:citation/>
        </w:sdtPr>
        <w:sdtContent>
          <w:r w:rsidR="000826FE">
            <w:rPr>
              <w:rFonts w:ascii="Open Sans" w:hAnsi="Open Sans" w:cs="Open Sans"/>
            </w:rPr>
            <w:fldChar w:fldCharType="begin"/>
          </w:r>
          <w:r w:rsidR="000826FE">
            <w:rPr>
              <w:rFonts w:ascii="Open Sans" w:hAnsi="Open Sans" w:cs="Open Sans"/>
            </w:rPr>
            <w:instrText xml:space="preserve"> CITATION Joh17 \l 2057 </w:instrText>
          </w:r>
          <w:r w:rsidR="000826FE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(Spacey, 2017)</w:t>
          </w:r>
          <w:r w:rsidR="000826FE">
            <w:rPr>
              <w:rFonts w:ascii="Open Sans" w:hAnsi="Open Sans" w:cs="Open Sans"/>
            </w:rPr>
            <w:fldChar w:fldCharType="end"/>
          </w:r>
        </w:sdtContent>
      </w:sdt>
      <w:r w:rsidR="009257F7" w:rsidRPr="00101835">
        <w:rPr>
          <w:rFonts w:ascii="Open Sans" w:hAnsi="Open Sans" w:cs="Open Sans"/>
        </w:rPr>
        <w:t>.</w:t>
      </w:r>
    </w:p>
    <w:p w14:paraId="24CAB44C" w14:textId="19FF107C" w:rsidR="005F043E" w:rsidRPr="00101835" w:rsidRDefault="00FD27A4" w:rsidP="006E1C55">
      <w:pPr>
        <w:jc w:val="both"/>
        <w:rPr>
          <w:rFonts w:ascii="Open Sans" w:hAnsi="Open Sans" w:cs="Open Sans"/>
        </w:rPr>
      </w:pPr>
      <w:r w:rsidRPr="00101835">
        <w:rPr>
          <w:rFonts w:ascii="Open Sans" w:hAnsi="Open Sans" w:cs="Open Sans"/>
        </w:rPr>
        <w:t xml:space="preserve">This document is provided to give some criteria for analysis regarding technical solutions, in order to help decide between multiple options </w:t>
      </w:r>
      <w:r w:rsidR="00B45234" w:rsidRPr="00101835">
        <w:rPr>
          <w:rFonts w:ascii="Open Sans" w:hAnsi="Open Sans" w:cs="Open Sans"/>
        </w:rPr>
        <w:t>and identifying limitations with the options provided.</w:t>
      </w:r>
    </w:p>
    <w:p w14:paraId="69281F1D" w14:textId="752B0067" w:rsidR="005F043E" w:rsidRPr="00F46D4B" w:rsidRDefault="005F043E" w:rsidP="003D2D00">
      <w:pPr>
        <w:pStyle w:val="Heading1"/>
        <w:rPr>
          <w:rFonts w:ascii="Open Sans" w:hAnsi="Open Sans" w:cs="Open Sans"/>
        </w:rPr>
      </w:pPr>
      <w:r w:rsidRPr="00F46D4B">
        <w:rPr>
          <w:rFonts w:ascii="Open Sans" w:hAnsi="Open Sans" w:cs="Open Sans"/>
        </w:rPr>
        <w:t>Functionality</w:t>
      </w:r>
    </w:p>
    <w:p w14:paraId="0DBB609A" w14:textId="20F2EED9" w:rsidR="005F043E" w:rsidRPr="00101835" w:rsidRDefault="00C44971" w:rsidP="00DD12BD">
      <w:pPr>
        <w:jc w:val="both"/>
        <w:rPr>
          <w:rFonts w:ascii="Open Sans" w:hAnsi="Open Sans" w:cs="Open Sans"/>
        </w:rPr>
      </w:pPr>
      <w:r w:rsidRPr="00101835">
        <w:rPr>
          <w:rFonts w:ascii="Open Sans" w:hAnsi="Open Sans" w:cs="Open Sans"/>
        </w:rPr>
        <w:t xml:space="preserve">Any technical solution will rely on </w:t>
      </w:r>
      <w:r w:rsidR="007E7C5E" w:rsidRPr="00101835">
        <w:rPr>
          <w:rFonts w:ascii="Open Sans" w:hAnsi="Open Sans" w:cs="Open Sans"/>
        </w:rPr>
        <w:t xml:space="preserve">functionality, a core component of </w:t>
      </w:r>
      <w:r w:rsidR="00365C99" w:rsidRPr="00101835">
        <w:rPr>
          <w:rFonts w:ascii="Open Sans" w:hAnsi="Open Sans" w:cs="Open Sans"/>
        </w:rPr>
        <w:t xml:space="preserve">functionality in software and </w:t>
      </w:r>
      <w:r w:rsidR="00DD12BD" w:rsidRPr="00101835">
        <w:rPr>
          <w:rFonts w:ascii="Open Sans" w:hAnsi="Open Sans" w:cs="Open Sans"/>
        </w:rPr>
        <w:t xml:space="preserve">computer </w:t>
      </w:r>
      <w:r w:rsidR="00E15708" w:rsidRPr="00101835">
        <w:rPr>
          <w:rFonts w:ascii="Open Sans" w:hAnsi="Open Sans" w:cs="Open Sans"/>
        </w:rPr>
        <w:t xml:space="preserve">systems. </w:t>
      </w:r>
      <w:r w:rsidR="00153904" w:rsidRPr="00101835">
        <w:rPr>
          <w:rFonts w:ascii="Open Sans" w:hAnsi="Open Sans" w:cs="Open Sans"/>
        </w:rPr>
        <w:t xml:space="preserve">The functionality of a solution </w:t>
      </w:r>
      <w:r w:rsidR="00EF1F3E" w:rsidRPr="00101835">
        <w:rPr>
          <w:rFonts w:ascii="Open Sans" w:hAnsi="Open Sans" w:cs="Open Sans"/>
        </w:rPr>
        <w:t xml:space="preserve">can be hard to </w:t>
      </w:r>
      <w:r w:rsidR="00824B77" w:rsidRPr="00101835">
        <w:rPr>
          <w:rFonts w:ascii="Open Sans" w:hAnsi="Open Sans" w:cs="Open Sans"/>
        </w:rPr>
        <w:t>measure;</w:t>
      </w:r>
      <w:r w:rsidR="00EF1F3E" w:rsidRPr="00101835">
        <w:rPr>
          <w:rFonts w:ascii="Open Sans" w:hAnsi="Open Sans" w:cs="Open Sans"/>
        </w:rPr>
        <w:t xml:space="preserve"> </w:t>
      </w:r>
      <w:r w:rsidR="00824B77" w:rsidRPr="00101835">
        <w:rPr>
          <w:rFonts w:ascii="Open Sans" w:hAnsi="Open Sans" w:cs="Open Sans"/>
        </w:rPr>
        <w:t>however,</w:t>
      </w:r>
      <w:r w:rsidR="00EF1F3E" w:rsidRPr="00101835">
        <w:rPr>
          <w:rFonts w:ascii="Open Sans" w:hAnsi="Open Sans" w:cs="Open Sans"/>
        </w:rPr>
        <w:t xml:space="preserve"> it describes the </w:t>
      </w:r>
      <w:r w:rsidR="00EE4A36" w:rsidRPr="00101835">
        <w:rPr>
          <w:rFonts w:ascii="Open Sans" w:hAnsi="Open Sans" w:cs="Open Sans"/>
        </w:rPr>
        <w:t xml:space="preserve">usage and limitations of a system, </w:t>
      </w:r>
      <w:r w:rsidR="003630D9" w:rsidRPr="00101835">
        <w:rPr>
          <w:rFonts w:ascii="Open Sans" w:hAnsi="Open Sans" w:cs="Open Sans"/>
        </w:rPr>
        <w:t xml:space="preserve">an essential </w:t>
      </w:r>
      <w:r w:rsidR="00950D0A" w:rsidRPr="00101835">
        <w:rPr>
          <w:rFonts w:ascii="Open Sans" w:hAnsi="Open Sans" w:cs="Open Sans"/>
        </w:rPr>
        <w:t>part of designing and implementing a solution</w:t>
      </w:r>
      <w:r w:rsidR="00824B77" w:rsidRPr="00101835">
        <w:rPr>
          <w:rFonts w:ascii="Open Sans" w:hAnsi="Open Sans" w:cs="Open Sans"/>
        </w:rPr>
        <w:t>.</w:t>
      </w:r>
      <w:r w:rsidR="00590CCA" w:rsidRPr="00101835">
        <w:rPr>
          <w:rFonts w:ascii="Open Sans" w:hAnsi="Open Sans" w:cs="Open Sans"/>
        </w:rPr>
        <w:t xml:space="preserve"> </w:t>
      </w:r>
    </w:p>
    <w:p w14:paraId="14FA09D6" w14:textId="474630E3" w:rsidR="00824B77" w:rsidRPr="00101835" w:rsidRDefault="00DE4004" w:rsidP="00DD12BD">
      <w:pPr>
        <w:jc w:val="both"/>
        <w:rPr>
          <w:rFonts w:ascii="Open Sans" w:hAnsi="Open Sans" w:cs="Open Sans"/>
        </w:rPr>
      </w:pPr>
      <w:r w:rsidRPr="00101835">
        <w:rPr>
          <w:rFonts w:ascii="Open Sans" w:hAnsi="Open Sans" w:cs="Open Sans"/>
        </w:rPr>
        <w:t xml:space="preserve">Functionality </w:t>
      </w:r>
      <w:r w:rsidR="00525AB2" w:rsidRPr="00101835">
        <w:rPr>
          <w:rFonts w:ascii="Open Sans" w:hAnsi="Open Sans" w:cs="Open Sans"/>
        </w:rPr>
        <w:t xml:space="preserve">closely links with the requirements of a solution, outlined in a feasibility report. These requirements describe required functionality in the solution, explaining what features are necessary for completion, as well as describing </w:t>
      </w:r>
      <w:r w:rsidR="00D96337" w:rsidRPr="00101835">
        <w:rPr>
          <w:rFonts w:ascii="Open Sans" w:hAnsi="Open Sans" w:cs="Open Sans"/>
        </w:rPr>
        <w:t>potential</w:t>
      </w:r>
      <w:r w:rsidR="00F46D4B" w:rsidRPr="00101835">
        <w:rPr>
          <w:rFonts w:ascii="Open Sans" w:hAnsi="Open Sans" w:cs="Open Sans"/>
        </w:rPr>
        <w:t xml:space="preserve">ly </w:t>
      </w:r>
      <w:bookmarkStart w:id="0" w:name="_GoBack"/>
      <w:bookmarkEnd w:id="0"/>
      <w:r w:rsidR="00F46D4B" w:rsidRPr="00101835">
        <w:rPr>
          <w:rFonts w:ascii="Open Sans" w:hAnsi="Open Sans" w:cs="Open Sans"/>
        </w:rPr>
        <w:t>optional features, for example</w:t>
      </w:r>
      <w:r w:rsidR="00B511DC" w:rsidRPr="00101835">
        <w:rPr>
          <w:rFonts w:ascii="Open Sans" w:hAnsi="Open Sans" w:cs="Open Sans"/>
        </w:rPr>
        <w:t>;</w:t>
      </w:r>
      <w:r w:rsidR="00F46D4B" w:rsidRPr="00101835">
        <w:rPr>
          <w:rFonts w:ascii="Open Sans" w:hAnsi="Open Sans" w:cs="Open Sans"/>
        </w:rPr>
        <w:t xml:space="preserve"> </w:t>
      </w:r>
      <w:r w:rsidR="00B511DC" w:rsidRPr="00101835">
        <w:rPr>
          <w:rFonts w:ascii="Open Sans" w:hAnsi="Open Sans" w:cs="Open Sans"/>
        </w:rPr>
        <w:t>features</w:t>
      </w:r>
      <w:r w:rsidR="00F46D4B" w:rsidRPr="00101835">
        <w:rPr>
          <w:rFonts w:ascii="Open Sans" w:hAnsi="Open Sans" w:cs="Open Sans"/>
        </w:rPr>
        <w:t xml:space="preserve"> that include quality-of-life</w:t>
      </w:r>
      <w:r w:rsidR="000E0EED" w:rsidRPr="00101835">
        <w:rPr>
          <w:rFonts w:ascii="Open Sans" w:hAnsi="Open Sans" w:cs="Open Sans"/>
        </w:rPr>
        <w:t xml:space="preserve"> changes</w:t>
      </w:r>
      <w:r w:rsidR="00F46D4B" w:rsidRPr="00101835">
        <w:rPr>
          <w:rFonts w:ascii="Open Sans" w:hAnsi="Open Sans" w:cs="Open Sans"/>
        </w:rPr>
        <w:t xml:space="preserve"> rather than the core functionality</w:t>
      </w:r>
      <w:r w:rsidR="00B511DC" w:rsidRPr="00101835">
        <w:rPr>
          <w:rFonts w:ascii="Open Sans" w:hAnsi="Open Sans" w:cs="Open Sans"/>
        </w:rPr>
        <w:t xml:space="preserve"> of the solution itself.</w:t>
      </w:r>
      <w:r w:rsidR="00D90A1D" w:rsidRPr="00101835"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2008081270"/>
          <w:citation/>
        </w:sdtPr>
        <w:sdtContent>
          <w:r w:rsidR="00D90A1D" w:rsidRPr="00101835">
            <w:rPr>
              <w:rFonts w:ascii="Open Sans" w:hAnsi="Open Sans" w:cs="Open Sans"/>
            </w:rPr>
            <w:fldChar w:fldCharType="begin"/>
          </w:r>
          <w:r w:rsidR="000A0292" w:rsidRPr="00101835">
            <w:rPr>
              <w:rFonts w:ascii="Open Sans" w:hAnsi="Open Sans" w:cs="Open Sans"/>
            </w:rPr>
            <w:instrText xml:space="preserve">CITATION Bas12 \l 2057 </w:instrText>
          </w:r>
          <w:r w:rsidR="00D90A1D" w:rsidRPr="00101835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(Bass, et al., 2012)</w:t>
          </w:r>
          <w:r w:rsidR="00D90A1D" w:rsidRPr="00101835">
            <w:rPr>
              <w:rFonts w:ascii="Open Sans" w:hAnsi="Open Sans" w:cs="Open Sans"/>
            </w:rPr>
            <w:fldChar w:fldCharType="end"/>
          </w:r>
        </w:sdtContent>
      </w:sdt>
    </w:p>
    <w:p w14:paraId="0DE90ED4" w14:textId="13B1896A" w:rsidR="000E0EED" w:rsidRPr="00101835" w:rsidRDefault="005820C1" w:rsidP="00DD12BD">
      <w:pPr>
        <w:jc w:val="both"/>
        <w:rPr>
          <w:rFonts w:ascii="Open Sans" w:hAnsi="Open Sans" w:cs="Open Sans"/>
        </w:rPr>
      </w:pPr>
      <w:r w:rsidRPr="00101835">
        <w:rPr>
          <w:rFonts w:ascii="Open Sans" w:hAnsi="Open Sans" w:cs="Open Sans"/>
        </w:rPr>
        <w:t xml:space="preserve">Analysing the functionality of different solutions allow for </w:t>
      </w:r>
      <w:r w:rsidR="00C942F0" w:rsidRPr="00101835">
        <w:rPr>
          <w:rFonts w:ascii="Open Sans" w:hAnsi="Open Sans" w:cs="Open Sans"/>
        </w:rPr>
        <w:t xml:space="preserve">identification of potential issues with lacking features or </w:t>
      </w:r>
      <w:r w:rsidR="001C3D80" w:rsidRPr="00101835">
        <w:rPr>
          <w:rFonts w:ascii="Open Sans" w:hAnsi="Open Sans" w:cs="Open Sans"/>
        </w:rPr>
        <w:t xml:space="preserve">undue complexity, as functionality that goes beyond what’s required may also be </w:t>
      </w:r>
      <w:r w:rsidR="008E5596" w:rsidRPr="00101835">
        <w:rPr>
          <w:rFonts w:ascii="Open Sans" w:hAnsi="Open Sans" w:cs="Open Sans"/>
        </w:rPr>
        <w:t>detrimental to the core outcome</w:t>
      </w:r>
      <w:r w:rsidR="00121FF2" w:rsidRPr="00101835">
        <w:rPr>
          <w:rFonts w:ascii="Open Sans" w:hAnsi="Open Sans" w:cs="Open Sans"/>
        </w:rPr>
        <w:t xml:space="preserve"> due to the increased complexity and development time</w:t>
      </w:r>
      <w:r w:rsidR="008E5596" w:rsidRPr="00101835">
        <w:rPr>
          <w:rFonts w:ascii="Open Sans" w:hAnsi="Open Sans" w:cs="Open Sans"/>
        </w:rPr>
        <w:t>.</w:t>
      </w:r>
      <w:r w:rsidR="000A0292" w:rsidRPr="00101835"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395163128"/>
          <w:citation/>
        </w:sdtPr>
        <w:sdtContent>
          <w:r w:rsidR="000A0292" w:rsidRPr="00101835">
            <w:rPr>
              <w:rFonts w:ascii="Open Sans" w:hAnsi="Open Sans" w:cs="Open Sans"/>
            </w:rPr>
            <w:fldChar w:fldCharType="begin"/>
          </w:r>
          <w:r w:rsidR="000A0292" w:rsidRPr="00101835">
            <w:rPr>
              <w:rFonts w:ascii="Open Sans" w:hAnsi="Open Sans" w:cs="Open Sans"/>
            </w:rPr>
            <w:instrText xml:space="preserve">CITATION Vin17 \l 2057 </w:instrText>
          </w:r>
          <w:r w:rsidR="000A0292" w:rsidRPr="00101835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(Paget, 2017)</w:t>
          </w:r>
          <w:r w:rsidR="000A0292" w:rsidRPr="00101835">
            <w:rPr>
              <w:rFonts w:ascii="Open Sans" w:hAnsi="Open Sans" w:cs="Open Sans"/>
            </w:rPr>
            <w:fldChar w:fldCharType="end"/>
          </w:r>
        </w:sdtContent>
      </w:sdt>
    </w:p>
    <w:p w14:paraId="0646043E" w14:textId="13CDE544" w:rsidR="005F043E" w:rsidRPr="00F46D4B" w:rsidRDefault="003D2D00" w:rsidP="005F043E">
      <w:pPr>
        <w:pStyle w:val="Heading1"/>
        <w:rPr>
          <w:rFonts w:ascii="Open Sans" w:hAnsi="Open Sans" w:cs="Open Sans"/>
        </w:rPr>
      </w:pPr>
      <w:r w:rsidRPr="00F46D4B">
        <w:rPr>
          <w:rFonts w:ascii="Open Sans" w:hAnsi="Open Sans" w:cs="Open Sans"/>
        </w:rPr>
        <w:t>computational complexity</w:t>
      </w:r>
    </w:p>
    <w:p w14:paraId="5CE12F54" w14:textId="21226905" w:rsidR="003D2D00" w:rsidRDefault="008055E6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Leading on from functionality is </w:t>
      </w:r>
      <w:r w:rsidR="00DD2BE5">
        <w:rPr>
          <w:rFonts w:ascii="Open Sans" w:hAnsi="Open Sans" w:cs="Open Sans"/>
        </w:rPr>
        <w:t xml:space="preserve">computational complexity. Any technical solution with regards to programming and systems will have limitations and requirements in terms of system hardware and efficiency, relating to RAM usage, </w:t>
      </w:r>
      <w:r w:rsidR="008072CE">
        <w:rPr>
          <w:rFonts w:ascii="Open Sans" w:hAnsi="Open Sans" w:cs="Open Sans"/>
        </w:rPr>
        <w:t>computational</w:t>
      </w:r>
      <w:r w:rsidR="00DD2BE5">
        <w:rPr>
          <w:rFonts w:ascii="Open Sans" w:hAnsi="Open Sans" w:cs="Open Sans"/>
        </w:rPr>
        <w:t xml:space="preserve"> efficiency (including </w:t>
      </w:r>
      <w:r w:rsidR="00CA2EDC">
        <w:rPr>
          <w:rFonts w:ascii="Open Sans" w:hAnsi="Open Sans" w:cs="Open Sans"/>
        </w:rPr>
        <w:t>Landau notations</w:t>
      </w:r>
      <w:r w:rsidR="00D36680">
        <w:rPr>
          <w:rFonts w:ascii="Open Sans" w:hAnsi="Open Sans" w:cs="Open Sans"/>
        </w:rPr>
        <w:t xml:space="preserve">) </w:t>
      </w:r>
      <w:r w:rsidR="002C3AE4">
        <w:rPr>
          <w:rFonts w:ascii="Open Sans" w:hAnsi="Open Sans" w:cs="Open Sans"/>
        </w:rPr>
        <w:t xml:space="preserve">and </w:t>
      </w:r>
      <w:r w:rsidR="00D36680">
        <w:rPr>
          <w:rFonts w:ascii="Open Sans" w:hAnsi="Open Sans" w:cs="Open Sans"/>
        </w:rPr>
        <w:t>hardware requirements</w:t>
      </w:r>
      <w:r w:rsidR="0006556F"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631985116"/>
          <w:citation/>
        </w:sdtPr>
        <w:sdtContent>
          <w:r w:rsidR="0006556F">
            <w:rPr>
              <w:rFonts w:ascii="Open Sans" w:hAnsi="Open Sans" w:cs="Open Sans"/>
            </w:rPr>
            <w:fldChar w:fldCharType="begin"/>
          </w:r>
          <w:r w:rsidR="0006556F">
            <w:rPr>
              <w:rFonts w:ascii="Open Sans" w:hAnsi="Open Sans" w:cs="Open Sans"/>
            </w:rPr>
            <w:instrText xml:space="preserve"> CITATION Ellnd \l 2057 </w:instrText>
          </w:r>
          <w:r w:rsidR="0006556F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(Ellinor, et al., n.d.)</w:t>
          </w:r>
          <w:r w:rsidR="0006556F">
            <w:rPr>
              <w:rFonts w:ascii="Open Sans" w:hAnsi="Open Sans" w:cs="Open Sans"/>
            </w:rPr>
            <w:fldChar w:fldCharType="end"/>
          </w:r>
        </w:sdtContent>
      </w:sdt>
      <w:r w:rsidR="0006556F">
        <w:rPr>
          <w:rFonts w:ascii="Open Sans" w:hAnsi="Open Sans" w:cs="Open Sans"/>
        </w:rPr>
        <w:t>.</w:t>
      </w:r>
    </w:p>
    <w:p w14:paraId="613D3946" w14:textId="397C4FB5" w:rsidR="006876DF" w:rsidRDefault="00CA2EDC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Landau</w:t>
      </w:r>
      <w:r w:rsidR="00A42860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n</w:t>
      </w:r>
      <w:r w:rsidR="00A42860">
        <w:rPr>
          <w:rFonts w:ascii="Open Sans" w:hAnsi="Open Sans" w:cs="Open Sans"/>
        </w:rPr>
        <w:t xml:space="preserve">otation is important to consider </w:t>
      </w:r>
      <w:r w:rsidR="007A0289">
        <w:rPr>
          <w:rFonts w:ascii="Open Sans" w:hAnsi="Open Sans" w:cs="Open Sans"/>
        </w:rPr>
        <w:t>as a part of</w:t>
      </w:r>
      <w:r w:rsidR="00A42860">
        <w:rPr>
          <w:rFonts w:ascii="Open Sans" w:hAnsi="Open Sans" w:cs="Open Sans"/>
        </w:rPr>
        <w:t xml:space="preserve"> computational efficiency as it helps describe scalability and </w:t>
      </w:r>
      <w:r w:rsidR="00074C59">
        <w:rPr>
          <w:rFonts w:ascii="Open Sans" w:hAnsi="Open Sans" w:cs="Open Sans"/>
        </w:rPr>
        <w:t xml:space="preserve">complexity in a way that </w:t>
      </w:r>
      <w:r w:rsidR="00DC613D">
        <w:rPr>
          <w:rFonts w:ascii="Open Sans" w:hAnsi="Open Sans" w:cs="Open Sans"/>
        </w:rPr>
        <w:t xml:space="preserve">helps shape how technical solutions are produced and </w:t>
      </w:r>
      <w:r w:rsidR="00CA5EC3">
        <w:rPr>
          <w:rFonts w:ascii="Open Sans" w:hAnsi="Open Sans" w:cs="Open Sans"/>
        </w:rPr>
        <w:t>compared.</w:t>
      </w:r>
      <w:r w:rsidR="00DC613D">
        <w:rPr>
          <w:rFonts w:ascii="Open Sans" w:hAnsi="Open Sans" w:cs="Open Sans"/>
        </w:rPr>
        <w:t xml:space="preserve"> Big-O notation describes how </w:t>
      </w:r>
      <w:r w:rsidR="0061512E">
        <w:rPr>
          <w:rFonts w:ascii="Open Sans" w:hAnsi="Open Sans" w:cs="Open Sans"/>
        </w:rPr>
        <w:t xml:space="preserve">an algorithm, or mathematical function, scales in complexity based on the size of the </w:t>
      </w:r>
      <w:r w:rsidR="0019078F">
        <w:rPr>
          <w:rFonts w:ascii="Open Sans" w:hAnsi="Open Sans" w:cs="Open Sans"/>
        </w:rPr>
        <w:t xml:space="preserve">input. </w:t>
      </w:r>
      <w:r w:rsidR="00A011C6">
        <w:rPr>
          <w:rFonts w:ascii="Open Sans" w:hAnsi="Open Sans" w:cs="Open Sans"/>
        </w:rPr>
        <w:t>O(n) describes a linear scaling, whereas O(n</w:t>
      </w:r>
      <w:r w:rsidR="00A011C6">
        <w:rPr>
          <w:rFonts w:ascii="Open Sans" w:hAnsi="Open Sans" w:cs="Open Sans"/>
          <w:vertAlign w:val="superscript"/>
        </w:rPr>
        <w:t>2</w:t>
      </w:r>
      <w:r w:rsidR="00A011C6">
        <w:rPr>
          <w:rFonts w:ascii="Open Sans" w:hAnsi="Open Sans" w:cs="Open Sans"/>
        </w:rPr>
        <w:t xml:space="preserve">) describes </w:t>
      </w:r>
      <w:r w:rsidR="00C723E3">
        <w:rPr>
          <w:rFonts w:ascii="Open Sans" w:hAnsi="Open Sans" w:cs="Open Sans"/>
        </w:rPr>
        <w:t xml:space="preserve">quadratic scaling </w:t>
      </w:r>
      <w:sdt>
        <w:sdtPr>
          <w:rPr>
            <w:rFonts w:ascii="Open Sans" w:hAnsi="Open Sans" w:cs="Open Sans"/>
          </w:rPr>
          <w:id w:val="-946001048"/>
          <w:citation/>
        </w:sdtPr>
        <w:sdtContent>
          <w:r w:rsidR="00C723E3">
            <w:rPr>
              <w:rFonts w:ascii="Open Sans" w:hAnsi="Open Sans" w:cs="Open Sans"/>
            </w:rPr>
            <w:fldChar w:fldCharType="begin"/>
          </w:r>
          <w:r w:rsidR="00C723E3">
            <w:rPr>
              <w:rFonts w:ascii="Open Sans" w:hAnsi="Open Sans" w:cs="Open Sans"/>
            </w:rPr>
            <w:instrText xml:space="preserve">CITATION Masnd \l 2057 </w:instrText>
          </w:r>
          <w:r w:rsidR="00C723E3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(MIT, n.d.)</w:t>
          </w:r>
          <w:r w:rsidR="00C723E3">
            <w:rPr>
              <w:rFonts w:ascii="Open Sans" w:hAnsi="Open Sans" w:cs="Open Sans"/>
            </w:rPr>
            <w:fldChar w:fldCharType="end"/>
          </w:r>
        </w:sdtContent>
      </w:sdt>
      <w:r w:rsidR="00C723E3">
        <w:rPr>
          <w:rFonts w:ascii="Open Sans" w:hAnsi="Open Sans" w:cs="Open Sans"/>
        </w:rPr>
        <w:t>.</w:t>
      </w:r>
    </w:p>
    <w:p w14:paraId="593EBD23" w14:textId="0B3B2771" w:rsidR="006876DF" w:rsidRDefault="006876DF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This difference in scaling means a linear solution becomes less difficult to execute than a quadratic solution as the input size rises, which is an important distinction when dealing with computational complexity and scalability.</w:t>
      </w:r>
    </w:p>
    <w:p w14:paraId="7B9B5FDE" w14:textId="4FEC79CF" w:rsidR="001E1A9B" w:rsidRDefault="006876DF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Big-O notation is only a part in Landau notation, </w:t>
      </w:r>
      <w:r w:rsidR="00CF7306">
        <w:rPr>
          <w:rFonts w:ascii="Open Sans" w:hAnsi="Open Sans" w:cs="Open Sans"/>
        </w:rPr>
        <w:t xml:space="preserve">which describes not only the basic </w:t>
      </w:r>
      <w:r w:rsidR="00F6148D">
        <w:rPr>
          <w:rFonts w:ascii="Open Sans" w:hAnsi="Open Sans" w:cs="Open Sans"/>
        </w:rPr>
        <w:t xml:space="preserve">method of identifying scaling complexity, but also </w:t>
      </w:r>
      <w:r w:rsidR="00A87A68">
        <w:rPr>
          <w:rFonts w:ascii="Open Sans" w:hAnsi="Open Sans" w:cs="Open Sans"/>
        </w:rPr>
        <w:t xml:space="preserve">includes similar notations that </w:t>
      </w:r>
      <w:r w:rsidR="00954E9E">
        <w:rPr>
          <w:rFonts w:ascii="Open Sans" w:hAnsi="Open Sans" w:cs="Open Sans"/>
        </w:rPr>
        <w:t xml:space="preserve">are useful for </w:t>
      </w:r>
      <w:r w:rsidR="00954E9E">
        <w:rPr>
          <w:rFonts w:ascii="Open Sans" w:hAnsi="Open Sans" w:cs="Open Sans"/>
          <w:i/>
          <w:iCs/>
        </w:rPr>
        <w:t>comparing</w:t>
      </w:r>
      <w:r w:rsidR="00954E9E">
        <w:rPr>
          <w:rFonts w:ascii="Open Sans" w:hAnsi="Open Sans" w:cs="Open Sans"/>
        </w:rPr>
        <w:t xml:space="preserve"> two functions, even if they’re both linearly scaling. </w:t>
      </w:r>
    </w:p>
    <w:p w14:paraId="009EF6D5" w14:textId="121BA9A7" w:rsidR="006876DF" w:rsidRDefault="00796153" w:rsidP="00796153">
      <w:pPr>
        <w:jc w:val="center"/>
        <w:rPr>
          <w:rFonts w:ascii="Open Sans" w:hAnsi="Open Sans" w:cs="Open Sans"/>
        </w:rPr>
      </w:pPr>
      <w:r>
        <w:object w:dxaOrig="16310" w:dyaOrig="4899" w14:anchorId="3D9A0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78.45pt;height:125.55pt" o:ole="">
            <v:imagedata r:id="rId5" o:title=""/>
          </v:shape>
          <o:OLEObject Type="Embed" ProgID="Unknown" ShapeID="_x0000_i1046" DrawAspect="Content" ObjectID="_1635949660" r:id="rId6"/>
        </w:object>
      </w:r>
    </w:p>
    <w:p w14:paraId="273AED5D" w14:textId="2A03F8FB" w:rsidR="00405DEC" w:rsidRDefault="00405DEC" w:rsidP="00405DEC">
      <w:pPr>
        <w:jc w:val="center"/>
        <w:rPr>
          <w:rFonts w:ascii="Open Sans" w:hAnsi="Open Sans" w:cs="Open Sans"/>
        </w:rPr>
      </w:pPr>
      <w:sdt>
        <w:sdtPr>
          <w:rPr>
            <w:rFonts w:ascii="Open Sans" w:hAnsi="Open Sans" w:cs="Open Sans"/>
          </w:rPr>
          <w:id w:val="-1764909225"/>
          <w:citation/>
        </w:sdtPr>
        <w:sdtContent>
          <w:r>
            <w:rPr>
              <w:rFonts w:ascii="Open Sans" w:hAnsi="Open Sans" w:cs="Open Sans"/>
            </w:rPr>
            <w:fldChar w:fldCharType="begin"/>
          </w:r>
          <w:r>
            <w:rPr>
              <w:rFonts w:ascii="Open Sans" w:hAnsi="Open Sans" w:cs="Open Sans"/>
            </w:rPr>
            <w:instrText xml:space="preserve"> CITATION Masnd \l 2057 </w:instrText>
          </w:r>
          <w:r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(MIT, n.d.)</w:t>
          </w:r>
          <w:r>
            <w:rPr>
              <w:rFonts w:ascii="Open Sans" w:hAnsi="Open Sans" w:cs="Open Sans"/>
            </w:rPr>
            <w:fldChar w:fldCharType="end"/>
          </w:r>
        </w:sdtContent>
      </w:sdt>
    </w:p>
    <w:p w14:paraId="4D34EFBC" w14:textId="2F9A30A3" w:rsidR="00405DEC" w:rsidRPr="00C34ACF" w:rsidRDefault="00405DEC" w:rsidP="00C34ACF">
      <w:pPr>
        <w:spacing w:before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These notations describe </w:t>
      </w:r>
      <w:r w:rsidR="00632BDF">
        <w:rPr>
          <w:rFonts w:ascii="Open Sans" w:hAnsi="Open Sans" w:cs="Open Sans"/>
        </w:rPr>
        <w:t xml:space="preserve">comparisons between </w:t>
      </w:r>
      <w:r w:rsidR="00285832">
        <w:rPr>
          <w:rFonts w:ascii="Open Sans" w:hAnsi="Open Sans" w:cs="Open Sans"/>
        </w:rPr>
        <w:t xml:space="preserve">functions, such that </w:t>
      </w:r>
      <w:r w:rsidR="00285832" w:rsidRPr="003B5E0C">
        <w:rPr>
          <w:rFonts w:ascii="Open Sans" w:hAnsi="Open Sans" w:cs="Open Sans"/>
          <w:i/>
          <w:iCs/>
        </w:rPr>
        <w:t>f</w:t>
      </w:r>
      <w:r w:rsidR="00285832">
        <w:rPr>
          <w:rFonts w:ascii="Open Sans" w:hAnsi="Open Sans" w:cs="Open Sans"/>
        </w:rPr>
        <w:t>(</w:t>
      </w:r>
      <w:r w:rsidR="00285832" w:rsidRPr="003B5E0C">
        <w:rPr>
          <w:rFonts w:ascii="Open Sans" w:hAnsi="Open Sans" w:cs="Open Sans"/>
          <w:i/>
          <w:iCs/>
        </w:rPr>
        <w:t>n</w:t>
      </w:r>
      <w:r w:rsidR="00285832">
        <w:rPr>
          <w:rFonts w:ascii="Open Sans" w:hAnsi="Open Sans" w:cs="Open Sans"/>
        </w:rPr>
        <w:t xml:space="preserve">) = </w:t>
      </w:r>
      <w:r w:rsidR="00DE31E5">
        <w:rPr>
          <w:rFonts w:ascii="Open Sans" w:hAnsi="Open Sans" w:cs="Open Sans"/>
        </w:rPr>
        <w:t>o</w:t>
      </w:r>
      <w:r w:rsidR="00285832">
        <w:rPr>
          <w:rFonts w:ascii="Open Sans" w:hAnsi="Open Sans" w:cs="Open Sans"/>
        </w:rPr>
        <w:t>(</w:t>
      </w:r>
      <w:r w:rsidR="00285832" w:rsidRPr="003B5E0C">
        <w:rPr>
          <w:rFonts w:ascii="Open Sans" w:hAnsi="Open Sans" w:cs="Open Sans"/>
          <w:i/>
          <w:iCs/>
        </w:rPr>
        <w:t>g</w:t>
      </w:r>
      <w:r w:rsidR="00285832">
        <w:rPr>
          <w:rFonts w:ascii="Open Sans" w:hAnsi="Open Sans" w:cs="Open Sans"/>
        </w:rPr>
        <w:t>(</w:t>
      </w:r>
      <w:r w:rsidR="00285832" w:rsidRPr="003B5E0C">
        <w:rPr>
          <w:rFonts w:ascii="Open Sans" w:hAnsi="Open Sans" w:cs="Open Sans"/>
          <w:i/>
          <w:iCs/>
        </w:rPr>
        <w:t>n</w:t>
      </w:r>
      <w:r w:rsidR="00285832">
        <w:rPr>
          <w:rFonts w:ascii="Open Sans" w:hAnsi="Open Sans" w:cs="Open Sans"/>
        </w:rPr>
        <w:t xml:space="preserve">)) means that </w:t>
      </w:r>
      <w:r w:rsidR="00B959F5">
        <w:rPr>
          <w:rFonts w:ascii="Open Sans" w:hAnsi="Open Sans" w:cs="Open Sans"/>
        </w:rPr>
        <w:t xml:space="preserve">function </w:t>
      </w:r>
      <w:r w:rsidR="00B959F5" w:rsidRPr="003B5E0C">
        <w:rPr>
          <w:rFonts w:ascii="Open Sans" w:hAnsi="Open Sans" w:cs="Open Sans"/>
          <w:i/>
          <w:iCs/>
        </w:rPr>
        <w:t xml:space="preserve">g </w:t>
      </w:r>
      <w:r w:rsidR="00B959F5">
        <w:rPr>
          <w:rFonts w:ascii="Open Sans" w:hAnsi="Open Sans" w:cs="Open Sans"/>
        </w:rPr>
        <w:t xml:space="preserve">scales </w:t>
      </w:r>
      <w:r w:rsidR="003C5694">
        <w:rPr>
          <w:rFonts w:ascii="Open Sans" w:hAnsi="Open Sans" w:cs="Open Sans"/>
        </w:rPr>
        <w:t>slower</w:t>
      </w:r>
      <w:r w:rsidR="00E4021D">
        <w:rPr>
          <w:rFonts w:ascii="Open Sans" w:hAnsi="Open Sans" w:cs="Open Sans"/>
        </w:rPr>
        <w:t xml:space="preserve"> than function </w:t>
      </w:r>
      <w:r w:rsidR="00E4021D">
        <w:rPr>
          <w:rFonts w:ascii="Open Sans" w:hAnsi="Open Sans" w:cs="Open Sans"/>
          <w:i/>
          <w:iCs/>
        </w:rPr>
        <w:t>f</w:t>
      </w:r>
      <w:r w:rsidR="00E4021D">
        <w:rPr>
          <w:rFonts w:ascii="Open Sans" w:hAnsi="Open Sans" w:cs="Open Sans"/>
        </w:rPr>
        <w:t xml:space="preserve">, meaning that </w:t>
      </w:r>
      <w:r w:rsidR="00DE31E5" w:rsidRPr="00DE31E5">
        <w:rPr>
          <w:rFonts w:ascii="Open Sans" w:hAnsi="Open Sans" w:cs="Open Sans"/>
          <w:i/>
          <w:iCs/>
        </w:rPr>
        <w:t>g</w:t>
      </w:r>
      <w:r w:rsidR="00DE31E5">
        <w:rPr>
          <w:rFonts w:ascii="Open Sans" w:hAnsi="Open Sans" w:cs="Open Sans"/>
        </w:rPr>
        <w:t>(</w:t>
      </w:r>
      <w:r w:rsidR="00DE31E5" w:rsidRPr="00DE31E5">
        <w:rPr>
          <w:rFonts w:ascii="Open Sans" w:hAnsi="Open Sans" w:cs="Open Sans"/>
          <w:i/>
          <w:iCs/>
        </w:rPr>
        <w:t>n</w:t>
      </w:r>
      <w:r w:rsidR="00DE31E5">
        <w:rPr>
          <w:rFonts w:ascii="Open Sans" w:hAnsi="Open Sans" w:cs="Open Sans"/>
        </w:rPr>
        <w:t xml:space="preserve">) is less complex than </w:t>
      </w:r>
      <w:r w:rsidR="00DE31E5">
        <w:rPr>
          <w:rFonts w:ascii="Open Sans" w:hAnsi="Open Sans" w:cs="Open Sans"/>
          <w:i/>
          <w:iCs/>
        </w:rPr>
        <w:t>f</w:t>
      </w:r>
      <w:r w:rsidR="00DE31E5">
        <w:rPr>
          <w:rFonts w:ascii="Open Sans" w:hAnsi="Open Sans" w:cs="Open Sans"/>
        </w:rPr>
        <w:t>(</w:t>
      </w:r>
      <w:r w:rsidR="00DE31E5">
        <w:rPr>
          <w:rFonts w:ascii="Open Sans" w:hAnsi="Open Sans" w:cs="Open Sans"/>
          <w:i/>
          <w:iCs/>
        </w:rPr>
        <w:t>n</w:t>
      </w:r>
      <w:r w:rsidR="00DE31E5">
        <w:rPr>
          <w:rFonts w:ascii="Open Sans" w:hAnsi="Open Sans" w:cs="Open Sans"/>
        </w:rPr>
        <w:t>), while still being a linear change.</w:t>
      </w:r>
      <w:r w:rsidR="006F239C">
        <w:rPr>
          <w:rFonts w:ascii="Open Sans" w:hAnsi="Open Sans" w:cs="Open Sans"/>
        </w:rPr>
        <w:t xml:space="preserve"> Similarly, </w:t>
      </w:r>
      <w:r w:rsidR="006F239C">
        <w:rPr>
          <w:rFonts w:ascii="Open Sans" w:hAnsi="Open Sans" w:cs="Open Sans"/>
          <w:i/>
          <w:iCs/>
        </w:rPr>
        <w:t>f</w:t>
      </w:r>
      <w:r w:rsidR="006F239C">
        <w:rPr>
          <w:rFonts w:ascii="Open Sans" w:hAnsi="Open Sans" w:cs="Open Sans"/>
        </w:rPr>
        <w:t>(</w:t>
      </w:r>
      <w:r w:rsidR="006F239C">
        <w:rPr>
          <w:rFonts w:ascii="Open Sans" w:hAnsi="Open Sans" w:cs="Open Sans"/>
          <w:i/>
          <w:iCs/>
        </w:rPr>
        <w:t>n</w:t>
      </w:r>
      <w:r w:rsidR="006F239C">
        <w:rPr>
          <w:rFonts w:ascii="Open Sans" w:hAnsi="Open Sans" w:cs="Open Sans"/>
        </w:rPr>
        <w:t xml:space="preserve">) = </w:t>
      </w:r>
      <w:r w:rsidR="00C34ACF">
        <w:rPr>
          <w:rFonts w:ascii="Open Sans" w:hAnsi="Open Sans" w:cs="Open Sans"/>
        </w:rPr>
        <w:t>ω</w:t>
      </w:r>
      <w:r w:rsidR="006F239C">
        <w:rPr>
          <w:rFonts w:ascii="Open Sans" w:hAnsi="Open Sans" w:cs="Open Sans"/>
        </w:rPr>
        <w:t>(</w:t>
      </w:r>
      <w:r w:rsidR="006F239C">
        <w:rPr>
          <w:rFonts w:ascii="Open Sans" w:hAnsi="Open Sans" w:cs="Open Sans"/>
          <w:i/>
          <w:iCs/>
        </w:rPr>
        <w:t>g</w:t>
      </w:r>
      <w:r w:rsidR="006F239C">
        <w:rPr>
          <w:rFonts w:ascii="Open Sans" w:hAnsi="Open Sans" w:cs="Open Sans"/>
        </w:rPr>
        <w:t>(</w:t>
      </w:r>
      <w:r w:rsidR="006F239C">
        <w:rPr>
          <w:rFonts w:ascii="Open Sans" w:hAnsi="Open Sans" w:cs="Open Sans"/>
          <w:i/>
          <w:iCs/>
        </w:rPr>
        <w:t>n</w:t>
      </w:r>
      <w:r w:rsidR="006F239C">
        <w:rPr>
          <w:rFonts w:ascii="Open Sans" w:hAnsi="Open Sans" w:cs="Open Sans"/>
        </w:rPr>
        <w:t xml:space="preserve">)) means the inverse, </w:t>
      </w:r>
      <w:r w:rsidR="00C34ACF">
        <w:rPr>
          <w:rFonts w:ascii="Open Sans" w:hAnsi="Open Sans" w:cs="Open Sans"/>
        </w:rPr>
        <w:t xml:space="preserve">such that </w:t>
      </w:r>
      <w:r w:rsidR="00C34ACF">
        <w:rPr>
          <w:rFonts w:ascii="Open Sans" w:hAnsi="Open Sans" w:cs="Open Sans"/>
          <w:i/>
          <w:iCs/>
        </w:rPr>
        <w:t>g</w:t>
      </w:r>
      <w:r w:rsidR="00C34ACF">
        <w:rPr>
          <w:rFonts w:ascii="Open Sans" w:hAnsi="Open Sans" w:cs="Open Sans"/>
        </w:rPr>
        <w:t>(</w:t>
      </w:r>
      <w:r w:rsidR="00C34ACF">
        <w:rPr>
          <w:rFonts w:ascii="Open Sans" w:hAnsi="Open Sans" w:cs="Open Sans"/>
          <w:i/>
          <w:iCs/>
        </w:rPr>
        <w:t>n</w:t>
      </w:r>
      <w:r w:rsidR="00C34ACF">
        <w:rPr>
          <w:rFonts w:ascii="Open Sans" w:hAnsi="Open Sans" w:cs="Open Sans"/>
        </w:rPr>
        <w:t xml:space="preserve">) </w:t>
      </w:r>
      <w:r w:rsidR="003C5694">
        <w:rPr>
          <w:rFonts w:ascii="Open Sans" w:hAnsi="Open Sans" w:cs="Open Sans"/>
        </w:rPr>
        <w:t>complexity grows faster</w:t>
      </w:r>
      <w:r w:rsidR="00C34ACF">
        <w:rPr>
          <w:rFonts w:ascii="Open Sans" w:hAnsi="Open Sans" w:cs="Open Sans"/>
        </w:rPr>
        <w:t xml:space="preserve"> than </w:t>
      </w:r>
      <w:r w:rsidR="00C34ACF">
        <w:rPr>
          <w:rFonts w:ascii="Open Sans" w:hAnsi="Open Sans" w:cs="Open Sans"/>
          <w:i/>
          <w:iCs/>
        </w:rPr>
        <w:t>f</w:t>
      </w:r>
      <w:r w:rsidR="00C34ACF">
        <w:rPr>
          <w:rFonts w:ascii="Open Sans" w:hAnsi="Open Sans" w:cs="Open Sans"/>
        </w:rPr>
        <w:t>(</w:t>
      </w:r>
      <w:r w:rsidR="00C34ACF">
        <w:rPr>
          <w:rFonts w:ascii="Open Sans" w:hAnsi="Open Sans" w:cs="Open Sans"/>
          <w:i/>
          <w:iCs/>
        </w:rPr>
        <w:t>n</w:t>
      </w:r>
      <w:r w:rsidR="00C34ACF">
        <w:rPr>
          <w:rFonts w:ascii="Open Sans" w:hAnsi="Open Sans" w:cs="Open Sans"/>
        </w:rPr>
        <w:t xml:space="preserve">). This is very useful in comparing two different algorithms as it allows for a direct comparison of </w:t>
      </w:r>
      <w:r w:rsidR="00B84FAE">
        <w:rPr>
          <w:rFonts w:ascii="Open Sans" w:hAnsi="Open Sans" w:cs="Open Sans"/>
        </w:rPr>
        <w:t xml:space="preserve">how the complexity scales with the </w:t>
      </w:r>
      <w:r w:rsidR="009E2058">
        <w:rPr>
          <w:rFonts w:ascii="Open Sans" w:hAnsi="Open Sans" w:cs="Open Sans"/>
        </w:rPr>
        <w:t>input size for each function.</w:t>
      </w:r>
    </w:p>
    <w:p w14:paraId="0179D98A" w14:textId="4FBB0507" w:rsidR="003D2D00" w:rsidRPr="00F46D4B" w:rsidRDefault="00CC23DD" w:rsidP="003D2D00">
      <w:pPr>
        <w:pStyle w:val="Heading1"/>
        <w:rPr>
          <w:rFonts w:ascii="Open Sans" w:hAnsi="Open Sans" w:cs="Open Sans"/>
        </w:rPr>
      </w:pPr>
      <w:r w:rsidRPr="00F46D4B">
        <w:rPr>
          <w:rFonts w:ascii="Open Sans" w:hAnsi="Open Sans" w:cs="Open Sans"/>
        </w:rPr>
        <w:t>Implementation</w:t>
      </w:r>
    </w:p>
    <w:p w14:paraId="16E14DCD" w14:textId="798A157D" w:rsidR="00957CA2" w:rsidRDefault="00021A7A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implementation of a technical solution </w:t>
      </w:r>
      <w:r w:rsidR="00237ED4">
        <w:rPr>
          <w:rFonts w:ascii="Open Sans" w:hAnsi="Open Sans" w:cs="Open Sans"/>
        </w:rPr>
        <w:t xml:space="preserve">should specify the </w:t>
      </w:r>
      <w:r w:rsidR="005F3B5E">
        <w:rPr>
          <w:rFonts w:ascii="Open Sans" w:hAnsi="Open Sans" w:cs="Open Sans"/>
        </w:rPr>
        <w:t xml:space="preserve">systems proposed in a general scope, such as a server for hosting or storage, as well as the apps and software. As well as this, </w:t>
      </w:r>
      <w:r w:rsidR="00870E45">
        <w:rPr>
          <w:rFonts w:ascii="Open Sans" w:hAnsi="Open Sans" w:cs="Open Sans"/>
        </w:rPr>
        <w:t xml:space="preserve">the implementation should describe any libraries or requirements </w:t>
      </w:r>
      <w:r w:rsidR="00335CFB">
        <w:rPr>
          <w:rFonts w:ascii="Open Sans" w:hAnsi="Open Sans" w:cs="Open Sans"/>
        </w:rPr>
        <w:t xml:space="preserve">utilised, including software modules </w:t>
      </w:r>
      <w:r w:rsidR="001F511E">
        <w:rPr>
          <w:rFonts w:ascii="Open Sans" w:hAnsi="Open Sans" w:cs="Open Sans"/>
        </w:rPr>
        <w:t>like classes</w:t>
      </w:r>
      <w:r w:rsidR="00957CA2">
        <w:rPr>
          <w:rFonts w:ascii="Open Sans" w:hAnsi="Open Sans" w:cs="Open Sans"/>
        </w:rPr>
        <w:t>. This links with the computational complexity section, however it is broader in that it focusses on abstract objects, instead of on the specifics of the algorithms involved.</w:t>
      </w:r>
    </w:p>
    <w:p w14:paraId="2BD2C605" w14:textId="521E5EB1" w:rsidR="00957CA2" w:rsidRDefault="00983250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This abstract view of the modules and features allows for comparison </w:t>
      </w:r>
      <w:r w:rsidR="00C35268">
        <w:rPr>
          <w:rFonts w:ascii="Open Sans" w:hAnsi="Open Sans" w:cs="Open Sans"/>
        </w:rPr>
        <w:t>in system complexity</w:t>
      </w:r>
      <w:r w:rsidR="00D87D52">
        <w:rPr>
          <w:rFonts w:ascii="Open Sans" w:hAnsi="Open Sans" w:cs="Open Sans"/>
        </w:rPr>
        <w:t xml:space="preserve">, allowing the comparison of </w:t>
      </w:r>
      <w:r w:rsidR="00453CB4">
        <w:rPr>
          <w:rFonts w:ascii="Open Sans" w:hAnsi="Open Sans" w:cs="Open Sans"/>
        </w:rPr>
        <w:t xml:space="preserve">overall systems </w:t>
      </w:r>
      <w:r w:rsidR="003A78BF">
        <w:rPr>
          <w:rFonts w:ascii="Open Sans" w:hAnsi="Open Sans" w:cs="Open Sans"/>
        </w:rPr>
        <w:t xml:space="preserve">and the requirements for </w:t>
      </w:r>
      <w:r w:rsidR="00CE1BA9">
        <w:rPr>
          <w:rFonts w:ascii="Open Sans" w:hAnsi="Open Sans" w:cs="Open Sans"/>
        </w:rPr>
        <w:t xml:space="preserve">server space, app development time, </w:t>
      </w:r>
      <w:r w:rsidR="002D6193">
        <w:rPr>
          <w:rFonts w:ascii="Open Sans" w:hAnsi="Open Sans" w:cs="Open Sans"/>
        </w:rPr>
        <w:t xml:space="preserve">module development and support </w:t>
      </w:r>
      <w:r w:rsidR="0068326E">
        <w:rPr>
          <w:rFonts w:ascii="Open Sans" w:hAnsi="Open Sans" w:cs="Open Sans"/>
        </w:rPr>
        <w:t xml:space="preserve">requirements. Should a solution require a login server, as well as a content server and a </w:t>
      </w:r>
      <w:r w:rsidR="00B75319">
        <w:rPr>
          <w:rFonts w:ascii="Open Sans" w:hAnsi="Open Sans" w:cs="Open Sans"/>
        </w:rPr>
        <w:t>few load balancing servers, it would be more costly to implement than a peer-to-peer</w:t>
      </w:r>
      <w:r w:rsidR="00B37D0E">
        <w:rPr>
          <w:rFonts w:ascii="Open Sans" w:hAnsi="Open Sans" w:cs="Open Sans"/>
        </w:rPr>
        <w:t xml:space="preserve"> </w:t>
      </w:r>
      <w:r w:rsidR="00A80F54">
        <w:rPr>
          <w:rFonts w:ascii="Open Sans" w:hAnsi="Open Sans" w:cs="Open Sans"/>
        </w:rPr>
        <w:t>application with no requirements for servers</w:t>
      </w:r>
      <w:r w:rsidR="005E4418"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-1143269086"/>
          <w:citation/>
        </w:sdtPr>
        <w:sdtContent>
          <w:r w:rsidR="005E4418">
            <w:rPr>
              <w:rFonts w:ascii="Open Sans" w:hAnsi="Open Sans" w:cs="Open Sans"/>
            </w:rPr>
            <w:fldChar w:fldCharType="begin"/>
          </w:r>
          <w:r w:rsidR="005E4418">
            <w:rPr>
              <w:rFonts w:ascii="Open Sans" w:hAnsi="Open Sans" w:cs="Open Sans"/>
            </w:rPr>
            <w:instrText xml:space="preserve"> CITATION Krind \l 2057 </w:instrText>
          </w:r>
          <w:r w:rsidR="005E4418">
            <w:rPr>
              <w:rFonts w:ascii="Open Sans" w:hAnsi="Open Sans" w:cs="Open Sans"/>
            </w:rPr>
            <w:fldChar w:fldCharType="separate"/>
          </w:r>
          <w:r w:rsidR="00264E21" w:rsidRPr="00264E21">
            <w:rPr>
              <w:rFonts w:ascii="Open Sans" w:hAnsi="Open Sans" w:cs="Open Sans"/>
              <w:noProof/>
            </w:rPr>
            <w:t>(Waters, n.d.)</w:t>
          </w:r>
          <w:r w:rsidR="005E4418">
            <w:rPr>
              <w:rFonts w:ascii="Open Sans" w:hAnsi="Open Sans" w:cs="Open Sans"/>
            </w:rPr>
            <w:fldChar w:fldCharType="end"/>
          </w:r>
        </w:sdtContent>
      </w:sdt>
      <w:r w:rsidR="00A80F54">
        <w:rPr>
          <w:rFonts w:ascii="Open Sans" w:hAnsi="Open Sans" w:cs="Open Sans"/>
        </w:rPr>
        <w:t>.</w:t>
      </w:r>
    </w:p>
    <w:p w14:paraId="12A4686D" w14:textId="50E272F8" w:rsidR="00E22EE2" w:rsidRDefault="00FB74D5" w:rsidP="00E22EE2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This means that the P2P option is </w:t>
      </w:r>
      <w:r w:rsidR="00D05143">
        <w:rPr>
          <w:rFonts w:ascii="Open Sans" w:hAnsi="Open Sans" w:cs="Open Sans"/>
        </w:rPr>
        <w:t xml:space="preserve">likely </w:t>
      </w:r>
      <w:r>
        <w:rPr>
          <w:rFonts w:ascii="Open Sans" w:hAnsi="Open Sans" w:cs="Open Sans"/>
        </w:rPr>
        <w:t>going to be much cheaper and less complex t</w:t>
      </w:r>
      <w:r w:rsidR="000B1F06">
        <w:rPr>
          <w:rFonts w:ascii="Open Sans" w:hAnsi="Open Sans" w:cs="Open Sans"/>
        </w:rPr>
        <w:t xml:space="preserve">o produce </w:t>
      </w:r>
      <w:r w:rsidR="00AB5851">
        <w:rPr>
          <w:rFonts w:ascii="Open Sans" w:hAnsi="Open Sans" w:cs="Open Sans"/>
        </w:rPr>
        <w:t xml:space="preserve">than the option that requires the server space. </w:t>
      </w:r>
      <w:r w:rsidR="00FC7FEB">
        <w:rPr>
          <w:rFonts w:ascii="Open Sans" w:hAnsi="Open Sans" w:cs="Open Sans"/>
        </w:rPr>
        <w:t>This direct comparison may not be useful in some cases</w:t>
      </w:r>
      <w:r w:rsidR="00375F4F">
        <w:rPr>
          <w:rFonts w:ascii="Open Sans" w:hAnsi="Open Sans" w:cs="Open Sans"/>
        </w:rPr>
        <w:t xml:space="preserve">, like those where solutions are very similar, however for diverse solutions it helps </w:t>
      </w:r>
      <w:r w:rsidR="004927DF">
        <w:rPr>
          <w:rFonts w:ascii="Open Sans" w:hAnsi="Open Sans" w:cs="Open Sans"/>
        </w:rPr>
        <w:t>analyse the difference in a broad way.</w:t>
      </w:r>
      <w:r w:rsidR="00E22EE2">
        <w:rPr>
          <w:rFonts w:ascii="Open Sans" w:hAnsi="Open Sans" w:cs="Open Sans"/>
        </w:rPr>
        <w:br w:type="page"/>
      </w:r>
    </w:p>
    <w:p w14:paraId="3AA2BC8C" w14:textId="7E6243BC" w:rsidR="00CC23DD" w:rsidRPr="00F46D4B" w:rsidRDefault="00CC23DD" w:rsidP="00CC23DD">
      <w:pPr>
        <w:pStyle w:val="Heading1"/>
        <w:rPr>
          <w:rFonts w:ascii="Open Sans" w:hAnsi="Open Sans" w:cs="Open Sans"/>
        </w:rPr>
      </w:pPr>
      <w:r w:rsidRPr="00F46D4B">
        <w:rPr>
          <w:rFonts w:ascii="Open Sans" w:hAnsi="Open Sans" w:cs="Open Sans"/>
        </w:rPr>
        <w:lastRenderedPageBreak/>
        <w:t>Reliability</w:t>
      </w:r>
    </w:p>
    <w:p w14:paraId="2F1B129A" w14:textId="54A40D9F" w:rsidR="009E5B71" w:rsidRDefault="003D2658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Closely linked with the implementation considerations is the concern for reliability. Having </w:t>
      </w:r>
      <w:r w:rsidR="00FB0871">
        <w:rPr>
          <w:rFonts w:ascii="Open Sans" w:hAnsi="Open Sans" w:cs="Open Sans"/>
        </w:rPr>
        <w:t xml:space="preserve">a more complex server system means more points of failure, </w:t>
      </w:r>
      <w:r w:rsidR="00C83C82">
        <w:rPr>
          <w:rFonts w:ascii="Open Sans" w:hAnsi="Open Sans" w:cs="Open Sans"/>
        </w:rPr>
        <w:t xml:space="preserve">concerning server downtime and </w:t>
      </w:r>
      <w:r w:rsidR="00AE69A7">
        <w:rPr>
          <w:rFonts w:ascii="Open Sans" w:hAnsi="Open Sans" w:cs="Open Sans"/>
        </w:rPr>
        <w:t xml:space="preserve">load requirements. </w:t>
      </w:r>
      <w:r w:rsidR="00566680">
        <w:rPr>
          <w:rFonts w:ascii="Open Sans" w:hAnsi="Open Sans" w:cs="Open Sans"/>
        </w:rPr>
        <w:t xml:space="preserve">Accounting for the differences in reliability in the system integration is a key component to comparing between different technical solutions, as it </w:t>
      </w:r>
      <w:r w:rsidR="00015A32">
        <w:rPr>
          <w:rFonts w:ascii="Open Sans" w:hAnsi="Open Sans" w:cs="Open Sans"/>
        </w:rPr>
        <w:t xml:space="preserve">helps minimise risk of failure and downtime. </w:t>
      </w:r>
      <w:r w:rsidR="006A7450">
        <w:rPr>
          <w:rFonts w:ascii="Open Sans" w:hAnsi="Open Sans" w:cs="Open Sans"/>
        </w:rPr>
        <w:t xml:space="preserve">Having the risks written down also allows for the feasibility report to later refer to said risks in order to help come up with </w:t>
      </w:r>
      <w:r w:rsidR="009A688E">
        <w:rPr>
          <w:rFonts w:ascii="Open Sans" w:hAnsi="Open Sans" w:cs="Open Sans"/>
        </w:rPr>
        <w:t>contingencies</w:t>
      </w:r>
      <w:r w:rsidR="009E5B71">
        <w:rPr>
          <w:rFonts w:ascii="Open Sans" w:hAnsi="Open Sans" w:cs="Open Sans"/>
        </w:rPr>
        <w:t>.</w:t>
      </w:r>
    </w:p>
    <w:p w14:paraId="5B791EEA" w14:textId="4152E2EC" w:rsidR="00CC23DD" w:rsidRPr="00F46D4B" w:rsidRDefault="009E5B71" w:rsidP="00DD12BD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Included in the reliability is the consideration of support requirements, </w:t>
      </w:r>
      <w:r w:rsidR="00F5420C">
        <w:rPr>
          <w:rFonts w:ascii="Open Sans" w:hAnsi="Open Sans" w:cs="Open Sans"/>
        </w:rPr>
        <w:t xml:space="preserve">concerning the requirement for updates, technical support, and </w:t>
      </w:r>
      <w:r w:rsidR="009E625E">
        <w:rPr>
          <w:rFonts w:ascii="Open Sans" w:hAnsi="Open Sans" w:cs="Open Sans"/>
        </w:rPr>
        <w:t>long-term</w:t>
      </w:r>
      <w:r w:rsidR="00725E19">
        <w:rPr>
          <w:rFonts w:ascii="Open Sans" w:hAnsi="Open Sans" w:cs="Open Sans"/>
        </w:rPr>
        <w:t xml:space="preserve"> development and expansion of features. Having </w:t>
      </w:r>
      <w:r w:rsidR="00023FE6">
        <w:rPr>
          <w:rFonts w:ascii="Open Sans" w:hAnsi="Open Sans" w:cs="Open Sans"/>
        </w:rPr>
        <w:t xml:space="preserve">a less complex system </w:t>
      </w:r>
      <w:r w:rsidR="00A7021B">
        <w:rPr>
          <w:rFonts w:ascii="Open Sans" w:hAnsi="Open Sans" w:cs="Open Sans"/>
        </w:rPr>
        <w:t>with more reliable components lowers the risk of required bug fixes and support</w:t>
      </w:r>
      <w:r w:rsidR="002E6780">
        <w:rPr>
          <w:rFonts w:ascii="Open Sans" w:hAnsi="Open Sans" w:cs="Open Sans"/>
        </w:rPr>
        <w:t xml:space="preserve">. Additionally, planning for future expansion of features helps determine </w:t>
      </w:r>
      <w:r w:rsidR="00377A58">
        <w:rPr>
          <w:rFonts w:ascii="Open Sans" w:hAnsi="Open Sans" w:cs="Open Sans"/>
        </w:rPr>
        <w:t>whether</w:t>
      </w:r>
      <w:r w:rsidR="00A65F2E">
        <w:rPr>
          <w:rFonts w:ascii="Open Sans" w:hAnsi="Open Sans" w:cs="Open Sans"/>
        </w:rPr>
        <w:t xml:space="preserve"> any extra functionality should be added and considered in the future, in terms of risk and complexity.</w:t>
      </w:r>
      <w:r w:rsidR="00CC23DD" w:rsidRPr="00F46D4B">
        <w:rPr>
          <w:rFonts w:ascii="Open Sans" w:hAnsi="Open Sans" w:cs="Open Sans"/>
        </w:rPr>
        <w:br w:type="page"/>
      </w:r>
    </w:p>
    <w:sdt>
      <w:sdtPr>
        <w:rPr>
          <w:rFonts w:ascii="Open Sans" w:hAnsi="Open Sans" w:cs="Open Sans"/>
        </w:rPr>
        <w:id w:val="-252907292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0"/>
          <w:szCs w:val="20"/>
        </w:rPr>
      </w:sdtEndPr>
      <w:sdtContent>
        <w:p w14:paraId="3B6DAAD9" w14:textId="6049560A" w:rsidR="00CC23DD" w:rsidRPr="00F46D4B" w:rsidRDefault="00CC23DD">
          <w:pPr>
            <w:pStyle w:val="Heading1"/>
            <w:rPr>
              <w:rFonts w:ascii="Open Sans" w:hAnsi="Open Sans" w:cs="Open Sans"/>
            </w:rPr>
          </w:pPr>
          <w:r w:rsidRPr="00F46D4B">
            <w:rPr>
              <w:rFonts w:ascii="Open Sans" w:hAnsi="Open Sans" w:cs="Open Sans"/>
            </w:rPr>
            <w:t>References</w:t>
          </w:r>
        </w:p>
        <w:sdt>
          <w:sdtPr>
            <w:rPr>
              <w:rFonts w:ascii="Open Sans" w:hAnsi="Open Sans" w:cs="Open Sans"/>
            </w:rPr>
            <w:id w:val="-573587230"/>
            <w:bibliography/>
          </w:sdtPr>
          <w:sdtContent>
            <w:p w14:paraId="0DB212C4" w14:textId="77777777" w:rsidR="00264E21" w:rsidRDefault="00CC23DD" w:rsidP="00264E21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F46D4B">
                <w:rPr>
                  <w:rFonts w:ascii="Open Sans" w:hAnsi="Open Sans" w:cs="Open Sans"/>
                </w:rPr>
                <w:fldChar w:fldCharType="begin"/>
              </w:r>
              <w:r w:rsidRPr="00F46D4B">
                <w:rPr>
                  <w:rFonts w:ascii="Open Sans" w:hAnsi="Open Sans" w:cs="Open Sans"/>
                </w:rPr>
                <w:instrText xml:space="preserve"> BIBLIOGRAPHY </w:instrText>
              </w:r>
              <w:r w:rsidRPr="00F46D4B">
                <w:rPr>
                  <w:rFonts w:ascii="Open Sans" w:hAnsi="Open Sans" w:cs="Open Sans"/>
                </w:rPr>
                <w:fldChar w:fldCharType="separate"/>
              </w:r>
              <w:r w:rsidR="00264E21">
                <w:rPr>
                  <w:noProof/>
                </w:rPr>
                <w:t xml:space="preserve">Bass, L., Clements, P. &amp; Kazman, R., 2012. Chapter 4.2: Understanding Quality Attributes in Software Architecture. In: </w:t>
              </w:r>
              <w:r w:rsidR="00264E21">
                <w:rPr>
                  <w:i/>
                  <w:iCs/>
                  <w:noProof/>
                </w:rPr>
                <w:t xml:space="preserve">Software Architecture in Practice, 3rd Edition. </w:t>
              </w:r>
              <w:r w:rsidR="00264E21">
                <w:rPr>
                  <w:noProof/>
                </w:rPr>
                <w:t>s.l.:Addison-Wesley Professional.</w:t>
              </w:r>
            </w:p>
            <w:p w14:paraId="0386A467" w14:textId="77777777" w:rsidR="00264E21" w:rsidRDefault="00264E21" w:rsidP="00264E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Ellinor, A. et al., n.d.. </w:t>
              </w:r>
              <w:r>
                <w:rPr>
                  <w:i/>
                  <w:iCs/>
                  <w:noProof/>
                </w:rPr>
                <w:t xml:space="preserve">Big O Notation.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https://brilliant.org/wiki/big-o-notation/</w:t>
              </w:r>
              <w:r>
                <w:rPr>
                  <w:noProof/>
                </w:rPr>
                <w:br/>
                <w:t>[Accessed 22nd November 2019].</w:t>
              </w:r>
            </w:p>
            <w:p w14:paraId="5F5DA390" w14:textId="77777777" w:rsidR="00264E21" w:rsidRDefault="00264E21" w:rsidP="00264E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MIT, n.d.. </w:t>
              </w:r>
              <w:r>
                <w:rPr>
                  <w:i/>
                  <w:iCs/>
                  <w:noProof/>
                </w:rPr>
                <w:t xml:space="preserve">Big O notation.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https://web.mit.edu/16.070/www/lecture/big_o.pdf</w:t>
              </w:r>
              <w:r>
                <w:rPr>
                  <w:noProof/>
                </w:rPr>
                <w:br/>
                <w:t>[Accessed 22nd November 2019].</w:t>
              </w:r>
            </w:p>
            <w:p w14:paraId="2658A23B" w14:textId="77777777" w:rsidR="00264E21" w:rsidRDefault="00264E21" w:rsidP="00264E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Paget, V., 2017. </w:t>
              </w:r>
              <w:r>
                <w:rPr>
                  <w:i/>
                  <w:iCs/>
                  <w:noProof/>
                </w:rPr>
                <w:t xml:space="preserve">Features vs Functionality: How to accurately compare software systems.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https://blog.boardingware.com/features-vs-functionality/</w:t>
              </w:r>
              <w:r>
                <w:rPr>
                  <w:noProof/>
                </w:rPr>
                <w:br/>
                <w:t>[Accessed 22nd November 2019].</w:t>
              </w:r>
            </w:p>
            <w:p w14:paraId="31547FE2" w14:textId="77777777" w:rsidR="00264E21" w:rsidRDefault="00264E21" w:rsidP="00264E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Spacey, J., 2017. </w:t>
              </w:r>
              <w:r>
                <w:rPr>
                  <w:i/>
                  <w:iCs/>
                  <w:noProof/>
                </w:rPr>
                <w:t xml:space="preserve">14 Types of Technical Feasibility.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https://simplicable.com/new/technical-feasibility</w:t>
              </w:r>
              <w:r>
                <w:rPr>
                  <w:noProof/>
                </w:rPr>
                <w:br/>
                <w:t>[Accessed 22nd November 2019].</w:t>
              </w:r>
            </w:p>
            <w:p w14:paraId="11BAE1C3" w14:textId="77777777" w:rsidR="00264E21" w:rsidRDefault="00264E21" w:rsidP="00264E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Waters, K., n.d.. </w:t>
              </w:r>
              <w:r>
                <w:rPr>
                  <w:i/>
                  <w:iCs/>
                  <w:noProof/>
                </w:rPr>
                <w:t xml:space="preserve">Peer-to-Peer vs. Client-Server Networks.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https://www.techwalla.com/articles/peer-to-peer-vs-client-server-networks</w:t>
              </w:r>
              <w:r>
                <w:rPr>
                  <w:noProof/>
                </w:rPr>
                <w:br/>
                <w:t>[Accessed 22nd November 2019].</w:t>
              </w:r>
            </w:p>
            <w:p w14:paraId="794026BD" w14:textId="07DB7218" w:rsidR="00CC23DD" w:rsidRPr="00F46D4B" w:rsidRDefault="00CC23DD" w:rsidP="00264E21">
              <w:pPr>
                <w:rPr>
                  <w:rFonts w:ascii="Open Sans" w:hAnsi="Open Sans" w:cs="Open Sans"/>
                </w:rPr>
              </w:pPr>
              <w:r w:rsidRPr="00F46D4B">
                <w:rPr>
                  <w:rFonts w:ascii="Open Sans" w:hAnsi="Open Sans" w:cs="Open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ACA536" w14:textId="77777777" w:rsidR="00CC23DD" w:rsidRPr="00F46D4B" w:rsidRDefault="00CC23DD" w:rsidP="00CC23DD">
      <w:pPr>
        <w:rPr>
          <w:rFonts w:ascii="Open Sans" w:hAnsi="Open Sans" w:cs="Open Sans"/>
        </w:rPr>
      </w:pPr>
    </w:p>
    <w:sectPr w:rsidR="00CC23DD" w:rsidRPr="00F4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2"/>
    <w:rsid w:val="00015A32"/>
    <w:rsid w:val="00021A7A"/>
    <w:rsid w:val="00023FE6"/>
    <w:rsid w:val="0003684F"/>
    <w:rsid w:val="0006556F"/>
    <w:rsid w:val="00065899"/>
    <w:rsid w:val="00074C59"/>
    <w:rsid w:val="000826FE"/>
    <w:rsid w:val="000A0292"/>
    <w:rsid w:val="000B1F06"/>
    <w:rsid w:val="000E0EED"/>
    <w:rsid w:val="00101835"/>
    <w:rsid w:val="00121FF2"/>
    <w:rsid w:val="00153904"/>
    <w:rsid w:val="00154283"/>
    <w:rsid w:val="00182824"/>
    <w:rsid w:val="0019078F"/>
    <w:rsid w:val="001C3D80"/>
    <w:rsid w:val="001E1A9B"/>
    <w:rsid w:val="001F511E"/>
    <w:rsid w:val="00237ED4"/>
    <w:rsid w:val="00264E21"/>
    <w:rsid w:val="00273A51"/>
    <w:rsid w:val="00285832"/>
    <w:rsid w:val="002C3AE4"/>
    <w:rsid w:val="002D6193"/>
    <w:rsid w:val="002E6780"/>
    <w:rsid w:val="00322F44"/>
    <w:rsid w:val="00335CFB"/>
    <w:rsid w:val="003630D9"/>
    <w:rsid w:val="00365C99"/>
    <w:rsid w:val="00375F4F"/>
    <w:rsid w:val="00377A58"/>
    <w:rsid w:val="00384B03"/>
    <w:rsid w:val="003A6353"/>
    <w:rsid w:val="003A78BF"/>
    <w:rsid w:val="003B5E0C"/>
    <w:rsid w:val="003C5694"/>
    <w:rsid w:val="003D2658"/>
    <w:rsid w:val="003D2D00"/>
    <w:rsid w:val="003D52CA"/>
    <w:rsid w:val="00405DEC"/>
    <w:rsid w:val="00426E4B"/>
    <w:rsid w:val="00453CB4"/>
    <w:rsid w:val="004927DF"/>
    <w:rsid w:val="00525AB2"/>
    <w:rsid w:val="00566680"/>
    <w:rsid w:val="00572203"/>
    <w:rsid w:val="005820C1"/>
    <w:rsid w:val="00590CCA"/>
    <w:rsid w:val="005E4418"/>
    <w:rsid w:val="005E791B"/>
    <w:rsid w:val="005F043E"/>
    <w:rsid w:val="005F3B5E"/>
    <w:rsid w:val="005F4560"/>
    <w:rsid w:val="0061512E"/>
    <w:rsid w:val="00632BDF"/>
    <w:rsid w:val="00642681"/>
    <w:rsid w:val="00643BB7"/>
    <w:rsid w:val="0068326E"/>
    <w:rsid w:val="006876DF"/>
    <w:rsid w:val="006A7450"/>
    <w:rsid w:val="006C2762"/>
    <w:rsid w:val="006E1C55"/>
    <w:rsid w:val="006F239C"/>
    <w:rsid w:val="007119A3"/>
    <w:rsid w:val="007167EC"/>
    <w:rsid w:val="00725E19"/>
    <w:rsid w:val="0078551A"/>
    <w:rsid w:val="00796153"/>
    <w:rsid w:val="007A0289"/>
    <w:rsid w:val="007D5875"/>
    <w:rsid w:val="007E0412"/>
    <w:rsid w:val="007E7C5E"/>
    <w:rsid w:val="008055E6"/>
    <w:rsid w:val="008072CE"/>
    <w:rsid w:val="008231DD"/>
    <w:rsid w:val="00824B77"/>
    <w:rsid w:val="008534EA"/>
    <w:rsid w:val="00870E45"/>
    <w:rsid w:val="008E5596"/>
    <w:rsid w:val="009257F7"/>
    <w:rsid w:val="00950D0A"/>
    <w:rsid w:val="00954E9E"/>
    <w:rsid w:val="00957CA2"/>
    <w:rsid w:val="00983250"/>
    <w:rsid w:val="009A688E"/>
    <w:rsid w:val="009B4D43"/>
    <w:rsid w:val="009E2058"/>
    <w:rsid w:val="009E5B71"/>
    <w:rsid w:val="009E625E"/>
    <w:rsid w:val="00A011C6"/>
    <w:rsid w:val="00A42860"/>
    <w:rsid w:val="00A65F2E"/>
    <w:rsid w:val="00A7021B"/>
    <w:rsid w:val="00A80F54"/>
    <w:rsid w:val="00A87A68"/>
    <w:rsid w:val="00AB5851"/>
    <w:rsid w:val="00AC2DD6"/>
    <w:rsid w:val="00AE69A7"/>
    <w:rsid w:val="00AF3D6B"/>
    <w:rsid w:val="00B37D0E"/>
    <w:rsid w:val="00B45234"/>
    <w:rsid w:val="00B511DC"/>
    <w:rsid w:val="00B75319"/>
    <w:rsid w:val="00B84FAE"/>
    <w:rsid w:val="00B959F5"/>
    <w:rsid w:val="00BB2539"/>
    <w:rsid w:val="00C34ACF"/>
    <w:rsid w:val="00C35268"/>
    <w:rsid w:val="00C3746F"/>
    <w:rsid w:val="00C44971"/>
    <w:rsid w:val="00C723E3"/>
    <w:rsid w:val="00C83C82"/>
    <w:rsid w:val="00C942F0"/>
    <w:rsid w:val="00CA2EDC"/>
    <w:rsid w:val="00CA5EC3"/>
    <w:rsid w:val="00CA60FA"/>
    <w:rsid w:val="00CC23DD"/>
    <w:rsid w:val="00CE1BA9"/>
    <w:rsid w:val="00CF7306"/>
    <w:rsid w:val="00D05143"/>
    <w:rsid w:val="00D36680"/>
    <w:rsid w:val="00D44C9A"/>
    <w:rsid w:val="00D87D52"/>
    <w:rsid w:val="00D90A1D"/>
    <w:rsid w:val="00D96337"/>
    <w:rsid w:val="00DC613D"/>
    <w:rsid w:val="00DD12BD"/>
    <w:rsid w:val="00DD2BE5"/>
    <w:rsid w:val="00DD69BA"/>
    <w:rsid w:val="00DE31E5"/>
    <w:rsid w:val="00DE4004"/>
    <w:rsid w:val="00E15708"/>
    <w:rsid w:val="00E22EE2"/>
    <w:rsid w:val="00E4021D"/>
    <w:rsid w:val="00E55701"/>
    <w:rsid w:val="00EB3131"/>
    <w:rsid w:val="00EE4A36"/>
    <w:rsid w:val="00EF1F3E"/>
    <w:rsid w:val="00F46D4B"/>
    <w:rsid w:val="00F53DF9"/>
    <w:rsid w:val="00F5420C"/>
    <w:rsid w:val="00F6148D"/>
    <w:rsid w:val="00F731FE"/>
    <w:rsid w:val="00F934E7"/>
    <w:rsid w:val="00FA4867"/>
    <w:rsid w:val="00FB0871"/>
    <w:rsid w:val="00FB74D5"/>
    <w:rsid w:val="00FC2F9C"/>
    <w:rsid w:val="00FC7FEB"/>
    <w:rsid w:val="00FD27A4"/>
    <w:rsid w:val="00FD69FC"/>
    <w:rsid w:val="00F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FD5"/>
  <w15:chartTrackingRefBased/>
  <w15:docId w15:val="{59D40D2F-D71E-4945-ABD8-7302F9D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3E"/>
  </w:style>
  <w:style w:type="paragraph" w:styleId="Heading1">
    <w:name w:val="heading 1"/>
    <w:basedOn w:val="Normal"/>
    <w:next w:val="Normal"/>
    <w:link w:val="Heading1Char"/>
    <w:uiPriority w:val="9"/>
    <w:qFormat/>
    <w:rsid w:val="005F043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43E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43E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E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E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E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E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E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043E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043E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E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E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E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E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43E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43E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43E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04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043E"/>
    <w:rPr>
      <w:b/>
      <w:bCs/>
    </w:rPr>
  </w:style>
  <w:style w:type="character" w:styleId="Emphasis">
    <w:name w:val="Emphasis"/>
    <w:uiPriority w:val="20"/>
    <w:qFormat/>
    <w:rsid w:val="005F043E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5F04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04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04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E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E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5F043E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5F043E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5F043E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5F043E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5F04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43E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7167EC"/>
  </w:style>
  <w:style w:type="character" w:styleId="PlaceholderText">
    <w:name w:val="Placeholder Text"/>
    <w:basedOn w:val="DefaultParagraphFont"/>
    <w:uiPriority w:val="99"/>
    <w:semiHidden/>
    <w:rsid w:val="006F2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Bas12</b:Tag>
    <b:SourceType>BookSection</b:SourceType>
    <b:Guid>{F076D67F-9934-41F2-A0EE-736116CC98BA}</b:Guid>
    <b:Year>2012</b:Year>
    <b:URL>http://www.informit.com/articles/article.aspx?p=1959673&amp;seqNum=2</b:URL>
    <b:BookTitle>Software Architecture in Practice, 3rd Edition</b:BookTitle>
    <b:Publisher>Addison-Wesley Professional</b:Publisher>
    <b:Author>
      <b:Author>
        <b:NameList>
          <b:Person>
            <b:Last>Bass</b:Last>
            <b:First>Len</b:First>
          </b:Person>
          <b:Person>
            <b:Last>Clements</b:Last>
            <b:First>Paul</b:First>
          </b:Person>
          <b:Person>
            <b:Last>Kazman</b:Last>
            <b:First>Rick</b:First>
          </b:Person>
        </b:NameList>
      </b:Author>
    </b:Author>
    <b:ChapterNumber>4.2</b:ChapterNumber>
    <b:Title>Chapter 4.2: Understanding Quality Attributes in Software Architecture</b:Title>
    <b:RefOrder>2</b:RefOrder>
  </b:Source>
  <b:Source>
    <b:Tag>Vin17</b:Tag>
    <b:SourceType>InternetSite</b:SourceType>
    <b:Guid>{A62ACC48-02E1-442B-BB1C-492D24127F0B}</b:Guid>
    <b:Title>Features vs Functionality: How to accurately compare software systems</b:Title>
    <b:Year>2017</b:Year>
    <b:Author>
      <b:Author>
        <b:NameList>
          <b:Person>
            <b:Last>Paget</b:Last>
            <b:First>Vincent</b:First>
          </b:Person>
        </b:NameList>
      </b:Author>
    </b:Author>
    <b:InternetSiteTitle>Boardingware Blog</b:InternetSiteTitle>
    <b:Month>June</b:Month>
    <b:Day>19th</b:Day>
    <b:URL>https://blog.boardingware.com/features-vs-functionality/</b:URL>
    <b:YearAccessed>2019</b:YearAccessed>
    <b:MonthAccessed>November</b:MonthAccessed>
    <b:DayAccessed>22nd</b:DayAccessed>
    <b:RefOrder>3</b:RefOrder>
  </b:Source>
  <b:Source>
    <b:Tag>Ellnd</b:Tag>
    <b:SourceType>InternetSite</b:SourceType>
    <b:Guid>{965129AB-E651-4212-A3DB-98F912D96CCF}</b:Guid>
    <b:Title>Big O Notation</b:Title>
    <b:Year>n.d.</b:Year>
    <b:YearAccessed>2019</b:YearAccessed>
    <b:MonthAccessed>November</b:MonthAccessed>
    <b:DayAccessed>22nd</b:DayAccessed>
    <b:URL>https://brilliant.org/wiki/big-o-notation/</b:URL>
    <b:Author>
      <b:Author>
        <b:NameList>
          <b:Person>
            <b:Last>Ellinor</b:Last>
            <b:First>Andrew</b:First>
          </b:Person>
          <b:Person>
            <b:Last>Koswara</b:Last>
            <b:First>Ivan</b:First>
          </b:Person>
          <b:Person>
            <b:Last>Sirett</b:Last>
            <b:First>Ed</b:First>
          </b:Person>
          <b:Person>
            <b:Last>Biswas</b:Last>
            <b:First>Prasun</b:First>
          </b:Person>
          <b:Person>
            <b:Last>Chu</b:Last>
            <b:First>Daniel</b:First>
          </b:Person>
          <b:Person>
            <b:Last>Dash</b:Last>
            <b:First>Satyabrata</b:First>
          </b:Person>
          <b:Person>
            <b:Last>Franck</b:Last>
            <b:First>Robert</b:First>
          </b:Person>
          <b:Person>
            <b:Last>Silverman</b:Last>
            <b:First>Josh</b:First>
          </b:Person>
          <b:Person>
            <b:Last>Khim</b:Last>
            <b:First>Jimin</b:First>
          </b:Person>
          <b:Person>
            <b:Last>Dickson</b:Last>
            <b:First>Andrew</b:First>
          </b:Person>
          <b:Person>
            <b:Last>Agnishom</b:Last>
            <b:First>Chattopadhyay</b:First>
          </b:Person>
        </b:NameList>
      </b:Author>
    </b:Author>
    <b:RefOrder>4</b:RefOrder>
  </b:Source>
  <b:Source>
    <b:Tag>Masnd</b:Tag>
    <b:SourceType>DocumentFromInternetSite</b:SourceType>
    <b:Guid>{1D5E7ABD-F8E0-4C0D-B60C-7F809257B5D9}</b:Guid>
    <b:Author>
      <b:Author>
        <b:Corporate>MIT</b:Corporate>
      </b:Author>
    </b:Author>
    <b:Title>Big O notation</b:Title>
    <b:Year>n.d.</b:Year>
    <b:YearAccessed>2019</b:YearAccessed>
    <b:MonthAccessed>November</b:MonthAccessed>
    <b:DayAccessed>22nd</b:DayAccessed>
    <b:URL>https://web.mit.edu/16.070/www/lecture/big_o.pdf</b:URL>
    <b:RefOrder>5</b:RefOrder>
  </b:Source>
  <b:Source>
    <b:Tag>Krind</b:Tag>
    <b:SourceType>InternetSite</b:SourceType>
    <b:Guid>{793E70CB-1E12-42D5-BEED-3CE6AEF4EA4B}</b:Guid>
    <b:Title>Peer-to-Peer vs. Client-Server Networks</b:Title>
    <b:Year>n.d.</b:Year>
    <b:YearAccessed>2019</b:YearAccessed>
    <b:MonthAccessed>November</b:MonthAccessed>
    <b:DayAccessed>22nd</b:DayAccessed>
    <b:URL>https://www.techwalla.com/articles/peer-to-peer-vs-client-server-networks</b:URL>
    <b:Author>
      <b:Author>
        <b:NameList>
          <b:Person>
            <b:Last>Waters</b:Last>
            <b:First>Kristen</b:First>
          </b:Person>
        </b:NameList>
      </b:Author>
    </b:Author>
    <b:RefOrder>6</b:RefOrder>
  </b:Source>
  <b:Source>
    <b:Tag>Joh17</b:Tag>
    <b:SourceType>InternetSite</b:SourceType>
    <b:Guid>{81ACAC35-8548-4AB8-B963-8CD253EFD0B5}</b:Guid>
    <b:Author>
      <b:Author>
        <b:NameList>
          <b:Person>
            <b:Last>Spacey</b:Last>
            <b:First>John</b:First>
          </b:Person>
        </b:NameList>
      </b:Author>
    </b:Author>
    <b:Title>14 Types of Technical Feasibility</b:Title>
    <b:Year>2017</b:Year>
    <b:YearAccessed>2019</b:YearAccessed>
    <b:MonthAccessed>November</b:MonthAccessed>
    <b:DayAccessed>22nd</b:DayAccessed>
    <b:URL>https://simplicable.com/new/technical-feasibility</b:URL>
    <b:RefOrder>1</b:RefOrder>
  </b:Source>
</b:Sources>
</file>

<file path=customXml/itemProps1.xml><?xml version="1.0" encoding="utf-8"?>
<ds:datastoreItem xmlns:ds="http://schemas.openxmlformats.org/officeDocument/2006/customXml" ds:itemID="{662EBADB-0056-4E35-B22B-EFEFCA13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💕</dc:creator>
  <cp:keywords/>
  <dc:description/>
  <cp:lastModifiedBy>Zoë 💕</cp:lastModifiedBy>
  <cp:revision>154</cp:revision>
  <dcterms:created xsi:type="dcterms:W3CDTF">2019-11-22T14:04:00Z</dcterms:created>
  <dcterms:modified xsi:type="dcterms:W3CDTF">2019-11-22T17:40:00Z</dcterms:modified>
</cp:coreProperties>
</file>