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EFFA" w14:textId="6D929104" w:rsidR="003D6BF5" w:rsidRPr="0016010E" w:rsidRDefault="0016010E" w:rsidP="0016010E">
      <w:pPr>
        <w:pStyle w:val="Heading1"/>
        <w:rPr>
          <w:rStyle w:val="SubtleEmphasis"/>
          <w:i w:val="0"/>
          <w:iCs w:val="0"/>
          <w:color w:val="auto"/>
        </w:rPr>
      </w:pPr>
      <w:r w:rsidRPr="0016010E">
        <w:rPr>
          <w:rStyle w:val="SubtleEmphasis"/>
          <w:i w:val="0"/>
          <w:iCs w:val="0"/>
          <w:color w:val="auto"/>
        </w:rPr>
        <w:t>Risk Assessment Procedures</w:t>
      </w:r>
    </w:p>
    <w:p w14:paraId="2AD2454F" w14:textId="6EDACD2B" w:rsidR="0016010E" w:rsidRDefault="0016010E" w:rsidP="0016010E">
      <w:pPr>
        <w:pStyle w:val="Heading3"/>
        <w:jc w:val="center"/>
        <w:rPr>
          <w:rStyle w:val="SubtleEmphasis"/>
          <w:i w:val="0"/>
          <w:iCs w:val="0"/>
          <w:color w:val="auto"/>
        </w:rPr>
      </w:pPr>
      <w:r w:rsidRPr="0016010E">
        <w:rPr>
          <w:rStyle w:val="SubtleEmphasis"/>
          <w:i w:val="0"/>
          <w:iCs w:val="0"/>
          <w:color w:val="auto"/>
        </w:rPr>
        <w:t>MK Agents</w:t>
      </w:r>
    </w:p>
    <w:p w14:paraId="410D3D8B" w14:textId="7AA3DFD3" w:rsidR="009C1C25" w:rsidRDefault="0016010E" w:rsidP="009C1C25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="00AD4A21">
        <w:rPr>
          <w:sz w:val="22"/>
          <w:szCs w:val="22"/>
        </w:rPr>
        <w:t xml:space="preserve">Risk </w:t>
      </w:r>
      <w:r w:rsidR="00243C1E">
        <w:rPr>
          <w:sz w:val="22"/>
          <w:szCs w:val="22"/>
        </w:rPr>
        <w:t xml:space="preserve">assessments are key </w:t>
      </w:r>
      <w:r w:rsidR="002A422F">
        <w:rPr>
          <w:sz w:val="22"/>
          <w:szCs w:val="22"/>
        </w:rPr>
        <w:t xml:space="preserve">in IT security, as they allow for </w:t>
      </w:r>
      <w:r w:rsidR="00127881">
        <w:rPr>
          <w:sz w:val="22"/>
          <w:szCs w:val="22"/>
        </w:rPr>
        <w:t>the identification and management of potential risks</w:t>
      </w:r>
      <w:r w:rsidR="00C73199">
        <w:rPr>
          <w:sz w:val="22"/>
          <w:szCs w:val="22"/>
        </w:rPr>
        <w:t xml:space="preserve"> </w:t>
      </w:r>
      <w:r w:rsidR="00A9346F">
        <w:rPr>
          <w:sz w:val="22"/>
          <w:szCs w:val="22"/>
        </w:rPr>
        <w:t xml:space="preserve">to security </w:t>
      </w:r>
      <w:r w:rsidR="009C1C25">
        <w:rPr>
          <w:sz w:val="22"/>
          <w:szCs w:val="22"/>
        </w:rPr>
        <w:t>and information. Preventing and managing risks helps save money, trust, and time. Below is a set of risk assessment procedures that should be followed to protect MK Agents’ digital security.</w:t>
      </w:r>
    </w:p>
    <w:p w14:paraId="7BCE97BC" w14:textId="0C0B0629" w:rsidR="000613CE" w:rsidRDefault="000613CE" w:rsidP="000613CE">
      <w:pPr>
        <w:pStyle w:val="Heading4"/>
      </w:pPr>
      <w:r>
        <w:t>Key Steps</w:t>
      </w:r>
    </w:p>
    <w:p w14:paraId="1DF808FF" w14:textId="4825FAE8" w:rsidR="00C00D4A" w:rsidRDefault="00C00D4A" w:rsidP="00C00D4A">
      <w:r>
        <w:t>The key steps to risk assessments are;</w:t>
      </w:r>
    </w:p>
    <w:p w14:paraId="74177DD4" w14:textId="72CE049D" w:rsidR="00C00D4A" w:rsidRDefault="00C00D4A" w:rsidP="008921CD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 xml:space="preserve">Risk </w:t>
      </w:r>
      <w:r w:rsidR="008921CD">
        <w:rPr>
          <w:rStyle w:val="Emphasis"/>
        </w:rPr>
        <w:t>i</w:t>
      </w:r>
      <w:r>
        <w:rPr>
          <w:rStyle w:val="Emphasis"/>
        </w:rPr>
        <w:t>dentification</w:t>
      </w:r>
    </w:p>
    <w:p w14:paraId="51580E1E" w14:textId="397CCFFE" w:rsidR="00C00D4A" w:rsidRDefault="00F61150" w:rsidP="008921CD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Measure the impacts of the risk</w:t>
      </w:r>
    </w:p>
    <w:p w14:paraId="044423DC" w14:textId="7A93AEE7" w:rsidR="004D6EEA" w:rsidRDefault="004D6EEA" w:rsidP="004D6EEA">
      <w:pPr>
        <w:pStyle w:val="ListParagraph"/>
        <w:numPr>
          <w:ilvl w:val="0"/>
          <w:numId w:val="2"/>
        </w:numPr>
        <w:rPr>
          <w:rStyle w:val="Emphasis"/>
        </w:rPr>
      </w:pPr>
      <w:r w:rsidRPr="004D6EEA">
        <w:rPr>
          <w:i/>
          <w:iCs/>
          <w:color w:val="000000" w:themeColor="text1"/>
        </w:rPr>
        <w:t>Record risk management</w:t>
      </w:r>
    </w:p>
    <w:p w14:paraId="702E8266" w14:textId="2BB39014" w:rsidR="00736ABE" w:rsidRDefault="002A3F04" w:rsidP="008921CD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Take action to reduce risk</w:t>
      </w:r>
    </w:p>
    <w:p w14:paraId="08161D66" w14:textId="4F5CEF39" w:rsidR="00EA091E" w:rsidRDefault="00151622" w:rsidP="008921CD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Review the application of the risk assessment</w:t>
      </w:r>
    </w:p>
    <w:p w14:paraId="3B524C27" w14:textId="04567B27" w:rsidR="00151622" w:rsidRDefault="00A97E66" w:rsidP="00151622">
      <w:pPr>
        <w:rPr>
          <w:rStyle w:val="Emphasis"/>
          <w:i w:val="0"/>
          <w:iCs w:val="0"/>
        </w:rPr>
      </w:pPr>
      <w:sdt>
        <w:sdtPr>
          <w:rPr>
            <w:rStyle w:val="Emphasis"/>
            <w:i w:val="0"/>
            <w:iCs w:val="0"/>
          </w:rPr>
          <w:id w:val="-806852124"/>
          <w:citation/>
        </w:sdtPr>
        <w:sdtEndPr>
          <w:rPr>
            <w:rStyle w:val="Emphasis"/>
          </w:rPr>
        </w:sdtEndPr>
        <w:sdtContent>
          <w:r w:rsidR="00151622">
            <w:rPr>
              <w:rStyle w:val="Emphasis"/>
              <w:i w:val="0"/>
              <w:iCs w:val="0"/>
            </w:rPr>
            <w:fldChar w:fldCharType="begin"/>
          </w:r>
          <w:r w:rsidR="00151622">
            <w:rPr>
              <w:rStyle w:val="Emphasis"/>
              <w:i w:val="0"/>
              <w:iCs w:val="0"/>
            </w:rPr>
            <w:instrText xml:space="preserve"> CITATION Wor19 \l 2057 </w:instrText>
          </w:r>
          <w:r w:rsidR="00151622">
            <w:rPr>
              <w:rStyle w:val="Emphasis"/>
              <w:i w:val="0"/>
              <w:iCs w:val="0"/>
            </w:rPr>
            <w:fldChar w:fldCharType="separate"/>
          </w:r>
          <w:r w:rsidR="007B04A4" w:rsidRPr="007B04A4">
            <w:rPr>
              <w:noProof/>
              <w:color w:val="000000" w:themeColor="text1"/>
            </w:rPr>
            <w:t>(Worksmart, 2019)</w:t>
          </w:r>
          <w:r w:rsidR="00151622">
            <w:rPr>
              <w:rStyle w:val="Emphasis"/>
              <w:i w:val="0"/>
              <w:iCs w:val="0"/>
            </w:rPr>
            <w:fldChar w:fldCharType="end"/>
          </w:r>
        </w:sdtContent>
      </w:sdt>
      <w:r w:rsidR="000C02E7">
        <w:rPr>
          <w:rStyle w:val="Emphasis"/>
          <w:i w:val="0"/>
          <w:iCs w:val="0"/>
        </w:rPr>
        <w:t xml:space="preserve"> </w:t>
      </w:r>
      <w:sdt>
        <w:sdtPr>
          <w:rPr>
            <w:rStyle w:val="Emphasis"/>
            <w:i w:val="0"/>
            <w:iCs w:val="0"/>
          </w:rPr>
          <w:id w:val="1397548506"/>
          <w:citation/>
        </w:sdtPr>
        <w:sdtEndPr>
          <w:rPr>
            <w:rStyle w:val="Emphasis"/>
          </w:rPr>
        </w:sdtEndPr>
        <w:sdtContent>
          <w:r w:rsidR="000C02E7">
            <w:rPr>
              <w:rStyle w:val="Emphasis"/>
              <w:i w:val="0"/>
              <w:iCs w:val="0"/>
            </w:rPr>
            <w:fldChar w:fldCharType="begin"/>
          </w:r>
          <w:r w:rsidR="000C02E7">
            <w:rPr>
              <w:rStyle w:val="Emphasis"/>
              <w:i w:val="0"/>
              <w:iCs w:val="0"/>
            </w:rPr>
            <w:instrText xml:space="preserve"> CITATION Rob13 \l 2057 </w:instrText>
          </w:r>
          <w:r w:rsidR="000C02E7">
            <w:rPr>
              <w:rStyle w:val="Emphasis"/>
              <w:i w:val="0"/>
              <w:iCs w:val="0"/>
            </w:rPr>
            <w:fldChar w:fldCharType="separate"/>
          </w:r>
          <w:r w:rsidR="007B04A4" w:rsidRPr="007B04A4">
            <w:rPr>
              <w:noProof/>
              <w:color w:val="000000" w:themeColor="text1"/>
            </w:rPr>
            <w:t>(Burgon, 2013)</w:t>
          </w:r>
          <w:r w:rsidR="000C02E7">
            <w:rPr>
              <w:rStyle w:val="Emphasis"/>
              <w:i w:val="0"/>
              <w:iCs w:val="0"/>
            </w:rPr>
            <w:fldChar w:fldCharType="end"/>
          </w:r>
        </w:sdtContent>
      </w:sdt>
      <w:r w:rsidR="00035E9D">
        <w:rPr>
          <w:rStyle w:val="Emphasis"/>
          <w:i w:val="0"/>
          <w:iCs w:val="0"/>
        </w:rPr>
        <w:t xml:space="preserve"> </w:t>
      </w:r>
      <w:sdt>
        <w:sdtPr>
          <w:rPr>
            <w:rStyle w:val="Emphasis"/>
            <w:i w:val="0"/>
            <w:iCs w:val="0"/>
          </w:rPr>
          <w:id w:val="-1940511572"/>
          <w:citation/>
        </w:sdtPr>
        <w:sdtEndPr>
          <w:rPr>
            <w:rStyle w:val="Emphasis"/>
          </w:rPr>
        </w:sdtEndPr>
        <w:sdtContent>
          <w:r w:rsidR="00035E9D">
            <w:rPr>
              <w:rStyle w:val="Emphasis"/>
              <w:i w:val="0"/>
              <w:iCs w:val="0"/>
            </w:rPr>
            <w:fldChar w:fldCharType="begin"/>
          </w:r>
          <w:r w:rsidR="00E97249">
            <w:rPr>
              <w:rStyle w:val="Emphasis"/>
              <w:i w:val="0"/>
              <w:iCs w:val="0"/>
            </w:rPr>
            <w:instrText xml:space="preserve">CITATION HSEnd \l 2057 </w:instrText>
          </w:r>
          <w:r w:rsidR="00035E9D">
            <w:rPr>
              <w:rStyle w:val="Emphasis"/>
              <w:i w:val="0"/>
              <w:iCs w:val="0"/>
            </w:rPr>
            <w:fldChar w:fldCharType="separate"/>
          </w:r>
          <w:r w:rsidR="007B04A4" w:rsidRPr="007B04A4">
            <w:rPr>
              <w:noProof/>
              <w:color w:val="000000" w:themeColor="text1"/>
            </w:rPr>
            <w:t>(HSE UK, n.d.)</w:t>
          </w:r>
          <w:r w:rsidR="00035E9D">
            <w:rPr>
              <w:rStyle w:val="Emphasis"/>
              <w:i w:val="0"/>
              <w:iCs w:val="0"/>
            </w:rPr>
            <w:fldChar w:fldCharType="end"/>
          </w:r>
        </w:sdtContent>
      </w:sdt>
    </w:p>
    <w:p w14:paraId="4B490055" w14:textId="2620EABA" w:rsidR="004502E8" w:rsidRPr="00151622" w:rsidRDefault="004502E8" w:rsidP="004502E8">
      <w:pPr>
        <w:pStyle w:val="Heading4"/>
        <w:rPr>
          <w:rStyle w:val="Emphasis"/>
          <w:i/>
          <w:iCs/>
        </w:rPr>
      </w:pPr>
      <w:r>
        <w:rPr>
          <w:rStyle w:val="Emphasis"/>
          <w:i/>
          <w:iCs/>
        </w:rPr>
        <w:t>Risk Identification</w:t>
      </w:r>
    </w:p>
    <w:p w14:paraId="2177BF24" w14:textId="13B50215" w:rsidR="00870FFC" w:rsidRDefault="00E97249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this information, it’s possible to outline a step by step process for executing a risk management for IT Infrastructure. The first step, risk identification, </w:t>
      </w:r>
      <w:r w:rsidR="001D3CF9">
        <w:rPr>
          <w:sz w:val="22"/>
          <w:szCs w:val="22"/>
        </w:rPr>
        <w:t xml:space="preserve">involves using various techniques to identify risks within the infrastructure, </w:t>
      </w:r>
      <w:r w:rsidR="001E2024">
        <w:rPr>
          <w:sz w:val="22"/>
          <w:szCs w:val="22"/>
        </w:rPr>
        <w:t xml:space="preserve">including a penetration-test, </w:t>
      </w:r>
      <w:r w:rsidR="0088027E">
        <w:rPr>
          <w:sz w:val="22"/>
          <w:szCs w:val="22"/>
        </w:rPr>
        <w:t>an ST&amp;E</w:t>
      </w:r>
      <w:r w:rsidR="002E0CA5">
        <w:rPr>
          <w:sz w:val="22"/>
          <w:szCs w:val="22"/>
        </w:rPr>
        <w:t xml:space="preserve">, or a </w:t>
      </w:r>
      <w:r w:rsidR="00870FFC">
        <w:rPr>
          <w:sz w:val="22"/>
          <w:szCs w:val="22"/>
        </w:rPr>
        <w:t>tool that scans the network for vulnerabilities</w:t>
      </w:r>
      <w:r w:rsidR="004347FD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42637129"/>
          <w:citation/>
        </w:sdtPr>
        <w:sdtEndPr/>
        <w:sdtContent>
          <w:r w:rsidR="008456A1">
            <w:rPr>
              <w:sz w:val="22"/>
              <w:szCs w:val="22"/>
            </w:rPr>
            <w:fldChar w:fldCharType="begin"/>
          </w:r>
          <w:r w:rsidR="008456A1">
            <w:rPr>
              <w:sz w:val="22"/>
              <w:szCs w:val="22"/>
            </w:rPr>
            <w:instrText xml:space="preserve"> CITATION Ili18 \l 2057 </w:instrText>
          </w:r>
          <w:r w:rsidR="008456A1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(Sotnikov, 2018)</w:t>
          </w:r>
          <w:r w:rsidR="008456A1">
            <w:rPr>
              <w:sz w:val="22"/>
              <w:szCs w:val="22"/>
            </w:rPr>
            <w:fldChar w:fldCharType="end"/>
          </w:r>
        </w:sdtContent>
      </w:sdt>
      <w:r w:rsidR="00870FFC">
        <w:rPr>
          <w:sz w:val="22"/>
          <w:szCs w:val="22"/>
        </w:rPr>
        <w:t>. These all help expose issues that a network may have and helps implement solutions by identifying the root causes.</w:t>
      </w:r>
    </w:p>
    <w:p w14:paraId="1D35845B" w14:textId="55A83B90" w:rsidR="005C45A8" w:rsidRDefault="00EA7E73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>Security Test</w:t>
      </w:r>
      <w:r w:rsidR="00D5689F">
        <w:rPr>
          <w:sz w:val="22"/>
          <w:szCs w:val="22"/>
        </w:rPr>
        <w:t xml:space="preserve"> and </w:t>
      </w:r>
      <w:r w:rsidR="00924D47">
        <w:rPr>
          <w:sz w:val="22"/>
          <w:szCs w:val="22"/>
        </w:rPr>
        <w:t>Evaluations</w:t>
      </w:r>
      <w:r w:rsidR="00D5689F">
        <w:rPr>
          <w:sz w:val="22"/>
          <w:szCs w:val="22"/>
        </w:rPr>
        <w:t xml:space="preserve"> </w:t>
      </w:r>
      <w:r w:rsidR="00924D47">
        <w:rPr>
          <w:sz w:val="22"/>
          <w:szCs w:val="22"/>
        </w:rPr>
        <w:t xml:space="preserve">are </w:t>
      </w:r>
      <w:r w:rsidR="00143A70">
        <w:rPr>
          <w:sz w:val="22"/>
          <w:szCs w:val="22"/>
        </w:rPr>
        <w:t xml:space="preserve">often conducted alongside Security Control Assessments </w:t>
      </w:r>
      <w:sdt>
        <w:sdtPr>
          <w:rPr>
            <w:sz w:val="22"/>
            <w:szCs w:val="22"/>
          </w:rPr>
          <w:id w:val="-1616436195"/>
          <w:citation/>
        </w:sdtPr>
        <w:sdtEndPr/>
        <w:sdtContent>
          <w:r w:rsidR="00097B3D">
            <w:rPr>
              <w:sz w:val="22"/>
              <w:szCs w:val="22"/>
            </w:rPr>
            <w:fldChar w:fldCharType="begin"/>
          </w:r>
          <w:r w:rsidR="00097B3D">
            <w:rPr>
              <w:sz w:val="22"/>
              <w:szCs w:val="22"/>
            </w:rPr>
            <w:instrText xml:space="preserve"> CITATION HHSnd \l 2057 </w:instrText>
          </w:r>
          <w:r w:rsidR="00097B3D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(HHS Cybersecurity Program, n.d.)</w:t>
          </w:r>
          <w:r w:rsidR="00097B3D">
            <w:rPr>
              <w:sz w:val="22"/>
              <w:szCs w:val="22"/>
            </w:rPr>
            <w:fldChar w:fldCharType="end"/>
          </w:r>
        </w:sdtContent>
      </w:sdt>
      <w:r w:rsidR="00097B3D">
        <w:rPr>
          <w:sz w:val="22"/>
          <w:szCs w:val="22"/>
        </w:rPr>
        <w:t xml:space="preserve">, and focus on </w:t>
      </w:r>
      <w:r w:rsidR="00220BF9">
        <w:rPr>
          <w:sz w:val="22"/>
          <w:szCs w:val="22"/>
        </w:rPr>
        <w:t xml:space="preserve">evaluating the </w:t>
      </w:r>
      <w:r w:rsidR="003C0431">
        <w:rPr>
          <w:sz w:val="22"/>
          <w:szCs w:val="22"/>
        </w:rPr>
        <w:t xml:space="preserve">requirements for safeguards for information and </w:t>
      </w:r>
      <w:r w:rsidR="00B15A25">
        <w:rPr>
          <w:sz w:val="22"/>
          <w:szCs w:val="22"/>
        </w:rPr>
        <w:t xml:space="preserve">the overall safety of a </w:t>
      </w:r>
      <w:r w:rsidR="0019727F">
        <w:rPr>
          <w:sz w:val="22"/>
          <w:szCs w:val="22"/>
        </w:rPr>
        <w:t>system</w:t>
      </w:r>
      <w:r w:rsidR="00D82BCC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2070789050"/>
          <w:citation/>
        </w:sdtPr>
        <w:sdtEndPr/>
        <w:sdtContent>
          <w:r w:rsidR="00D82BCC">
            <w:rPr>
              <w:sz w:val="22"/>
              <w:szCs w:val="22"/>
            </w:rPr>
            <w:fldChar w:fldCharType="begin"/>
          </w:r>
          <w:r w:rsidR="00D82BCC">
            <w:rPr>
              <w:sz w:val="22"/>
              <w:szCs w:val="22"/>
            </w:rPr>
            <w:instrText xml:space="preserve"> CITATION Cyb18 \l 2057 </w:instrText>
          </w:r>
          <w:r w:rsidR="00D82BCC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(Cybrary, 2018)</w:t>
          </w:r>
          <w:r w:rsidR="00D82BCC">
            <w:rPr>
              <w:sz w:val="22"/>
              <w:szCs w:val="22"/>
            </w:rPr>
            <w:fldChar w:fldCharType="end"/>
          </w:r>
        </w:sdtContent>
      </w:sdt>
      <w:r w:rsidR="0019727F">
        <w:rPr>
          <w:sz w:val="22"/>
          <w:szCs w:val="22"/>
        </w:rPr>
        <w:t xml:space="preserve">. An SCA alongside this helps check the efficacy of applied security controls, such as </w:t>
      </w:r>
      <w:r w:rsidR="00ED0E13">
        <w:rPr>
          <w:sz w:val="22"/>
          <w:szCs w:val="22"/>
        </w:rPr>
        <w:t>firewall rules</w:t>
      </w:r>
      <w:r w:rsidR="00954528">
        <w:rPr>
          <w:sz w:val="22"/>
          <w:szCs w:val="22"/>
        </w:rPr>
        <w:t xml:space="preserve"> and access restriction</w:t>
      </w:r>
      <w:r w:rsidR="00685C2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29690676"/>
          <w:citation/>
        </w:sdtPr>
        <w:sdtEndPr/>
        <w:sdtContent>
          <w:r w:rsidR="00685C25">
            <w:rPr>
              <w:sz w:val="22"/>
              <w:szCs w:val="22"/>
            </w:rPr>
            <w:fldChar w:fldCharType="begin"/>
          </w:r>
          <w:r w:rsidR="00685C25">
            <w:rPr>
              <w:sz w:val="22"/>
              <w:szCs w:val="22"/>
            </w:rPr>
            <w:instrText xml:space="preserve"> CITATION Pfl03 \l 2057 </w:instrText>
          </w:r>
          <w:r w:rsidR="00685C25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(Pfleeger &amp; Pfleeger, 2003)</w:t>
          </w:r>
          <w:r w:rsidR="00685C25">
            <w:rPr>
              <w:sz w:val="22"/>
              <w:szCs w:val="22"/>
            </w:rPr>
            <w:fldChar w:fldCharType="end"/>
          </w:r>
        </w:sdtContent>
      </w:sdt>
      <w:r w:rsidR="00954528">
        <w:rPr>
          <w:sz w:val="22"/>
          <w:szCs w:val="22"/>
        </w:rPr>
        <w:t>. These together help identify</w:t>
      </w:r>
      <w:r w:rsidR="005612F6">
        <w:rPr>
          <w:sz w:val="22"/>
          <w:szCs w:val="22"/>
        </w:rPr>
        <w:t xml:space="preserve"> some key areas of risk</w:t>
      </w:r>
      <w:r w:rsidR="00FD3B52">
        <w:rPr>
          <w:sz w:val="22"/>
          <w:szCs w:val="22"/>
        </w:rPr>
        <w:t xml:space="preserve"> for systems and infrastructure.</w:t>
      </w:r>
    </w:p>
    <w:p w14:paraId="38C51711" w14:textId="6781C4CF" w:rsidR="00133070" w:rsidRDefault="00870FFC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>A penetration test (or pen</w:t>
      </w:r>
      <w:r w:rsidR="00133070">
        <w:rPr>
          <w:sz w:val="22"/>
          <w:szCs w:val="22"/>
        </w:rPr>
        <w:t>-</w:t>
      </w:r>
      <w:r>
        <w:rPr>
          <w:sz w:val="22"/>
          <w:szCs w:val="22"/>
        </w:rPr>
        <w:t xml:space="preserve">test) involves </w:t>
      </w:r>
      <w:r w:rsidR="0060638A">
        <w:rPr>
          <w:sz w:val="22"/>
          <w:szCs w:val="22"/>
        </w:rPr>
        <w:t>simulating a cyberattack</w:t>
      </w:r>
      <w:r w:rsidR="00EB1B71">
        <w:rPr>
          <w:sz w:val="22"/>
          <w:szCs w:val="22"/>
        </w:rPr>
        <w:t>, with the goal to be to b</w:t>
      </w:r>
      <w:r w:rsidR="00B239B2">
        <w:rPr>
          <w:sz w:val="22"/>
          <w:szCs w:val="22"/>
        </w:rPr>
        <w:t xml:space="preserve">e the identification of cybersecurity risks like vulnerable systems, topologies or </w:t>
      </w:r>
      <w:r w:rsidR="00A5416D">
        <w:rPr>
          <w:sz w:val="22"/>
          <w:szCs w:val="22"/>
        </w:rPr>
        <w:t xml:space="preserve">software. </w:t>
      </w:r>
      <w:r w:rsidR="004502E8">
        <w:rPr>
          <w:sz w:val="22"/>
          <w:szCs w:val="22"/>
        </w:rPr>
        <w:t>These can be key to the identification of risk</w:t>
      </w:r>
      <w:r w:rsidR="0013406D">
        <w:rPr>
          <w:sz w:val="22"/>
          <w:szCs w:val="22"/>
        </w:rPr>
        <w:t xml:space="preserve">s and vulnerabilities, as a simple vulnerability assessment </w:t>
      </w:r>
      <w:r w:rsidR="00E36F44">
        <w:rPr>
          <w:sz w:val="22"/>
          <w:szCs w:val="22"/>
        </w:rPr>
        <w:t xml:space="preserve">is less in-depth and </w:t>
      </w:r>
      <w:r w:rsidR="00133070">
        <w:rPr>
          <w:sz w:val="22"/>
          <w:szCs w:val="22"/>
        </w:rPr>
        <w:t>may miss key issues that would only be identifiable by a hacker or pen-tester.</w:t>
      </w:r>
      <w:r w:rsidR="0029177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714238746"/>
          <w:citation/>
        </w:sdtPr>
        <w:sdtEndPr/>
        <w:sdtContent>
          <w:r w:rsidR="00291775">
            <w:rPr>
              <w:sz w:val="22"/>
              <w:szCs w:val="22"/>
            </w:rPr>
            <w:fldChar w:fldCharType="begin"/>
          </w:r>
          <w:r w:rsidR="00291775">
            <w:rPr>
              <w:sz w:val="22"/>
              <w:szCs w:val="22"/>
            </w:rPr>
            <w:instrText xml:space="preserve"> CITATION Cisnd \l 2057 </w:instrText>
          </w:r>
          <w:r w:rsidR="00291775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(Cisco, n.d.)</w:t>
          </w:r>
          <w:r w:rsidR="00291775">
            <w:rPr>
              <w:sz w:val="22"/>
              <w:szCs w:val="22"/>
            </w:rPr>
            <w:fldChar w:fldCharType="end"/>
          </w:r>
        </w:sdtContent>
      </w:sdt>
    </w:p>
    <w:p w14:paraId="2DD025AA" w14:textId="5C359D6B" w:rsidR="00FD3B52" w:rsidRDefault="00AF5BA3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>Vulnerability Scanning Tools help automate the procedure of identifying risks</w:t>
      </w:r>
      <w:r w:rsidR="0027363E">
        <w:rPr>
          <w:sz w:val="22"/>
          <w:szCs w:val="22"/>
        </w:rPr>
        <w:t xml:space="preserve">, with tools that </w:t>
      </w:r>
      <w:r w:rsidR="006171E9">
        <w:rPr>
          <w:sz w:val="22"/>
          <w:szCs w:val="22"/>
        </w:rPr>
        <w:t xml:space="preserve">scan with a range from the source code of implemented software, all the way up to </w:t>
      </w:r>
      <w:r w:rsidR="00211AE6">
        <w:rPr>
          <w:sz w:val="22"/>
          <w:szCs w:val="22"/>
        </w:rPr>
        <w:t>system or network scanners</w:t>
      </w:r>
      <w:r w:rsidR="00B30B94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95294417"/>
          <w:citation/>
        </w:sdtPr>
        <w:sdtEndPr/>
        <w:sdtContent>
          <w:r w:rsidR="00B30B94">
            <w:rPr>
              <w:sz w:val="22"/>
              <w:szCs w:val="22"/>
            </w:rPr>
            <w:fldChar w:fldCharType="begin"/>
          </w:r>
          <w:r w:rsidR="00B30B94">
            <w:rPr>
              <w:sz w:val="22"/>
              <w:szCs w:val="22"/>
            </w:rPr>
            <w:instrText xml:space="preserve"> CITATION Mic07 \l 2057 </w:instrText>
          </w:r>
          <w:r w:rsidR="00B30B94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(Gregg, 2007)</w:t>
          </w:r>
          <w:r w:rsidR="00B30B94">
            <w:rPr>
              <w:sz w:val="22"/>
              <w:szCs w:val="22"/>
            </w:rPr>
            <w:fldChar w:fldCharType="end"/>
          </w:r>
        </w:sdtContent>
      </w:sdt>
      <w:r w:rsidR="00B30B94">
        <w:rPr>
          <w:sz w:val="22"/>
          <w:szCs w:val="22"/>
        </w:rPr>
        <w:t xml:space="preserve">. </w:t>
      </w:r>
      <w:r w:rsidR="00EC27B0">
        <w:rPr>
          <w:sz w:val="22"/>
          <w:szCs w:val="22"/>
        </w:rPr>
        <w:t xml:space="preserve">These tools </w:t>
      </w:r>
      <w:r w:rsidR="00CD6DC4">
        <w:rPr>
          <w:sz w:val="22"/>
          <w:szCs w:val="22"/>
        </w:rPr>
        <w:t xml:space="preserve">are significant as they can spot issues that </w:t>
      </w:r>
      <w:r w:rsidR="00BB2BB6">
        <w:rPr>
          <w:sz w:val="22"/>
          <w:szCs w:val="22"/>
        </w:rPr>
        <w:t xml:space="preserve">a pen-tester or an ST&amp;E or STA might miss, as they’re automated and don’t </w:t>
      </w:r>
      <w:r w:rsidR="001B602B">
        <w:rPr>
          <w:sz w:val="22"/>
          <w:szCs w:val="22"/>
        </w:rPr>
        <w:t>have the possibility of human error.</w:t>
      </w:r>
    </w:p>
    <w:p w14:paraId="48856970" w14:textId="412AC38E" w:rsidR="001B602B" w:rsidRDefault="001B602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09CFE92" w14:textId="3FDA99B5" w:rsidR="001B602B" w:rsidRDefault="001B602B" w:rsidP="001B602B">
      <w:pPr>
        <w:pStyle w:val="Heading4"/>
      </w:pPr>
      <w:r>
        <w:lastRenderedPageBreak/>
        <w:t>Measuring the impact of the risk</w:t>
      </w:r>
    </w:p>
    <w:p w14:paraId="2CA494E3" w14:textId="52BABCD6" w:rsidR="00271573" w:rsidRDefault="001B602B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next step following the identification of risks </w:t>
      </w:r>
      <w:r w:rsidR="000A783A">
        <w:rPr>
          <w:sz w:val="22"/>
          <w:szCs w:val="22"/>
        </w:rPr>
        <w:t>involves analysing the impact they’d have on network security, company</w:t>
      </w:r>
      <w:r w:rsidR="002A160E">
        <w:rPr>
          <w:sz w:val="22"/>
          <w:szCs w:val="22"/>
        </w:rPr>
        <w:t xml:space="preserve"> operations</w:t>
      </w:r>
      <w:r w:rsidR="000A783A">
        <w:rPr>
          <w:sz w:val="22"/>
          <w:szCs w:val="22"/>
        </w:rPr>
        <w:t xml:space="preserve">, individual health and </w:t>
      </w:r>
      <w:r w:rsidR="002A160E">
        <w:rPr>
          <w:sz w:val="22"/>
          <w:szCs w:val="22"/>
        </w:rPr>
        <w:t xml:space="preserve">user safety. </w:t>
      </w:r>
      <w:r w:rsidR="00B574D2">
        <w:rPr>
          <w:sz w:val="22"/>
          <w:szCs w:val="22"/>
        </w:rPr>
        <w:t xml:space="preserve">Usually this can be easily identified, however having a catalogue of </w:t>
      </w:r>
      <w:r w:rsidR="00AE7E13">
        <w:rPr>
          <w:sz w:val="22"/>
          <w:szCs w:val="22"/>
        </w:rPr>
        <w:t>computer hardware, network topology diagrams, and a description of data storage can help identify which risks are more significant and the extent they might have.</w:t>
      </w:r>
      <w:r w:rsidR="00C07C0B">
        <w:rPr>
          <w:sz w:val="22"/>
          <w:szCs w:val="22"/>
        </w:rPr>
        <w:t xml:space="preserve"> For example, a threat that exposes user data</w:t>
      </w:r>
      <w:r w:rsidR="00812C58">
        <w:rPr>
          <w:sz w:val="22"/>
          <w:szCs w:val="22"/>
        </w:rPr>
        <w:t xml:space="preserve"> remotely</w:t>
      </w:r>
      <w:r w:rsidR="00C07C0B">
        <w:rPr>
          <w:sz w:val="22"/>
          <w:szCs w:val="22"/>
        </w:rPr>
        <w:t xml:space="preserve"> may be more significant than a </w:t>
      </w:r>
      <w:r w:rsidR="00812C58">
        <w:rPr>
          <w:sz w:val="22"/>
          <w:szCs w:val="22"/>
        </w:rPr>
        <w:t xml:space="preserve">threat that requires direct access to </w:t>
      </w:r>
      <w:r w:rsidR="00271573">
        <w:rPr>
          <w:sz w:val="22"/>
          <w:szCs w:val="22"/>
        </w:rPr>
        <w:t>the company ethernet</w:t>
      </w:r>
      <w:r w:rsidR="005438AD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870336091"/>
          <w:citation/>
        </w:sdtPr>
        <w:sdtEndPr/>
        <w:sdtContent>
          <w:r w:rsidR="005438AD">
            <w:rPr>
              <w:sz w:val="22"/>
              <w:szCs w:val="22"/>
            </w:rPr>
            <w:fldChar w:fldCharType="begin"/>
          </w:r>
          <w:r w:rsidR="005438AD">
            <w:rPr>
              <w:sz w:val="22"/>
              <w:szCs w:val="22"/>
            </w:rPr>
            <w:instrText xml:space="preserve"> CITATION Ili18 \l 2057 </w:instrText>
          </w:r>
          <w:r w:rsidR="005438AD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(Sotnikov, 2018)</w:t>
          </w:r>
          <w:r w:rsidR="005438AD">
            <w:rPr>
              <w:sz w:val="22"/>
              <w:szCs w:val="22"/>
            </w:rPr>
            <w:fldChar w:fldCharType="end"/>
          </w:r>
        </w:sdtContent>
      </w:sdt>
      <w:r w:rsidR="00271573">
        <w:rPr>
          <w:sz w:val="22"/>
          <w:szCs w:val="22"/>
        </w:rPr>
        <w:t>.</w:t>
      </w:r>
    </w:p>
    <w:p w14:paraId="5945D41A" w14:textId="77777777" w:rsidR="007C530C" w:rsidRDefault="00946641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C15E35">
        <w:rPr>
          <w:sz w:val="22"/>
          <w:szCs w:val="22"/>
        </w:rPr>
        <w:t xml:space="preserve">frequency or probability at which a risk may arise is also important to take into consideration, </w:t>
      </w:r>
      <w:r w:rsidR="00750FC2">
        <w:rPr>
          <w:sz w:val="22"/>
          <w:szCs w:val="22"/>
        </w:rPr>
        <w:t xml:space="preserve">as an issue that is statistically unlikely to occur may be less significant than </w:t>
      </w:r>
      <w:r w:rsidR="00A836A4">
        <w:rPr>
          <w:sz w:val="22"/>
          <w:szCs w:val="22"/>
        </w:rPr>
        <w:t xml:space="preserve">a misconfigured firewall, for example. Working out how often or how likely it is that a risk arises relies on </w:t>
      </w:r>
      <w:r w:rsidR="001E6C5C">
        <w:rPr>
          <w:sz w:val="22"/>
          <w:szCs w:val="22"/>
        </w:rPr>
        <w:t>understanding of the root cause</w:t>
      </w:r>
      <w:r w:rsidR="007C530C">
        <w:rPr>
          <w:sz w:val="22"/>
          <w:szCs w:val="22"/>
        </w:rPr>
        <w:t>.</w:t>
      </w:r>
    </w:p>
    <w:p w14:paraId="563CF6AC" w14:textId="7CF195A4" w:rsidR="00BA10F6" w:rsidRDefault="00BD48E4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>Documents such as a Business Impact Analysis may also assist with the measurement of the impact of a risk</w:t>
      </w:r>
      <w:r w:rsidR="005D7A4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444547506"/>
          <w:citation/>
        </w:sdtPr>
        <w:sdtEndPr/>
        <w:sdtContent>
          <w:r w:rsidR="005D7A45">
            <w:rPr>
              <w:sz w:val="22"/>
              <w:szCs w:val="22"/>
            </w:rPr>
            <w:fldChar w:fldCharType="begin"/>
          </w:r>
          <w:r w:rsidR="005D7A45">
            <w:rPr>
              <w:sz w:val="22"/>
              <w:szCs w:val="22"/>
            </w:rPr>
            <w:instrText xml:space="preserve"> CITATION Ili18 \l 2057 </w:instrText>
          </w:r>
          <w:r w:rsidR="005D7A45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(Sotnikov, 2018)</w:t>
          </w:r>
          <w:r w:rsidR="005D7A45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 xml:space="preserve">, </w:t>
      </w:r>
      <w:r w:rsidR="00414E00">
        <w:rPr>
          <w:sz w:val="22"/>
          <w:szCs w:val="22"/>
        </w:rPr>
        <w:t xml:space="preserve">which help to </w:t>
      </w:r>
      <w:r w:rsidR="00E020B0">
        <w:rPr>
          <w:sz w:val="22"/>
          <w:szCs w:val="22"/>
        </w:rPr>
        <w:t xml:space="preserve">measure the impact of risks using </w:t>
      </w:r>
      <w:r w:rsidR="00443E9A">
        <w:rPr>
          <w:sz w:val="22"/>
          <w:szCs w:val="22"/>
        </w:rPr>
        <w:t xml:space="preserve">a short description of each and how </w:t>
      </w:r>
      <w:r w:rsidR="007D2DE6">
        <w:rPr>
          <w:sz w:val="22"/>
          <w:szCs w:val="22"/>
        </w:rPr>
        <w:t xml:space="preserve">much it is likely to cost the business </w:t>
      </w:r>
      <w:sdt>
        <w:sdtPr>
          <w:rPr>
            <w:sz w:val="22"/>
            <w:szCs w:val="22"/>
          </w:rPr>
          <w:id w:val="294495819"/>
          <w:citation/>
        </w:sdtPr>
        <w:sdtEndPr/>
        <w:sdtContent>
          <w:r w:rsidR="00C07572">
            <w:rPr>
              <w:sz w:val="22"/>
              <w:szCs w:val="22"/>
            </w:rPr>
            <w:fldChar w:fldCharType="begin"/>
          </w:r>
          <w:r w:rsidR="00C07572">
            <w:rPr>
              <w:sz w:val="22"/>
              <w:szCs w:val="22"/>
            </w:rPr>
            <w:instrText xml:space="preserve"> CITATION Reand \l 2057 </w:instrText>
          </w:r>
          <w:r w:rsidR="00C07572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(Ready.gov, n.d.)</w:t>
          </w:r>
          <w:r w:rsidR="00C07572">
            <w:rPr>
              <w:sz w:val="22"/>
              <w:szCs w:val="22"/>
            </w:rPr>
            <w:fldChar w:fldCharType="end"/>
          </w:r>
        </w:sdtContent>
      </w:sdt>
      <w:r w:rsidR="007D2DE6">
        <w:rPr>
          <w:sz w:val="22"/>
          <w:szCs w:val="22"/>
        </w:rPr>
        <w:t>. There are worksheets</w:t>
      </w:r>
      <w:r w:rsidR="00C07572">
        <w:rPr>
          <w:sz w:val="22"/>
          <w:szCs w:val="22"/>
        </w:rPr>
        <w:t xml:space="preserve"> that </w:t>
      </w:r>
      <w:r w:rsidR="000E294C">
        <w:rPr>
          <w:sz w:val="22"/>
          <w:szCs w:val="22"/>
        </w:rPr>
        <w:t xml:space="preserve">can be filled out and utilised for this purpose, usually including a table </w:t>
      </w:r>
      <w:r w:rsidR="00BA10F6">
        <w:rPr>
          <w:sz w:val="22"/>
          <w:szCs w:val="22"/>
        </w:rPr>
        <w:t>like so;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10F6" w14:paraId="7DA47CA7" w14:textId="77777777" w:rsidTr="00563783">
        <w:tc>
          <w:tcPr>
            <w:tcW w:w="3005" w:type="dxa"/>
            <w:tcBorders>
              <w:top w:val="nil"/>
              <w:left w:val="nil"/>
              <w:bottom w:val="single" w:sz="4" w:space="0" w:color="auto"/>
            </w:tcBorders>
          </w:tcPr>
          <w:p w14:paraId="51ABFF3E" w14:textId="3BB602ED" w:rsidR="00BA10F6" w:rsidRDefault="00BA10F6" w:rsidP="005637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Timing/Duration</w:t>
            </w:r>
          </w:p>
        </w:tc>
        <w:tc>
          <w:tcPr>
            <w:tcW w:w="3005" w:type="dxa"/>
            <w:tcBorders>
              <w:top w:val="nil"/>
              <w:bottom w:val="single" w:sz="4" w:space="0" w:color="auto"/>
            </w:tcBorders>
          </w:tcPr>
          <w:p w14:paraId="4E6BDE24" w14:textId="2BCFD796" w:rsidR="00BA10F6" w:rsidRDefault="00BA10F6" w:rsidP="005637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Operational Impacts</w:t>
            </w:r>
          </w:p>
        </w:tc>
        <w:tc>
          <w:tcPr>
            <w:tcW w:w="3006" w:type="dxa"/>
            <w:tcBorders>
              <w:top w:val="nil"/>
              <w:bottom w:val="single" w:sz="4" w:space="0" w:color="auto"/>
              <w:right w:val="nil"/>
            </w:tcBorders>
          </w:tcPr>
          <w:p w14:paraId="1B35E525" w14:textId="62637684" w:rsidR="00BA10F6" w:rsidRDefault="00BA10F6" w:rsidP="005637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Impacts</w:t>
            </w:r>
          </w:p>
        </w:tc>
      </w:tr>
      <w:tr w:rsidR="00BA10F6" w14:paraId="3E4A3F48" w14:textId="77777777" w:rsidTr="00563783">
        <w:tc>
          <w:tcPr>
            <w:tcW w:w="3005" w:type="dxa"/>
            <w:tcBorders>
              <w:left w:val="nil"/>
              <w:bottom w:val="nil"/>
            </w:tcBorders>
          </w:tcPr>
          <w:p w14:paraId="2A4F060F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5" w:type="dxa"/>
            <w:tcBorders>
              <w:bottom w:val="nil"/>
            </w:tcBorders>
          </w:tcPr>
          <w:p w14:paraId="34A83CCD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6" w:type="dxa"/>
            <w:tcBorders>
              <w:bottom w:val="nil"/>
              <w:right w:val="nil"/>
            </w:tcBorders>
          </w:tcPr>
          <w:p w14:paraId="353145A9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</w:tr>
      <w:tr w:rsidR="00BA10F6" w14:paraId="3C4708D9" w14:textId="77777777" w:rsidTr="00563783">
        <w:tc>
          <w:tcPr>
            <w:tcW w:w="3005" w:type="dxa"/>
            <w:tcBorders>
              <w:top w:val="nil"/>
              <w:left w:val="nil"/>
              <w:bottom w:val="nil"/>
            </w:tcBorders>
          </w:tcPr>
          <w:p w14:paraId="416A93A9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30AF8074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6" w:type="dxa"/>
            <w:tcBorders>
              <w:top w:val="nil"/>
              <w:bottom w:val="nil"/>
              <w:right w:val="nil"/>
            </w:tcBorders>
          </w:tcPr>
          <w:p w14:paraId="57DFB59C" w14:textId="77777777" w:rsidR="00BA10F6" w:rsidRDefault="00BA10F6" w:rsidP="001D3CF9">
            <w:pPr>
              <w:jc w:val="both"/>
              <w:rPr>
                <w:sz w:val="22"/>
                <w:szCs w:val="22"/>
              </w:rPr>
            </w:pPr>
          </w:p>
        </w:tc>
      </w:tr>
      <w:tr w:rsidR="00563783" w14:paraId="29836A35" w14:textId="77777777" w:rsidTr="00563783">
        <w:tc>
          <w:tcPr>
            <w:tcW w:w="3005" w:type="dxa"/>
            <w:tcBorders>
              <w:top w:val="nil"/>
              <w:left w:val="nil"/>
              <w:bottom w:val="nil"/>
            </w:tcBorders>
          </w:tcPr>
          <w:p w14:paraId="3803C738" w14:textId="77777777" w:rsidR="00563783" w:rsidRDefault="00563783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03FE75B5" w14:textId="77777777" w:rsidR="00563783" w:rsidRDefault="00563783" w:rsidP="001D3CF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06" w:type="dxa"/>
            <w:tcBorders>
              <w:top w:val="nil"/>
              <w:bottom w:val="nil"/>
              <w:right w:val="nil"/>
            </w:tcBorders>
          </w:tcPr>
          <w:p w14:paraId="53F6435F" w14:textId="77777777" w:rsidR="00563783" w:rsidRDefault="00563783" w:rsidP="001D3CF9">
            <w:pPr>
              <w:jc w:val="both"/>
              <w:rPr>
                <w:sz w:val="22"/>
                <w:szCs w:val="22"/>
              </w:rPr>
            </w:pPr>
          </w:p>
        </w:tc>
      </w:tr>
    </w:tbl>
    <w:p w14:paraId="6A5F7538" w14:textId="779D9F24" w:rsidR="00563783" w:rsidRDefault="00A97E66" w:rsidP="001D3CF9">
      <w:pPr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27725115"/>
          <w:citation/>
        </w:sdtPr>
        <w:sdtEndPr/>
        <w:sdtContent>
          <w:r w:rsidR="00563783">
            <w:rPr>
              <w:sz w:val="22"/>
              <w:szCs w:val="22"/>
            </w:rPr>
            <w:fldChar w:fldCharType="begin"/>
          </w:r>
          <w:r w:rsidR="00563783">
            <w:rPr>
              <w:sz w:val="22"/>
              <w:szCs w:val="22"/>
            </w:rPr>
            <w:instrText xml:space="preserve"> CITATION FEMnd \l 2057 </w:instrText>
          </w:r>
          <w:r w:rsidR="00563783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(FEMA, n.d.)</w:t>
          </w:r>
          <w:r w:rsidR="00563783">
            <w:rPr>
              <w:sz w:val="22"/>
              <w:szCs w:val="22"/>
            </w:rPr>
            <w:fldChar w:fldCharType="end"/>
          </w:r>
        </w:sdtContent>
      </w:sdt>
    </w:p>
    <w:p w14:paraId="14354A46" w14:textId="3F5CF695" w:rsidR="00286F75" w:rsidRDefault="00563783" w:rsidP="001D3CF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sheet helps describe the differences between risks, </w:t>
      </w:r>
      <w:r w:rsidR="002B2014">
        <w:rPr>
          <w:sz w:val="22"/>
          <w:szCs w:val="22"/>
        </w:rPr>
        <w:t>focussing on the duration of interruption o</w:t>
      </w:r>
      <w:r w:rsidR="00490115">
        <w:rPr>
          <w:sz w:val="22"/>
          <w:szCs w:val="22"/>
        </w:rPr>
        <w:t xml:space="preserve">r financial impacts, the operational impacts such as lost sales </w:t>
      </w:r>
      <w:r w:rsidR="00286F75">
        <w:rPr>
          <w:sz w:val="22"/>
          <w:szCs w:val="22"/>
        </w:rPr>
        <w:t xml:space="preserve">or regulatory fines, and the predicted quantity of the financial impact that each issue may result in </w:t>
      </w:r>
      <w:sdt>
        <w:sdtPr>
          <w:rPr>
            <w:sz w:val="22"/>
            <w:szCs w:val="22"/>
          </w:rPr>
          <w:id w:val="-1480302773"/>
          <w:citation/>
        </w:sdtPr>
        <w:sdtEndPr/>
        <w:sdtContent>
          <w:r w:rsidR="00286F75">
            <w:rPr>
              <w:sz w:val="22"/>
              <w:szCs w:val="22"/>
            </w:rPr>
            <w:fldChar w:fldCharType="begin"/>
          </w:r>
          <w:r w:rsidR="00286F75">
            <w:rPr>
              <w:sz w:val="22"/>
              <w:szCs w:val="22"/>
            </w:rPr>
            <w:instrText xml:space="preserve"> CITATION FEMnd \l 2057 </w:instrText>
          </w:r>
          <w:r w:rsidR="00286F75">
            <w:rPr>
              <w:sz w:val="22"/>
              <w:szCs w:val="22"/>
            </w:rPr>
            <w:fldChar w:fldCharType="separate"/>
          </w:r>
          <w:r w:rsidR="007B04A4" w:rsidRPr="007B04A4">
            <w:rPr>
              <w:noProof/>
              <w:sz w:val="22"/>
              <w:szCs w:val="22"/>
            </w:rPr>
            <w:t>(FEMA, n.d.)</w:t>
          </w:r>
          <w:r w:rsidR="00286F75">
            <w:rPr>
              <w:sz w:val="22"/>
              <w:szCs w:val="22"/>
            </w:rPr>
            <w:fldChar w:fldCharType="end"/>
          </w:r>
        </w:sdtContent>
      </w:sdt>
      <w:r w:rsidR="00286F75">
        <w:rPr>
          <w:sz w:val="22"/>
          <w:szCs w:val="22"/>
        </w:rPr>
        <w:t>.</w:t>
      </w:r>
    </w:p>
    <w:p w14:paraId="1377F87B" w14:textId="1528EE0E" w:rsidR="004D6EEA" w:rsidRDefault="004D6EEA" w:rsidP="004D6EEA">
      <w:pPr>
        <w:pStyle w:val="Heading4"/>
      </w:pPr>
      <w:r>
        <w:t>Record Risk Management</w:t>
      </w:r>
      <w:r w:rsidR="00D85888">
        <w:t xml:space="preserve"> &amp; Review of Application</w:t>
      </w:r>
    </w:p>
    <w:p w14:paraId="57A4793D" w14:textId="5ECE1F6A" w:rsidR="004C14DB" w:rsidRDefault="004D6EEA" w:rsidP="006C5337">
      <w:pPr>
        <w:jc w:val="both"/>
      </w:pPr>
      <w:r>
        <w:t xml:space="preserve">Risk </w:t>
      </w:r>
      <w:r w:rsidR="00C376B7">
        <w:t>assessments</w:t>
      </w:r>
      <w:r>
        <w:t xml:space="preserve"> </w:t>
      </w:r>
      <w:r w:rsidR="00C376B7">
        <w:t>rely</w:t>
      </w:r>
      <w:r>
        <w:t xml:space="preserve"> upon a standard model of </w:t>
      </w:r>
      <w:r w:rsidR="00C376B7">
        <w:t xml:space="preserve">risk assessment sheets, that outline </w:t>
      </w:r>
      <w:r w:rsidR="006C5337">
        <w:t xml:space="preserve">the risk itself, the severity and likelihood, </w:t>
      </w:r>
      <w:r w:rsidR="006921B3">
        <w:t>the proposed solution</w:t>
      </w:r>
      <w:r w:rsidR="0057419F">
        <w:t xml:space="preserve">, then </w:t>
      </w:r>
      <w:r w:rsidR="00F04512">
        <w:t>another analysis of the risk following the solution being applied.</w:t>
      </w:r>
      <w:r w:rsidR="0057209B">
        <w:t xml:space="preserve"> An example of a risk assessment sheet</w:t>
      </w:r>
      <w:r w:rsidR="000F2C75">
        <w:t xml:space="preserve"> demonstrating a potential risk and a solution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904"/>
        <w:gridCol w:w="1134"/>
        <w:gridCol w:w="3250"/>
        <w:gridCol w:w="1126"/>
        <w:gridCol w:w="1104"/>
      </w:tblGrid>
      <w:tr w:rsidR="000F2C75" w14:paraId="3E9F3768" w14:textId="77777777" w:rsidTr="000F2C75">
        <w:tc>
          <w:tcPr>
            <w:tcW w:w="1500" w:type="dxa"/>
            <w:shd w:val="clear" w:color="auto" w:fill="F2F2F2" w:themeFill="background1" w:themeFillShade="F2"/>
          </w:tcPr>
          <w:p w14:paraId="05F76CB1" w14:textId="13FC2B72" w:rsidR="004C14DB" w:rsidRDefault="004C14DB" w:rsidP="000F2C75">
            <w:pPr>
              <w:jc w:val="center"/>
            </w:pPr>
            <w:r>
              <w:t>Risk Description</w:t>
            </w:r>
          </w:p>
        </w:tc>
        <w:tc>
          <w:tcPr>
            <w:tcW w:w="904" w:type="dxa"/>
            <w:shd w:val="clear" w:color="auto" w:fill="F2F2F2" w:themeFill="background1" w:themeFillShade="F2"/>
          </w:tcPr>
          <w:p w14:paraId="001172C9" w14:textId="29255470" w:rsidR="004C14DB" w:rsidRDefault="004C14DB" w:rsidP="000F2C75">
            <w:pPr>
              <w:jc w:val="center"/>
            </w:pPr>
            <w:r>
              <w:t>Severity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86D2A23" w14:textId="7368DDD5" w:rsidR="004C14DB" w:rsidRDefault="004C14DB" w:rsidP="000F2C75">
            <w:pPr>
              <w:jc w:val="center"/>
            </w:pPr>
            <w:r>
              <w:t>Likelihood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4EF6657F" w14:textId="5C959AC7" w:rsidR="004C14DB" w:rsidRDefault="004C14DB" w:rsidP="000F2C75">
            <w:pPr>
              <w:jc w:val="center"/>
            </w:pPr>
            <w:r>
              <w:t>Solution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5DA08603" w14:textId="0FFFB62A" w:rsidR="004C14DB" w:rsidRDefault="000F2C75" w:rsidP="000F2C75">
            <w:pPr>
              <w:jc w:val="center"/>
            </w:pPr>
            <w:r>
              <w:t>Continued Severity</w:t>
            </w:r>
          </w:p>
        </w:tc>
        <w:tc>
          <w:tcPr>
            <w:tcW w:w="1091" w:type="dxa"/>
            <w:shd w:val="clear" w:color="auto" w:fill="F2F2F2" w:themeFill="background1" w:themeFillShade="F2"/>
          </w:tcPr>
          <w:p w14:paraId="6A5AF613" w14:textId="566A62F1" w:rsidR="004C14DB" w:rsidRDefault="000F2C75" w:rsidP="000F2C75">
            <w:pPr>
              <w:jc w:val="center"/>
            </w:pPr>
            <w:r w:rsidRPr="000F2C75">
              <w:t xml:space="preserve">Continued </w:t>
            </w:r>
            <w:r>
              <w:t>Likelihood</w:t>
            </w:r>
          </w:p>
        </w:tc>
      </w:tr>
      <w:tr w:rsidR="007E7243" w14:paraId="14FD731F" w14:textId="77777777" w:rsidTr="006D561E">
        <w:tc>
          <w:tcPr>
            <w:tcW w:w="1500" w:type="dxa"/>
          </w:tcPr>
          <w:p w14:paraId="365FA834" w14:textId="7DEB303B" w:rsidR="007E7243" w:rsidRDefault="007E7243" w:rsidP="00A82A5C">
            <w:r>
              <w:t>Power outages</w:t>
            </w:r>
          </w:p>
        </w:tc>
        <w:tc>
          <w:tcPr>
            <w:tcW w:w="904" w:type="dxa"/>
          </w:tcPr>
          <w:p w14:paraId="0EC490B6" w14:textId="7CCB1915" w:rsidR="007E7243" w:rsidRDefault="00D92ADB" w:rsidP="00A82A5C">
            <w:r>
              <w:t>7/10</w:t>
            </w:r>
          </w:p>
        </w:tc>
        <w:tc>
          <w:tcPr>
            <w:tcW w:w="1134" w:type="dxa"/>
          </w:tcPr>
          <w:p w14:paraId="25F043FA" w14:textId="2FB199BC" w:rsidR="007E7243" w:rsidRDefault="00D92ADB" w:rsidP="00A82A5C">
            <w:r>
              <w:t>Rare</w:t>
            </w:r>
          </w:p>
        </w:tc>
        <w:tc>
          <w:tcPr>
            <w:tcW w:w="3261" w:type="dxa"/>
          </w:tcPr>
          <w:p w14:paraId="0D6C8798" w14:textId="2E1DE443" w:rsidR="007E7243" w:rsidRDefault="00D92ADB" w:rsidP="00A82A5C">
            <w:r>
              <w:t xml:space="preserve">Purchase an Uninterrupted Power Supply (UPS) for </w:t>
            </w:r>
            <w:r w:rsidR="00A82A5C">
              <w:t>essential systems</w:t>
            </w:r>
            <w:r w:rsidR="006D561E">
              <w:t>.</w:t>
            </w:r>
          </w:p>
        </w:tc>
        <w:tc>
          <w:tcPr>
            <w:tcW w:w="1126" w:type="dxa"/>
          </w:tcPr>
          <w:p w14:paraId="179A876C" w14:textId="216B3537" w:rsidR="007E7243" w:rsidRDefault="000F2C75" w:rsidP="00A82A5C">
            <w:r>
              <w:t>1/10</w:t>
            </w:r>
          </w:p>
        </w:tc>
        <w:tc>
          <w:tcPr>
            <w:tcW w:w="1091" w:type="dxa"/>
          </w:tcPr>
          <w:p w14:paraId="1E49EC5D" w14:textId="06AE0A75" w:rsidR="007E7243" w:rsidRDefault="000F2C75" w:rsidP="00A82A5C">
            <w:r>
              <w:t>R</w:t>
            </w:r>
            <w:r w:rsidR="00E76169">
              <w:t>are</w:t>
            </w:r>
          </w:p>
        </w:tc>
      </w:tr>
      <w:tr w:rsidR="007E7243" w14:paraId="58319858" w14:textId="77777777" w:rsidTr="006D561E">
        <w:tc>
          <w:tcPr>
            <w:tcW w:w="1500" w:type="dxa"/>
          </w:tcPr>
          <w:p w14:paraId="52D8AB86" w14:textId="77777777" w:rsidR="007E7243" w:rsidRDefault="007E7243" w:rsidP="00A82A5C"/>
        </w:tc>
        <w:tc>
          <w:tcPr>
            <w:tcW w:w="904" w:type="dxa"/>
          </w:tcPr>
          <w:p w14:paraId="5D3915FC" w14:textId="77777777" w:rsidR="007E7243" w:rsidRDefault="007E7243" w:rsidP="00A82A5C"/>
        </w:tc>
        <w:tc>
          <w:tcPr>
            <w:tcW w:w="1134" w:type="dxa"/>
          </w:tcPr>
          <w:p w14:paraId="720D4A5F" w14:textId="77777777" w:rsidR="007E7243" w:rsidRDefault="007E7243" w:rsidP="00A82A5C"/>
        </w:tc>
        <w:tc>
          <w:tcPr>
            <w:tcW w:w="3261" w:type="dxa"/>
          </w:tcPr>
          <w:p w14:paraId="02EB18F3" w14:textId="77777777" w:rsidR="007E7243" w:rsidRDefault="007E7243" w:rsidP="00A82A5C"/>
        </w:tc>
        <w:tc>
          <w:tcPr>
            <w:tcW w:w="1126" w:type="dxa"/>
          </w:tcPr>
          <w:p w14:paraId="1028CE43" w14:textId="77777777" w:rsidR="007E7243" w:rsidRDefault="007E7243" w:rsidP="00A82A5C"/>
        </w:tc>
        <w:tc>
          <w:tcPr>
            <w:tcW w:w="1091" w:type="dxa"/>
          </w:tcPr>
          <w:p w14:paraId="087DABB9" w14:textId="77777777" w:rsidR="007E7243" w:rsidRDefault="007E7243" w:rsidP="00A82A5C"/>
        </w:tc>
      </w:tr>
      <w:tr w:rsidR="007E7243" w14:paraId="32A1F308" w14:textId="77777777" w:rsidTr="006D561E">
        <w:tc>
          <w:tcPr>
            <w:tcW w:w="1500" w:type="dxa"/>
          </w:tcPr>
          <w:p w14:paraId="4078FA04" w14:textId="77777777" w:rsidR="007E7243" w:rsidRDefault="007E7243" w:rsidP="00A82A5C"/>
        </w:tc>
        <w:tc>
          <w:tcPr>
            <w:tcW w:w="904" w:type="dxa"/>
          </w:tcPr>
          <w:p w14:paraId="7C1C3F98" w14:textId="77777777" w:rsidR="007E7243" w:rsidRDefault="007E7243" w:rsidP="00A82A5C"/>
        </w:tc>
        <w:tc>
          <w:tcPr>
            <w:tcW w:w="1134" w:type="dxa"/>
          </w:tcPr>
          <w:p w14:paraId="62C0A9BF" w14:textId="77777777" w:rsidR="007E7243" w:rsidRDefault="007E7243" w:rsidP="00A82A5C"/>
        </w:tc>
        <w:tc>
          <w:tcPr>
            <w:tcW w:w="3261" w:type="dxa"/>
          </w:tcPr>
          <w:p w14:paraId="143CE439" w14:textId="77777777" w:rsidR="007E7243" w:rsidRDefault="007E7243" w:rsidP="00A82A5C"/>
        </w:tc>
        <w:tc>
          <w:tcPr>
            <w:tcW w:w="1126" w:type="dxa"/>
          </w:tcPr>
          <w:p w14:paraId="7F0C1E64" w14:textId="77777777" w:rsidR="007E7243" w:rsidRDefault="007E7243" w:rsidP="00A82A5C"/>
        </w:tc>
        <w:tc>
          <w:tcPr>
            <w:tcW w:w="1091" w:type="dxa"/>
          </w:tcPr>
          <w:p w14:paraId="0EF6F1AB" w14:textId="77777777" w:rsidR="007E7243" w:rsidRDefault="007E7243" w:rsidP="00A82A5C"/>
        </w:tc>
      </w:tr>
    </w:tbl>
    <w:p w14:paraId="19C35D57" w14:textId="68A8BF97" w:rsidR="009374ED" w:rsidRDefault="00A97E66" w:rsidP="006C5337">
      <w:pPr>
        <w:jc w:val="both"/>
      </w:pPr>
      <w:sdt>
        <w:sdtPr>
          <w:id w:val="-427345061"/>
          <w:citation/>
        </w:sdtPr>
        <w:sdtEndPr/>
        <w:sdtContent>
          <w:r w:rsidR="009374ED">
            <w:fldChar w:fldCharType="begin"/>
          </w:r>
          <w:r w:rsidR="009374ED">
            <w:instrText xml:space="preserve"> CITATION Sma19 \l 2057 </w:instrText>
          </w:r>
          <w:r w:rsidR="009374ED">
            <w:fldChar w:fldCharType="separate"/>
          </w:r>
          <w:r w:rsidR="007B04A4" w:rsidRPr="007B04A4">
            <w:rPr>
              <w:noProof/>
            </w:rPr>
            <w:t>(Smartsheet, 2019)</w:t>
          </w:r>
          <w:r w:rsidR="009374ED">
            <w:fldChar w:fldCharType="end"/>
          </w:r>
        </w:sdtContent>
      </w:sdt>
    </w:p>
    <w:p w14:paraId="542EFAC8" w14:textId="40B71675" w:rsidR="000613CE" w:rsidRDefault="009374ED" w:rsidP="006C5337">
      <w:pPr>
        <w:jc w:val="both"/>
      </w:pPr>
      <w:r>
        <w:t xml:space="preserve">This example sheet outlines a simple layout for </w:t>
      </w:r>
      <w:r w:rsidR="006A7FFE">
        <w:t>a risk management sheet</w:t>
      </w:r>
      <w:r w:rsidR="000F5840">
        <w:t xml:space="preserve">, which can be extended to fit </w:t>
      </w:r>
      <w:r w:rsidR="00F32F92">
        <w:t xml:space="preserve">more complex issues and severity descriptions, as well as prescribing who should solve </w:t>
      </w:r>
      <w:r w:rsidR="009458E3">
        <w:t xml:space="preserve">the risk and when it should be done by. </w:t>
      </w:r>
      <w:r w:rsidR="004F1058">
        <w:t xml:space="preserve">It also includes a section </w:t>
      </w:r>
      <w:r w:rsidR="00C54199">
        <w:t xml:space="preserve">that </w:t>
      </w:r>
      <w:r w:rsidR="00685989">
        <w:t>evaluates the effectiveness of the solution, which again can be extended to be more comprehensive</w:t>
      </w:r>
      <w:r w:rsidR="001D0A17">
        <w:t xml:space="preserve">. This section allows for an iterative risk management approach, where risks are only considered solved after they reach an ‘allowed’ threshold of severity. </w:t>
      </w:r>
    </w:p>
    <w:p w14:paraId="5FA8096F" w14:textId="6047A009" w:rsidR="00D54EDC" w:rsidRDefault="00290642" w:rsidP="00D54EDC">
      <w:pPr>
        <w:pStyle w:val="Heading4"/>
      </w:pPr>
      <w:r>
        <w:lastRenderedPageBreak/>
        <w:t xml:space="preserve">Explanation of </w:t>
      </w:r>
      <w:r w:rsidR="00D54EDC">
        <w:t>ISO 3100</w:t>
      </w:r>
      <w:r w:rsidR="002B7D8A">
        <w:t>0</w:t>
      </w:r>
    </w:p>
    <w:p w14:paraId="586FA295" w14:textId="5199697F" w:rsidR="00951D78" w:rsidRDefault="00C60077" w:rsidP="00A16450">
      <w:pPr>
        <w:jc w:val="both"/>
      </w:pPr>
      <w:r>
        <w:t>ISO 31000 is a set of risk management guidelines, principles, frameworks and processes designed to help manage risks</w:t>
      </w:r>
      <w:r w:rsidR="00A16450">
        <w:t xml:space="preserve"> </w:t>
      </w:r>
      <w:sdt>
        <w:sdtPr>
          <w:id w:val="1653176012"/>
          <w:citation/>
        </w:sdtPr>
        <w:sdtEndPr/>
        <w:sdtContent>
          <w:r w:rsidR="00A16450">
            <w:fldChar w:fldCharType="begin"/>
          </w:r>
          <w:r w:rsidR="00A16450">
            <w:instrText xml:space="preserve"> CITATION ISO18 \l 2057 </w:instrText>
          </w:r>
          <w:r w:rsidR="00A16450">
            <w:fldChar w:fldCharType="separate"/>
          </w:r>
          <w:r w:rsidR="007B04A4" w:rsidRPr="007B04A4">
            <w:rPr>
              <w:noProof/>
            </w:rPr>
            <w:t>(ISO, 2018)</w:t>
          </w:r>
          <w:r w:rsidR="00A16450">
            <w:fldChar w:fldCharType="end"/>
          </w:r>
        </w:sdtContent>
      </w:sdt>
      <w:r>
        <w:t xml:space="preserve">. It is produced and distributed by </w:t>
      </w:r>
      <w:r w:rsidR="003A5A24">
        <w:t xml:space="preserve">the International Organisation </w:t>
      </w:r>
      <w:r w:rsidR="004912D6">
        <w:t xml:space="preserve">for Standardisation, or ISO </w:t>
      </w:r>
      <w:sdt>
        <w:sdtPr>
          <w:id w:val="-1230767698"/>
          <w:citation/>
        </w:sdtPr>
        <w:sdtEndPr/>
        <w:sdtContent>
          <w:r w:rsidR="006F7D99">
            <w:fldChar w:fldCharType="begin"/>
          </w:r>
          <w:r w:rsidR="006F7D99">
            <w:instrText xml:space="preserve"> CITATION ISOnd \l 2057 </w:instrText>
          </w:r>
          <w:r w:rsidR="006F7D99">
            <w:fldChar w:fldCharType="separate"/>
          </w:r>
          <w:r w:rsidR="007B04A4" w:rsidRPr="007B04A4">
            <w:rPr>
              <w:noProof/>
            </w:rPr>
            <w:t>(ISO, n.d.)</w:t>
          </w:r>
          <w:r w:rsidR="006F7D99">
            <w:fldChar w:fldCharType="end"/>
          </w:r>
        </w:sdtContent>
      </w:sdt>
      <w:r w:rsidR="004912D6">
        <w:t>.</w:t>
      </w:r>
      <w:r w:rsidR="00FA40AA">
        <w:t xml:space="preserve"> This s</w:t>
      </w:r>
      <w:r w:rsidR="00C97EF4">
        <w:t xml:space="preserve">tandard helps to implement some standard </w:t>
      </w:r>
      <w:r w:rsidR="00620432">
        <w:t>features of risk management</w:t>
      </w:r>
      <w:r w:rsidR="00972961">
        <w:t xml:space="preserve"> with detailed explanations of implementation and utilisation</w:t>
      </w:r>
      <w:r w:rsidR="00B214B3">
        <w:t>, useable in</w:t>
      </w:r>
      <w:r w:rsidR="00951D78">
        <w:t xml:space="preserve"> most cases where a business or organisation faces risk </w:t>
      </w:r>
      <w:sdt>
        <w:sdtPr>
          <w:id w:val="445974581"/>
          <w:citation/>
        </w:sdtPr>
        <w:sdtEndPr/>
        <w:sdtContent>
          <w:r w:rsidR="00951D78">
            <w:fldChar w:fldCharType="begin"/>
          </w:r>
          <w:r w:rsidR="00951D78">
            <w:instrText xml:space="preserve"> CITATION ISO181 \l 2057 </w:instrText>
          </w:r>
          <w:r w:rsidR="00951D78">
            <w:fldChar w:fldCharType="separate"/>
          </w:r>
          <w:r w:rsidR="007B04A4" w:rsidRPr="007B04A4">
            <w:rPr>
              <w:noProof/>
            </w:rPr>
            <w:t>(ISO, 2018)</w:t>
          </w:r>
          <w:r w:rsidR="00951D78">
            <w:fldChar w:fldCharType="end"/>
          </w:r>
        </w:sdtContent>
      </w:sdt>
      <w:r w:rsidR="00951D78">
        <w:t>.</w:t>
      </w:r>
    </w:p>
    <w:p w14:paraId="29227812" w14:textId="193238ED" w:rsidR="00CD4AB1" w:rsidRDefault="00951D78" w:rsidP="00CD4AB1">
      <w:pPr>
        <w:jc w:val="both"/>
      </w:pPr>
      <w:r>
        <w:t xml:space="preserve">ISO 31000 is applicable as a framework for MK Agents, as </w:t>
      </w:r>
      <w:r w:rsidR="00363DB4">
        <w:t xml:space="preserve">it outlines security </w:t>
      </w:r>
      <w:r w:rsidR="0076353A">
        <w:t xml:space="preserve">frameworks in better detail </w:t>
      </w:r>
      <w:r w:rsidR="00DD1D0A">
        <w:t xml:space="preserve">than outlined in this document, </w:t>
      </w:r>
      <w:r w:rsidR="00B05849">
        <w:t xml:space="preserve">and the content can be customised to better suit the application required. </w:t>
      </w:r>
      <w:r w:rsidR="00C072B4">
        <w:t xml:space="preserve">ISO 31000 also outlines 11 key principles for </w:t>
      </w:r>
      <w:r w:rsidR="006C7DF8">
        <w:t xml:space="preserve">risk management, </w:t>
      </w:r>
      <w:r w:rsidR="00B12092">
        <w:t xml:space="preserve">applicable </w:t>
      </w:r>
      <w:r w:rsidR="00184AF9">
        <w:t xml:space="preserve">at the discretion of the </w:t>
      </w:r>
      <w:r w:rsidR="00563E61">
        <w:t>business.</w:t>
      </w:r>
    </w:p>
    <w:p w14:paraId="2A6518B1" w14:textId="1728209D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establishes and sustains value.</w:t>
      </w:r>
    </w:p>
    <w:p w14:paraId="03710317" w14:textId="05EAE77B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an integral part of all organizational processes.</w:t>
      </w:r>
    </w:p>
    <w:p w14:paraId="21903318" w14:textId="42AC1A7F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part of decision making.</w:t>
      </w:r>
    </w:p>
    <w:p w14:paraId="3404D9DD" w14:textId="7763C341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explicitly addresses uncertainty.</w:t>
      </w:r>
    </w:p>
    <w:p w14:paraId="3926CB54" w14:textId="6707AB95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systematic, structured, and timely.</w:t>
      </w:r>
    </w:p>
    <w:p w14:paraId="20531967" w14:textId="49401C14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based on the best available information.</w:t>
      </w:r>
    </w:p>
    <w:p w14:paraId="2F024DA0" w14:textId="383C3FEC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tailored.</w:t>
      </w:r>
    </w:p>
    <w:p w14:paraId="0668B85D" w14:textId="38C2DBBC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takes human and cultural factors into account.</w:t>
      </w:r>
    </w:p>
    <w:p w14:paraId="7A7574F7" w14:textId="1C883825" w:rsidR="00CD4AB1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transparent and inclusive.</w:t>
      </w:r>
    </w:p>
    <w:p w14:paraId="34F63469" w14:textId="77777777" w:rsidR="00AB2A17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is dynamic, iterative, and responsive to change</w:t>
      </w:r>
      <w:r w:rsidR="00AB2A17" w:rsidRPr="00C47372">
        <w:rPr>
          <w:i/>
          <w:iCs/>
          <w:sz w:val="20"/>
          <w:szCs w:val="20"/>
        </w:rPr>
        <w:t>.</w:t>
      </w:r>
    </w:p>
    <w:p w14:paraId="4FA8B833" w14:textId="77777777" w:rsidR="00AB2A17" w:rsidRPr="00C47372" w:rsidRDefault="00CD4AB1" w:rsidP="00AB2A17">
      <w:pPr>
        <w:pStyle w:val="ListParagraph"/>
        <w:numPr>
          <w:ilvl w:val="0"/>
          <w:numId w:val="4"/>
        </w:numPr>
        <w:pBdr>
          <w:left w:val="single" w:sz="4" w:space="4" w:color="auto"/>
        </w:pBdr>
        <w:jc w:val="both"/>
        <w:rPr>
          <w:i/>
          <w:iCs/>
          <w:sz w:val="20"/>
          <w:szCs w:val="20"/>
        </w:rPr>
      </w:pPr>
      <w:r w:rsidRPr="00C47372">
        <w:rPr>
          <w:i/>
          <w:iCs/>
          <w:sz w:val="20"/>
          <w:szCs w:val="20"/>
        </w:rPr>
        <w:t>Risk management facilitates continual improvement of the organization.</w:t>
      </w:r>
    </w:p>
    <w:p w14:paraId="60650CB3" w14:textId="228FE2AA" w:rsidR="00E250C3" w:rsidRPr="00AB2A17" w:rsidRDefault="00A97E66" w:rsidP="00AB2A17">
      <w:pPr>
        <w:pStyle w:val="ListParagraph"/>
        <w:jc w:val="right"/>
        <w:rPr>
          <w:i/>
          <w:iCs/>
        </w:rPr>
      </w:pPr>
      <w:sdt>
        <w:sdtPr>
          <w:id w:val="477114251"/>
          <w:citation/>
        </w:sdtPr>
        <w:sdtEndPr/>
        <w:sdtContent>
          <w:r w:rsidR="003D3E6A">
            <w:fldChar w:fldCharType="begin"/>
          </w:r>
          <w:r w:rsidR="003D3E6A">
            <w:instrText xml:space="preserve"> CITATION Gre19 \l 2057 </w:instrText>
          </w:r>
          <w:r w:rsidR="003D3E6A">
            <w:fldChar w:fldCharType="separate"/>
          </w:r>
          <w:r w:rsidR="007B04A4" w:rsidRPr="007B04A4">
            <w:rPr>
              <w:noProof/>
            </w:rPr>
            <w:t>(Hutchins, 2019)</w:t>
          </w:r>
          <w:r w:rsidR="003D3E6A">
            <w:fldChar w:fldCharType="end"/>
          </w:r>
        </w:sdtContent>
      </w:sdt>
    </w:p>
    <w:p w14:paraId="399C9D53" w14:textId="6FBC482E" w:rsidR="001F739D" w:rsidRDefault="0087119E" w:rsidP="00CD4AB1">
      <w:pPr>
        <w:jc w:val="both"/>
      </w:pPr>
      <w:r>
        <w:t xml:space="preserve">Using these principles </w:t>
      </w:r>
      <w:r w:rsidR="00520064">
        <w:t xml:space="preserve">makes the process of applying </w:t>
      </w:r>
      <w:r w:rsidR="00A32767">
        <w:t>risk management practises and procedures safer and easier</w:t>
      </w:r>
      <w:r w:rsidR="009E0B5C">
        <w:t>, being comprehensive</w:t>
      </w:r>
      <w:r w:rsidR="00512D45">
        <w:t xml:space="preserve"> in the application </w:t>
      </w:r>
      <w:r w:rsidR="00EC6732">
        <w:t xml:space="preserve">and requirements </w:t>
      </w:r>
      <w:r w:rsidR="00D8378B">
        <w:t xml:space="preserve">that a risk management structure should have. </w:t>
      </w:r>
      <w:bookmarkStart w:id="0" w:name="_GoBack"/>
      <w:bookmarkEnd w:id="0"/>
      <w:r w:rsidR="002B7D8A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74970243"/>
        <w:docPartObj>
          <w:docPartGallery w:val="Bibliographies"/>
          <w:docPartUnique/>
        </w:docPartObj>
      </w:sdtPr>
      <w:sdtEndPr/>
      <w:sdtContent>
        <w:p w14:paraId="0B6FE293" w14:textId="70A9EAAC" w:rsidR="0016010E" w:rsidRPr="0016010E" w:rsidRDefault="0016010E" w:rsidP="0016010E">
          <w:pPr>
            <w:pStyle w:val="Heading1"/>
            <w:rPr>
              <w:color w:val="auto"/>
            </w:rPr>
          </w:pPr>
          <w:r w:rsidRPr="0016010E">
            <w:rPr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C81A279" w14:textId="77777777" w:rsidR="007B04A4" w:rsidRDefault="0016010E" w:rsidP="007B04A4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A05051">
                <w:rPr>
                  <w:sz w:val="18"/>
                  <w:szCs w:val="18"/>
                </w:rPr>
                <w:fldChar w:fldCharType="begin"/>
              </w:r>
              <w:r w:rsidRPr="00A05051">
                <w:rPr>
                  <w:sz w:val="18"/>
                  <w:szCs w:val="18"/>
                </w:rPr>
                <w:instrText xml:space="preserve"> BIBLIOGRAPHY </w:instrText>
              </w:r>
              <w:r w:rsidRPr="00A05051">
                <w:rPr>
                  <w:sz w:val="18"/>
                  <w:szCs w:val="18"/>
                </w:rPr>
                <w:fldChar w:fldCharType="separate"/>
              </w:r>
              <w:r w:rsidR="007B04A4">
                <w:rPr>
                  <w:noProof/>
                </w:rPr>
                <w:t xml:space="preserve">Burgon, R., 2013. </w:t>
              </w:r>
              <w:r w:rsidR="007B04A4">
                <w:rPr>
                  <w:i/>
                  <w:iCs/>
                  <w:noProof/>
                </w:rPr>
                <w:t xml:space="preserve">The Five Step Guide to Risk Assessment. </w:t>
              </w:r>
              <w:r w:rsidR="007B04A4">
                <w:rPr>
                  <w:noProof/>
                </w:rPr>
                <w:t xml:space="preserve">[Online] </w:t>
              </w:r>
              <w:r w:rsidR="007B04A4">
                <w:rPr>
                  <w:noProof/>
                </w:rPr>
                <w:br/>
                <w:t xml:space="preserve">Available at: </w:t>
              </w:r>
              <w:r w:rsidR="007B04A4">
                <w:rPr>
                  <w:noProof/>
                  <w:u w:val="single"/>
                </w:rPr>
                <w:t>https://rospaworkplacesafety.com/2013/01/21/what-is-a-risk-assessment/</w:t>
              </w:r>
              <w:r w:rsidR="007B04A4">
                <w:rPr>
                  <w:noProof/>
                </w:rPr>
                <w:br/>
                <w:t>[Accessed 4th December 2019].</w:t>
              </w:r>
            </w:p>
            <w:p w14:paraId="6442A16B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Cisco, n.d.. </w:t>
              </w:r>
              <w:r>
                <w:rPr>
                  <w:i/>
                  <w:iCs/>
                  <w:noProof/>
                </w:rPr>
                <w:t xml:space="preserve">What Is Penetration Testing?.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https://www.cisco.com/c/en/us/products/security/what-is-pen-testing.html</w:t>
              </w:r>
              <w:r>
                <w:rPr>
                  <w:noProof/>
                </w:rPr>
                <w:br/>
                <w:t>[Accessed 4th December 2019].</w:t>
              </w:r>
            </w:p>
            <w:p w14:paraId="6B377F2D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Cybrary, 2018. </w:t>
              </w:r>
              <w:r>
                <w:rPr>
                  <w:i/>
                  <w:iCs/>
                  <w:noProof/>
                </w:rPr>
                <w:t xml:space="preserve">What is Security Test &amp; Evaluation (ST&amp;E)?.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https://www.cybrary.it/glossary/s-the-glossary/security-test-evaluation-ste/</w:t>
              </w:r>
              <w:r>
                <w:rPr>
                  <w:noProof/>
                </w:rPr>
                <w:br/>
                <w:t>[Accessed 4th December 2019].</w:t>
              </w:r>
            </w:p>
            <w:p w14:paraId="4B16E479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FEMA, n.d.. </w:t>
              </w:r>
              <w:r>
                <w:rPr>
                  <w:i/>
                  <w:iCs/>
                  <w:noProof/>
                </w:rPr>
                <w:t xml:space="preserve">Business Impact Analysis Worksheet.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https://www.fema.gov/media-library-data/1388776348838-b548b013b1cfc61fa92fc4332b615e05/Business_ImpactAnalysis_Worksheet_2014.pdf</w:t>
              </w:r>
              <w:r>
                <w:rPr>
                  <w:noProof/>
                </w:rPr>
                <w:br/>
                <w:t>[Accessed 4th December 2019].</w:t>
              </w:r>
            </w:p>
            <w:p w14:paraId="4847CB00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Gregg, M., 2007. </w:t>
              </w:r>
              <w:r>
                <w:rPr>
                  <w:i/>
                  <w:iCs/>
                  <w:noProof/>
                </w:rPr>
                <w:t xml:space="preserve">Automated Assessment Tools.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https://flylib.com/books/en/1.36.1/automated_assessment_tools.html</w:t>
              </w:r>
              <w:r>
                <w:rPr>
                  <w:noProof/>
                </w:rPr>
                <w:br/>
                <w:t>[Accessed 4th December 2019].</w:t>
              </w:r>
            </w:p>
            <w:p w14:paraId="05439F10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HHS Cybersecurity Program, n.d.. </w:t>
              </w:r>
              <w:r>
                <w:rPr>
                  <w:i/>
                  <w:iCs/>
                  <w:noProof/>
                </w:rPr>
                <w:t xml:space="preserve">Security Control Assessment &amp; Security Test and Evaluation.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https://irtsectraining.nih.gov/ISITAdmin_2017/rolebasedtraining-itadmin/part39.htm</w:t>
              </w:r>
              <w:r>
                <w:rPr>
                  <w:noProof/>
                </w:rPr>
                <w:br/>
                <w:t>[Accessed 4th December 2019].</w:t>
              </w:r>
            </w:p>
            <w:p w14:paraId="0E39D70C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HSE UK, n.d.. </w:t>
              </w:r>
              <w:r>
                <w:rPr>
                  <w:i/>
                  <w:iCs/>
                  <w:noProof/>
                </w:rPr>
                <w:t xml:space="preserve">Managing risks and risk assessment at work.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https://www.hse.gov.uk/simple-health-safety/risk/steps-needed-to-manage-risk.htm</w:t>
              </w:r>
              <w:r>
                <w:rPr>
                  <w:noProof/>
                </w:rPr>
                <w:br/>
                <w:t>[Accessed 4th December 2019].</w:t>
              </w:r>
            </w:p>
            <w:p w14:paraId="5BFB9D9B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Hutchins, G., 2019. </w:t>
              </w:r>
              <w:r>
                <w:rPr>
                  <w:i/>
                  <w:iCs/>
                  <w:noProof/>
                </w:rPr>
                <w:t xml:space="preserve">ISO 31000 Principles of Risk Management.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https://accendoreliability.com/iso-31000-principles-risk-management/</w:t>
              </w:r>
              <w:r>
                <w:rPr>
                  <w:noProof/>
                </w:rPr>
                <w:br/>
                <w:t>[Accessed 17th December 2019].</w:t>
              </w:r>
            </w:p>
            <w:p w14:paraId="5EDA30A1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ISO, 2018. </w:t>
              </w:r>
              <w:r>
                <w:rPr>
                  <w:i/>
                  <w:iCs/>
                  <w:noProof/>
                </w:rPr>
                <w:t xml:space="preserve">ISO 31000 Risk management.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https://www.iso.org/iso-31000-risk-management.html</w:t>
              </w:r>
              <w:r>
                <w:rPr>
                  <w:noProof/>
                </w:rPr>
                <w:br/>
                <w:t>[Accessed 9th December 2019].</w:t>
              </w:r>
            </w:p>
            <w:p w14:paraId="73886AD9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ISO, 2018. </w:t>
              </w:r>
              <w:r>
                <w:rPr>
                  <w:i/>
                  <w:iCs/>
                  <w:noProof/>
                </w:rPr>
                <w:t xml:space="preserve">ISO 31000:2018(en).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https://www.iso.org/obp/ui#iso:std:iso:31000:ed-2:v1:en</w:t>
              </w:r>
              <w:r>
                <w:rPr>
                  <w:noProof/>
                </w:rPr>
                <w:br/>
                <w:t>[Accessed 9th December 2019].</w:t>
              </w:r>
            </w:p>
            <w:p w14:paraId="53780948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ISO, n.d.. </w:t>
              </w:r>
              <w:r>
                <w:rPr>
                  <w:i/>
                  <w:iCs/>
                  <w:noProof/>
                </w:rPr>
                <w:t xml:space="preserve">ISO name and logo.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https://www.iso.org/iso-name-and-logo.html</w:t>
              </w:r>
              <w:r>
                <w:rPr>
                  <w:noProof/>
                </w:rPr>
                <w:br/>
                <w:t>[Accessed 9th December 2019].</w:t>
              </w:r>
            </w:p>
            <w:p w14:paraId="3F08F223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Pfleeger, S. L. &amp; Pfleeger, C. P., 2003. </w:t>
              </w:r>
              <w:r>
                <w:rPr>
                  <w:i/>
                  <w:iCs/>
                  <w:noProof/>
                </w:rPr>
                <w:t xml:space="preserve">Security in Networks.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http://www.informit.com/articles/article.aspx?p=31339&amp;seqNum=3</w:t>
              </w:r>
              <w:r>
                <w:rPr>
                  <w:noProof/>
                </w:rPr>
                <w:br/>
                <w:t>[Accessed 4th December 2019].</w:t>
              </w:r>
            </w:p>
            <w:p w14:paraId="553E0088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Ready.gov, n.d.. </w:t>
              </w:r>
              <w:r>
                <w:rPr>
                  <w:i/>
                  <w:iCs/>
                  <w:noProof/>
                </w:rPr>
                <w:t xml:space="preserve">Business Impact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https://www.ready.gov/business-impact-analysis</w:t>
              </w:r>
              <w:r>
                <w:rPr>
                  <w:noProof/>
                </w:rPr>
                <w:br/>
                <w:t>[Accessed 4th December 2019].</w:t>
              </w:r>
            </w:p>
            <w:p w14:paraId="46A736C0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Smartsheet, 2019. </w:t>
              </w:r>
              <w:r>
                <w:rPr>
                  <w:i/>
                  <w:iCs/>
                  <w:noProof/>
                </w:rPr>
                <w:t xml:space="preserve">All the Risk Assessment Matrix Templates You Need.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https://www.smartsheet.com/all-risk-assessment-matrix-templates-you-need</w:t>
              </w:r>
              <w:r>
                <w:rPr>
                  <w:noProof/>
                </w:rPr>
                <w:br/>
                <w:t>[Accessed 4th December 2019].</w:t>
              </w:r>
            </w:p>
            <w:p w14:paraId="17EC3952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Smartsheet, 2019. </w:t>
              </w:r>
              <w:r>
                <w:rPr>
                  <w:i/>
                  <w:iCs/>
                  <w:noProof/>
                </w:rPr>
                <w:t xml:space="preserve">Risk Management Matrix (Example).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https://www.smartsheet.com/sites/default/files/2019-11/IC-Risk-Management-Matrix-8849_PDF.pdf</w:t>
              </w:r>
              <w:r>
                <w:rPr>
                  <w:noProof/>
                </w:rPr>
                <w:br/>
                <w:t>[Accessed 4th December 2019].</w:t>
              </w:r>
            </w:p>
            <w:p w14:paraId="5C5FC2E6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Sotnikov, I., 2018. </w:t>
              </w:r>
              <w:r>
                <w:rPr>
                  <w:i/>
                  <w:iCs/>
                  <w:noProof/>
                </w:rPr>
                <w:t xml:space="preserve">How to Perform IT Risk Assessment.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https://blog.netwrix.com/2018/01/16/how-to-perform-it-risk-assessment/</w:t>
              </w:r>
              <w:r>
                <w:rPr>
                  <w:noProof/>
                </w:rPr>
                <w:br/>
                <w:t>[Accessed 4th December 2019].</w:t>
              </w:r>
            </w:p>
            <w:p w14:paraId="60C4CFAA" w14:textId="77777777" w:rsidR="007B04A4" w:rsidRDefault="007B04A4" w:rsidP="007B04A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Worksmart, 2019. </w:t>
              </w:r>
              <w:r>
                <w:rPr>
                  <w:i/>
                  <w:iCs/>
                  <w:noProof/>
                </w:rPr>
                <w:t xml:space="preserve">What are the five steps to risk assessment?.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https://worksmart.org.uk/health-advice/health-and-safety/hazards-and-risks/what-are-five-steps-risk-assessment</w:t>
              </w:r>
              <w:r>
                <w:rPr>
                  <w:noProof/>
                </w:rPr>
                <w:br/>
                <w:t>[Accessed 4th December 2019].</w:t>
              </w:r>
            </w:p>
            <w:p w14:paraId="5E53D793" w14:textId="4C1FAD42" w:rsidR="0016010E" w:rsidRDefault="0016010E" w:rsidP="007B04A4">
              <w:r w:rsidRPr="00A05051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602AB064" w14:textId="77777777" w:rsidR="0016010E" w:rsidRPr="0016010E" w:rsidRDefault="0016010E" w:rsidP="0016010E">
      <w:pPr>
        <w:rPr>
          <w:sz w:val="22"/>
          <w:szCs w:val="22"/>
        </w:rPr>
      </w:pPr>
    </w:p>
    <w:sectPr w:rsidR="0016010E" w:rsidRPr="0016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D81D0" w14:textId="77777777" w:rsidR="00A97E66" w:rsidRDefault="00A97E66" w:rsidP="0016010E">
      <w:pPr>
        <w:spacing w:after="0" w:line="240" w:lineRule="auto"/>
      </w:pPr>
      <w:r>
        <w:separator/>
      </w:r>
    </w:p>
  </w:endnote>
  <w:endnote w:type="continuationSeparator" w:id="0">
    <w:p w14:paraId="6553D574" w14:textId="77777777" w:rsidR="00A97E66" w:rsidRDefault="00A97E66" w:rsidP="0016010E">
      <w:pPr>
        <w:spacing w:after="0" w:line="240" w:lineRule="auto"/>
      </w:pPr>
      <w:r>
        <w:continuationSeparator/>
      </w:r>
    </w:p>
  </w:endnote>
  <w:endnote w:type="continuationNotice" w:id="1">
    <w:p w14:paraId="54334A9E" w14:textId="77777777" w:rsidR="00A97E66" w:rsidRDefault="00A97E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BA6F" w14:textId="77777777" w:rsidR="00A97E66" w:rsidRDefault="00A97E66" w:rsidP="0016010E">
      <w:pPr>
        <w:spacing w:after="0" w:line="240" w:lineRule="auto"/>
      </w:pPr>
      <w:r>
        <w:separator/>
      </w:r>
    </w:p>
  </w:footnote>
  <w:footnote w:type="continuationSeparator" w:id="0">
    <w:p w14:paraId="721D1A19" w14:textId="77777777" w:rsidR="00A97E66" w:rsidRDefault="00A97E66" w:rsidP="0016010E">
      <w:pPr>
        <w:spacing w:after="0" w:line="240" w:lineRule="auto"/>
      </w:pPr>
      <w:r>
        <w:continuationSeparator/>
      </w:r>
    </w:p>
  </w:footnote>
  <w:footnote w:type="continuationNotice" w:id="1">
    <w:p w14:paraId="63E9796D" w14:textId="77777777" w:rsidR="00A97E66" w:rsidRDefault="00A97E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5482"/>
    <w:multiLevelType w:val="hybridMultilevel"/>
    <w:tmpl w:val="A13A99FE"/>
    <w:lvl w:ilvl="0" w:tplc="5B9E4674">
      <w:start w:val="1"/>
      <w:numFmt w:val="bullet"/>
      <w:lvlText w:val="-"/>
      <w:lvlJc w:val="left"/>
      <w:pPr>
        <w:ind w:left="720" w:hanging="360"/>
      </w:pPr>
      <w:rPr>
        <w:rFonts w:ascii="Open Sans" w:hAnsi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607B"/>
    <w:multiLevelType w:val="hybridMultilevel"/>
    <w:tmpl w:val="24705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0B4D"/>
    <w:multiLevelType w:val="hybridMultilevel"/>
    <w:tmpl w:val="8D0EE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D44AE"/>
    <w:multiLevelType w:val="hybridMultilevel"/>
    <w:tmpl w:val="016E38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E"/>
    <w:rsid w:val="00011C33"/>
    <w:rsid w:val="00030CDF"/>
    <w:rsid w:val="00035E9D"/>
    <w:rsid w:val="000613CE"/>
    <w:rsid w:val="00066CD7"/>
    <w:rsid w:val="00067128"/>
    <w:rsid w:val="00097B3D"/>
    <w:rsid w:val="000A6ED3"/>
    <w:rsid w:val="000A783A"/>
    <w:rsid w:val="000C02E7"/>
    <w:rsid w:val="000C4F22"/>
    <w:rsid w:val="000D0968"/>
    <w:rsid w:val="000E294C"/>
    <w:rsid w:val="000F2C75"/>
    <w:rsid w:val="000F5840"/>
    <w:rsid w:val="00127881"/>
    <w:rsid w:val="00133070"/>
    <w:rsid w:val="0013406D"/>
    <w:rsid w:val="00143A70"/>
    <w:rsid w:val="00151622"/>
    <w:rsid w:val="00153DF3"/>
    <w:rsid w:val="0016010E"/>
    <w:rsid w:val="00166158"/>
    <w:rsid w:val="00184AF9"/>
    <w:rsid w:val="0019727F"/>
    <w:rsid w:val="001B602B"/>
    <w:rsid w:val="001D0A17"/>
    <w:rsid w:val="001D3CF9"/>
    <w:rsid w:val="001E2024"/>
    <w:rsid w:val="001E6C5C"/>
    <w:rsid w:val="001F1B8D"/>
    <w:rsid w:val="001F739D"/>
    <w:rsid w:val="00211AE6"/>
    <w:rsid w:val="00220BF9"/>
    <w:rsid w:val="00230889"/>
    <w:rsid w:val="00243C1E"/>
    <w:rsid w:val="00271573"/>
    <w:rsid w:val="0027363E"/>
    <w:rsid w:val="00286F75"/>
    <w:rsid w:val="00290642"/>
    <w:rsid w:val="00291775"/>
    <w:rsid w:val="00297030"/>
    <w:rsid w:val="002A160E"/>
    <w:rsid w:val="002A3F04"/>
    <w:rsid w:val="002A422F"/>
    <w:rsid w:val="002B2014"/>
    <w:rsid w:val="002B7D8A"/>
    <w:rsid w:val="002C0727"/>
    <w:rsid w:val="002E0CA5"/>
    <w:rsid w:val="00363DB4"/>
    <w:rsid w:val="00377EA1"/>
    <w:rsid w:val="003A54DA"/>
    <w:rsid w:val="003A5A24"/>
    <w:rsid w:val="003C0431"/>
    <w:rsid w:val="003D3E6A"/>
    <w:rsid w:val="00414E00"/>
    <w:rsid w:val="00423B97"/>
    <w:rsid w:val="00427F9A"/>
    <w:rsid w:val="004347FD"/>
    <w:rsid w:val="00443E9A"/>
    <w:rsid w:val="00446DDD"/>
    <w:rsid w:val="004502E8"/>
    <w:rsid w:val="00490115"/>
    <w:rsid w:val="004912D6"/>
    <w:rsid w:val="004C14DB"/>
    <w:rsid w:val="004C40E9"/>
    <w:rsid w:val="004D641C"/>
    <w:rsid w:val="004D6EEA"/>
    <w:rsid w:val="004F1058"/>
    <w:rsid w:val="005017F9"/>
    <w:rsid w:val="0050332E"/>
    <w:rsid w:val="00512D45"/>
    <w:rsid w:val="00520064"/>
    <w:rsid w:val="005438AD"/>
    <w:rsid w:val="005612F6"/>
    <w:rsid w:val="00563783"/>
    <w:rsid w:val="00563E61"/>
    <w:rsid w:val="0057209B"/>
    <w:rsid w:val="0057419F"/>
    <w:rsid w:val="00574FC9"/>
    <w:rsid w:val="0058134C"/>
    <w:rsid w:val="005A5DB6"/>
    <w:rsid w:val="005C45A8"/>
    <w:rsid w:val="005D7A45"/>
    <w:rsid w:val="0060638A"/>
    <w:rsid w:val="006171E9"/>
    <w:rsid w:val="00620432"/>
    <w:rsid w:val="00685989"/>
    <w:rsid w:val="00685C25"/>
    <w:rsid w:val="006921B3"/>
    <w:rsid w:val="00695304"/>
    <w:rsid w:val="006A7FFE"/>
    <w:rsid w:val="006C5337"/>
    <w:rsid w:val="006C7DF8"/>
    <w:rsid w:val="006D561E"/>
    <w:rsid w:val="006F7D99"/>
    <w:rsid w:val="007255B0"/>
    <w:rsid w:val="00736ABE"/>
    <w:rsid w:val="00750744"/>
    <w:rsid w:val="00750FC2"/>
    <w:rsid w:val="00757057"/>
    <w:rsid w:val="00757574"/>
    <w:rsid w:val="0076353A"/>
    <w:rsid w:val="007B04A4"/>
    <w:rsid w:val="007C530C"/>
    <w:rsid w:val="007D2DE6"/>
    <w:rsid w:val="007E6FB5"/>
    <w:rsid w:val="007E7243"/>
    <w:rsid w:val="008007CD"/>
    <w:rsid w:val="008047E9"/>
    <w:rsid w:val="00810E5B"/>
    <w:rsid w:val="00812C58"/>
    <w:rsid w:val="008311D9"/>
    <w:rsid w:val="008456A1"/>
    <w:rsid w:val="00870FFC"/>
    <w:rsid w:val="0087119E"/>
    <w:rsid w:val="0088027E"/>
    <w:rsid w:val="008921CD"/>
    <w:rsid w:val="008C0BB1"/>
    <w:rsid w:val="00924D47"/>
    <w:rsid w:val="009374ED"/>
    <w:rsid w:val="009458E3"/>
    <w:rsid w:val="00946641"/>
    <w:rsid w:val="00951D78"/>
    <w:rsid w:val="00954528"/>
    <w:rsid w:val="00972961"/>
    <w:rsid w:val="009C1C25"/>
    <w:rsid w:val="009E0B5C"/>
    <w:rsid w:val="00A05051"/>
    <w:rsid w:val="00A05915"/>
    <w:rsid w:val="00A16450"/>
    <w:rsid w:val="00A32767"/>
    <w:rsid w:val="00A350E6"/>
    <w:rsid w:val="00A5416D"/>
    <w:rsid w:val="00A57D92"/>
    <w:rsid w:val="00A72FCD"/>
    <w:rsid w:val="00A82A5C"/>
    <w:rsid w:val="00A836A4"/>
    <w:rsid w:val="00A9346F"/>
    <w:rsid w:val="00A950A4"/>
    <w:rsid w:val="00A97E66"/>
    <w:rsid w:val="00AA0EF5"/>
    <w:rsid w:val="00AA6D92"/>
    <w:rsid w:val="00AB2A17"/>
    <w:rsid w:val="00AD4A21"/>
    <w:rsid w:val="00AE7756"/>
    <w:rsid w:val="00AE7E13"/>
    <w:rsid w:val="00AF5BA3"/>
    <w:rsid w:val="00B05849"/>
    <w:rsid w:val="00B12092"/>
    <w:rsid w:val="00B15A25"/>
    <w:rsid w:val="00B214B3"/>
    <w:rsid w:val="00B21B8E"/>
    <w:rsid w:val="00B239B2"/>
    <w:rsid w:val="00B26129"/>
    <w:rsid w:val="00B30B94"/>
    <w:rsid w:val="00B574D2"/>
    <w:rsid w:val="00BA10F6"/>
    <w:rsid w:val="00BB2BB6"/>
    <w:rsid w:val="00BD48E4"/>
    <w:rsid w:val="00BE3D2E"/>
    <w:rsid w:val="00C00D4A"/>
    <w:rsid w:val="00C0618F"/>
    <w:rsid w:val="00C072B4"/>
    <w:rsid w:val="00C07572"/>
    <w:rsid w:val="00C07C0B"/>
    <w:rsid w:val="00C15E35"/>
    <w:rsid w:val="00C26B18"/>
    <w:rsid w:val="00C26E29"/>
    <w:rsid w:val="00C376B7"/>
    <w:rsid w:val="00C47372"/>
    <w:rsid w:val="00C54199"/>
    <w:rsid w:val="00C5764B"/>
    <w:rsid w:val="00C60077"/>
    <w:rsid w:val="00C73199"/>
    <w:rsid w:val="00C76389"/>
    <w:rsid w:val="00C97EF4"/>
    <w:rsid w:val="00CC2440"/>
    <w:rsid w:val="00CD4AB1"/>
    <w:rsid w:val="00CD6DC4"/>
    <w:rsid w:val="00D1277D"/>
    <w:rsid w:val="00D17524"/>
    <w:rsid w:val="00D417C1"/>
    <w:rsid w:val="00D54EDC"/>
    <w:rsid w:val="00D56582"/>
    <w:rsid w:val="00D5689F"/>
    <w:rsid w:val="00D82BCC"/>
    <w:rsid w:val="00D830AA"/>
    <w:rsid w:val="00D8378B"/>
    <w:rsid w:val="00D85888"/>
    <w:rsid w:val="00D92ADB"/>
    <w:rsid w:val="00DD1D0A"/>
    <w:rsid w:val="00E020B0"/>
    <w:rsid w:val="00E250C3"/>
    <w:rsid w:val="00E36F44"/>
    <w:rsid w:val="00E76169"/>
    <w:rsid w:val="00E97249"/>
    <w:rsid w:val="00EA091E"/>
    <w:rsid w:val="00EA7E73"/>
    <w:rsid w:val="00EB1B71"/>
    <w:rsid w:val="00EC27B0"/>
    <w:rsid w:val="00EC6732"/>
    <w:rsid w:val="00ED0E13"/>
    <w:rsid w:val="00F04512"/>
    <w:rsid w:val="00F132C1"/>
    <w:rsid w:val="00F32F92"/>
    <w:rsid w:val="00F61150"/>
    <w:rsid w:val="00F826BF"/>
    <w:rsid w:val="00F920BE"/>
    <w:rsid w:val="00FA40AA"/>
    <w:rsid w:val="00FC469E"/>
    <w:rsid w:val="00FD3B52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5950"/>
  <w15:chartTrackingRefBased/>
  <w15:docId w15:val="{804FB0B8-373D-45B9-938A-7E1D7814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0E"/>
  </w:style>
  <w:style w:type="paragraph" w:styleId="Heading1">
    <w:name w:val="heading 1"/>
    <w:basedOn w:val="Normal"/>
    <w:next w:val="Normal"/>
    <w:link w:val="Heading1Char"/>
    <w:uiPriority w:val="9"/>
    <w:qFormat/>
    <w:rsid w:val="00160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0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0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0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010E"/>
    <w:rPr>
      <w:b/>
      <w:bCs/>
    </w:rPr>
  </w:style>
  <w:style w:type="character" w:styleId="Emphasis">
    <w:name w:val="Emphasis"/>
    <w:basedOn w:val="DefaultParagraphFont"/>
    <w:uiPriority w:val="20"/>
    <w:qFormat/>
    <w:rsid w:val="0016010E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1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0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01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1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0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1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1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1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0E"/>
  </w:style>
  <w:style w:type="paragraph" w:styleId="Footer">
    <w:name w:val="footer"/>
    <w:basedOn w:val="Normal"/>
    <w:link w:val="FooterChar"/>
    <w:uiPriority w:val="99"/>
    <w:unhideWhenUsed/>
    <w:rsid w:val="0016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0E"/>
  </w:style>
  <w:style w:type="paragraph" w:styleId="ListParagraph">
    <w:name w:val="List Paragraph"/>
    <w:basedOn w:val="Normal"/>
    <w:uiPriority w:val="34"/>
    <w:qFormat/>
    <w:rsid w:val="00C00D4A"/>
    <w:pPr>
      <w:ind w:left="720"/>
      <w:contextualSpacing/>
    </w:pPr>
  </w:style>
  <w:style w:type="table" w:styleId="TableGrid">
    <w:name w:val="Table Grid"/>
    <w:basedOn w:val="TableNormal"/>
    <w:uiPriority w:val="39"/>
    <w:rsid w:val="00BA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8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Wor19</b:Tag>
    <b:SourceType>InternetSite</b:SourceType>
    <b:Guid>{F571360A-6B63-437C-B968-4A358BF55289}</b:Guid>
    <b:Author>
      <b:Author>
        <b:Corporate>Worksmart</b:Corporate>
      </b:Author>
    </b:Author>
    <b:Title>What are the five steps to risk assessment?</b:Title>
    <b:Year>2019</b:Year>
    <b:YearAccessed>2019</b:YearAccessed>
    <b:MonthAccessed>December</b:MonthAccessed>
    <b:DayAccessed>4th</b:DayAccessed>
    <b:URL>https://worksmart.org.uk/health-advice/health-and-safety/hazards-and-risks/what-are-five-steps-risk-assessment</b:URL>
    <b:RefOrder>1</b:RefOrder>
  </b:Source>
  <b:Source>
    <b:Tag>Rob13</b:Tag>
    <b:SourceType>InternetSite</b:SourceType>
    <b:Guid>{4308AA03-3FBA-4F33-B615-AAA3E9350EA1}</b:Guid>
    <b:Author>
      <b:Author>
        <b:NameList>
          <b:Person>
            <b:Last>Burgon</b:Last>
            <b:First>Rob</b:First>
          </b:Person>
        </b:NameList>
      </b:Author>
    </b:Author>
    <b:Title>The Five Step Guide to Risk Assessment</b:Title>
    <b:Year>2013</b:Year>
    <b:YearAccessed>2019</b:YearAccessed>
    <b:MonthAccessed>December</b:MonthAccessed>
    <b:DayAccessed>4th</b:DayAccessed>
    <b:URL>https://rospaworkplacesafety.com/2013/01/21/what-is-a-risk-assessment/</b:URL>
    <b:RefOrder>2</b:RefOrder>
  </b:Source>
  <b:Source>
    <b:Tag>HSEnd</b:Tag>
    <b:SourceType>InternetSite</b:SourceType>
    <b:Guid>{508DD507-51D6-4FDE-B833-8F6394C4948A}</b:Guid>
    <b:Author>
      <b:Author>
        <b:Corporate>HSE UK</b:Corporate>
      </b:Author>
    </b:Author>
    <b:Title>Managing risks and risk assessment at work</b:Title>
    <b:Year>n.d.</b:Year>
    <b:YearAccessed>2019</b:YearAccessed>
    <b:MonthAccessed>December</b:MonthAccessed>
    <b:DayAccessed>4th</b:DayAccessed>
    <b:URL>https://www.hse.gov.uk/simple-health-safety/risk/steps-needed-to-manage-risk.htm</b:URL>
    <b:RefOrder>3</b:RefOrder>
  </b:Source>
  <b:Source>
    <b:Tag>Ili18</b:Tag>
    <b:SourceType>InternetSite</b:SourceType>
    <b:Guid>{FC210F9D-75C8-45EB-886A-3DD0E391F6FD}</b:Guid>
    <b:Author>
      <b:Author>
        <b:NameList>
          <b:Person>
            <b:Last>Sotnikov</b:Last>
            <b:First>Ilia</b:First>
          </b:Person>
        </b:NameList>
      </b:Author>
    </b:Author>
    <b:Title>How to Perform IT Risk Assessment</b:Title>
    <b:Year>2018</b:Year>
    <b:YearAccessed>2019</b:YearAccessed>
    <b:MonthAccessed>December</b:MonthAccessed>
    <b:DayAccessed>4th</b:DayAccessed>
    <b:URL>https://blog.netwrix.com/2018/01/16/how-to-perform-it-risk-assessment/</b:URL>
    <b:RefOrder>4</b:RefOrder>
  </b:Source>
  <b:Source>
    <b:Tag>Cisnd</b:Tag>
    <b:SourceType>InternetSite</b:SourceType>
    <b:Guid>{30232F84-27B0-40E8-A390-9213D978FD26}</b:Guid>
    <b:Author>
      <b:Author>
        <b:Corporate>Cisco</b:Corporate>
      </b:Author>
    </b:Author>
    <b:Title>What Is Penetration Testing?</b:Title>
    <b:Year>n.d.</b:Year>
    <b:YearAccessed>2019</b:YearAccessed>
    <b:MonthAccessed>December</b:MonthAccessed>
    <b:DayAccessed>4th</b:DayAccessed>
    <b:URL>https://www.cisco.com/c/en/us/products/security/what-is-pen-testing.html</b:URL>
    <b:RefOrder>8</b:RefOrder>
  </b:Source>
  <b:Source>
    <b:Tag>HHSnd</b:Tag>
    <b:SourceType>InternetSite</b:SourceType>
    <b:Guid>{919C8144-C3E9-49B1-9DE9-93DA1F6A6C11}</b:Guid>
    <b:Author>
      <b:Author>
        <b:Corporate>HHS Cybersecurity Program</b:Corporate>
      </b:Author>
    </b:Author>
    <b:Title>Security Control Assessment &amp; Security Test and Evaluation</b:Title>
    <b:Year>n.d.</b:Year>
    <b:YearAccessed>2019</b:YearAccessed>
    <b:MonthAccessed>December</b:MonthAccessed>
    <b:DayAccessed>4th</b:DayAccessed>
    <b:URL>https://irtsectraining.nih.gov/ISITAdmin_2017/rolebasedtraining-itadmin/part39.htm</b:URL>
    <b:RefOrder>5</b:RefOrder>
  </b:Source>
  <b:Source>
    <b:Tag>Cyb18</b:Tag>
    <b:SourceType>InternetSite</b:SourceType>
    <b:Guid>{B0A7754D-EA69-4F13-BE76-6CDFFFC45A6E}</b:Guid>
    <b:Author>
      <b:Author>
        <b:Corporate>Cybrary</b:Corporate>
      </b:Author>
    </b:Author>
    <b:Title>What is Security Test &amp; Evaluation (ST&amp;E)? </b:Title>
    <b:Year>2018</b:Year>
    <b:YearAccessed>2019</b:YearAccessed>
    <b:MonthAccessed>December</b:MonthAccessed>
    <b:DayAccessed>4th</b:DayAccessed>
    <b:URL>https://www.cybrary.it/glossary/s-the-glossary/security-test-evaluation-ste/</b:URL>
    <b:RefOrder>6</b:RefOrder>
  </b:Source>
  <b:Source>
    <b:Tag>Pfl03</b:Tag>
    <b:SourceType>InternetSite</b:SourceType>
    <b:Guid>{DE0205E8-97F1-4777-A701-4511A882A218}</b:Guid>
    <b:Author>
      <b:Author>
        <b:NameList>
          <b:Person>
            <b:Last>Pfleeger</b:Last>
            <b:Middle>Lawrence</b:Middle>
            <b:First>Shari</b:First>
          </b:Person>
          <b:Person>
            <b:Last>Pfleeger</b:Last>
            <b:Middle>P.</b:Middle>
            <b:First>Charles</b:First>
          </b:Person>
        </b:NameList>
      </b:Author>
    </b:Author>
    <b:Title>Security in Networks</b:Title>
    <b:Year>2003</b:Year>
    <b:YearAccessed>2019</b:YearAccessed>
    <b:MonthAccessed>December</b:MonthAccessed>
    <b:DayAccessed>4th</b:DayAccessed>
    <b:URL>http://www.informit.com/articles/article.aspx?p=31339&amp;seqNum=3</b:URL>
    <b:RefOrder>7</b:RefOrder>
  </b:Source>
  <b:Source>
    <b:Tag>Mic07</b:Tag>
    <b:SourceType>InternetSite</b:SourceType>
    <b:Guid>{2217F635-2A1D-404E-BA44-34867D84A0E5}</b:Guid>
    <b:Author>
      <b:Author>
        <b:NameList>
          <b:Person>
            <b:Last>Gregg</b:Last>
            <b:First>Michael</b:First>
          </b:Person>
        </b:NameList>
      </b:Author>
    </b:Author>
    <b:Title>Automated Assessment Tools</b:Title>
    <b:Year>2007</b:Year>
    <b:YearAccessed>2019</b:YearAccessed>
    <b:MonthAccessed>December</b:MonthAccessed>
    <b:DayAccessed>4th</b:DayAccessed>
    <b:URL>https://flylib.com/books/en/1.36.1/automated_assessment_tools.html</b:URL>
    <b:RefOrder>9</b:RefOrder>
  </b:Source>
  <b:Source>
    <b:Tag>Reand</b:Tag>
    <b:SourceType>InternetSite</b:SourceType>
    <b:Guid>{C8A6E801-9B8D-4DF8-AAC0-450345E4A2A8}</b:Guid>
    <b:Author>
      <b:Author>
        <b:Corporate>Ready.gov</b:Corporate>
      </b:Author>
    </b:Author>
    <b:Title>Business Impact Analysis</b:Title>
    <b:Year>n.d.</b:Year>
    <b:YearAccessed>2019</b:YearAccessed>
    <b:MonthAccessed>December</b:MonthAccessed>
    <b:DayAccessed>4th</b:DayAccessed>
    <b:URL>https://www.ready.gov/business-impact-analysis</b:URL>
    <b:RefOrder>10</b:RefOrder>
  </b:Source>
  <b:Source>
    <b:Tag>FEMnd</b:Tag>
    <b:SourceType>InternetSite</b:SourceType>
    <b:Guid>{4A7C55B0-6EBF-48FD-BA19-2F15507E3625}</b:Guid>
    <b:Author>
      <b:Author>
        <b:Corporate>FEMA</b:Corporate>
      </b:Author>
    </b:Author>
    <b:Title>Business Impact Analysis Worksheet</b:Title>
    <b:Year>n.d.</b:Year>
    <b:YearAccessed>2019</b:YearAccessed>
    <b:MonthAccessed>December</b:MonthAccessed>
    <b:DayAccessed>4th</b:DayAccessed>
    <b:URL>https://www.fema.gov/media-library-data/1388776348838-b548b013b1cfc61fa92fc4332b615e05/Business_ImpactAnalysis_Worksheet_2014.pdf</b:URL>
    <b:RefOrder>11</b:RefOrder>
  </b:Source>
  <b:Source>
    <b:Tag>Sma19</b:Tag>
    <b:SourceType>InternetSite</b:SourceType>
    <b:Guid>{C3630097-119B-4B48-8B06-FA97FFF5B788}</b:Guid>
    <b:Author>
      <b:Author>
        <b:Corporate>Smartsheet</b:Corporate>
      </b:Author>
    </b:Author>
    <b:Title>Risk Management Matrix (Example)</b:Title>
    <b:Year>2019</b:Year>
    <b:YearAccessed>2019</b:YearAccessed>
    <b:MonthAccessed>December</b:MonthAccessed>
    <b:DayAccessed>4th</b:DayAccessed>
    <b:URL>https://www.smartsheet.com/sites/default/files/2019-11/IC-Risk-Management-Matrix-8849_PDF.pdf</b:URL>
    <b:RefOrder>12</b:RefOrder>
  </b:Source>
  <b:Source>
    <b:Tag>Sma191</b:Tag>
    <b:SourceType>InternetSite</b:SourceType>
    <b:Guid>{B29EECFC-1FB9-424C-ABDB-FBEA4401411C}</b:Guid>
    <b:Author>
      <b:Author>
        <b:Corporate>Smartsheet</b:Corporate>
      </b:Author>
    </b:Author>
    <b:Title>All the Risk Assessment Matrix Templates You Need</b:Title>
    <b:Year>2019</b:Year>
    <b:YearAccessed>2019</b:YearAccessed>
    <b:MonthAccessed>December</b:MonthAccessed>
    <b:DayAccessed>4th</b:DayAccessed>
    <b:URL>https://www.smartsheet.com/all-risk-assessment-matrix-templates-you-need</b:URL>
    <b:RefOrder>17</b:RefOrder>
  </b:Source>
  <b:Source>
    <b:Tag>ISOnd</b:Tag>
    <b:SourceType>InternetSite</b:SourceType>
    <b:Guid>{440CC8B9-7A83-4319-8B21-EFCFBE8BE4ED}</b:Guid>
    <b:Author>
      <b:Author>
        <b:Corporate>ISO</b:Corporate>
      </b:Author>
    </b:Author>
    <b:Title>ISO name and logo</b:Title>
    <b:Year>n.d.</b:Year>
    <b:YearAccessed>2019</b:YearAccessed>
    <b:MonthAccessed>December</b:MonthAccessed>
    <b:DayAccessed>9th</b:DayAccessed>
    <b:URL>https://www.iso.org/iso-name-and-logo.html</b:URL>
    <b:RefOrder>14</b:RefOrder>
  </b:Source>
  <b:Source>
    <b:Tag>ISO18</b:Tag>
    <b:SourceType>InternetSite</b:SourceType>
    <b:Guid>{8BB6456F-87A1-4A8C-9781-E2CE906231A7}</b:Guid>
    <b:Author>
      <b:Author>
        <b:Corporate>ISO</b:Corporate>
      </b:Author>
    </b:Author>
    <b:Title>ISO 31000 Risk management</b:Title>
    <b:Year>2018</b:Year>
    <b:YearAccessed>2019</b:YearAccessed>
    <b:MonthAccessed>December</b:MonthAccessed>
    <b:DayAccessed>9th</b:DayAccessed>
    <b:URL>https://www.iso.org/iso-31000-risk-management.html</b:URL>
    <b:RefOrder>13</b:RefOrder>
  </b:Source>
  <b:Source>
    <b:Tag>ISO181</b:Tag>
    <b:SourceType>InternetSite</b:SourceType>
    <b:Guid>{20D37BEA-F26C-44CF-BD50-7D0E03FF012D}</b:Guid>
    <b:Author>
      <b:Author>
        <b:Corporate>ISO</b:Corporate>
      </b:Author>
    </b:Author>
    <b:Title>ISO 31000:2018(en)</b:Title>
    <b:Year>2018</b:Year>
    <b:YearAccessed>2019</b:YearAccessed>
    <b:MonthAccessed>December</b:MonthAccessed>
    <b:DayAccessed>9th</b:DayAccessed>
    <b:URL>https://www.iso.org/obp/ui#iso:std:iso:31000:ed-2:v1:en</b:URL>
    <b:RefOrder>15</b:RefOrder>
  </b:Source>
  <b:Source>
    <b:Tag>Gre19</b:Tag>
    <b:SourceType>InternetSite</b:SourceType>
    <b:Guid>{F869B5AE-BBBD-46CF-A724-E7DB8E9F43CB}</b:Guid>
    <b:Title>ISO 31000 Principles of Risk Management</b:Title>
    <b:Year>2019</b:Year>
    <b:Author>
      <b:Author>
        <b:NameList>
          <b:Person>
            <b:Last>Hutchins</b:Last>
            <b:First>Greg</b:First>
          </b:Person>
        </b:NameList>
      </b:Author>
    </b:Author>
    <b:YearAccessed>2019</b:YearAccessed>
    <b:MonthAccessed>December</b:MonthAccessed>
    <b:DayAccessed>17th</b:DayAccessed>
    <b:URL>https://accendoreliability.com/iso-31000-principles-risk-management/</b:URL>
    <b:RefOrder>16</b:RefOrder>
  </b:Source>
</b:Sources>
</file>

<file path=customXml/itemProps1.xml><?xml version="1.0" encoding="utf-8"?>
<ds:datastoreItem xmlns:ds="http://schemas.openxmlformats.org/officeDocument/2006/customXml" ds:itemID="{FC294E4B-CBB1-40A3-8F88-73708CF6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196</cp:revision>
  <dcterms:created xsi:type="dcterms:W3CDTF">2019-11-27T19:03:00Z</dcterms:created>
  <dcterms:modified xsi:type="dcterms:W3CDTF">2019-12-17T22:30:00Z</dcterms:modified>
</cp:coreProperties>
</file>