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위험도 가중치 조사 자료 정리</w:t>
      </w:r>
    </w:p>
    <w:p>
      <w:pPr>
        <w:pStyle w:val="Heading1"/>
        <w:spacing w:after="120" w:before="260"/>
      </w:pPr>
      <w:r>
        <w:t xml:space="preserve">자료 1. DTG 위험운전행동 분석 (국토교통부·한국교통안전공단, 2022.5.19 보도자료)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사업용 차량(버스·택시·화물차) 사고운전자 vs 무사고운전자의 100km당 위험운전행동 건수 비교.</w:t>
      </w:r>
    </w:p>
    <w:p>
      <w:pPr>
        <w:spacing w:after="40" w:before="80"/>
        <w:jc w:val="center"/>
      </w:pPr>
      <w:r>
        <w:drawing>
          <wp:inline distT="0" distB="0" distL="0" distR="0">
            <wp:extent cx="3619500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rPr>
          <w:i/>
          <w:iCs/>
          <w:color w:val="666666"/>
          <w:sz w:val="18"/>
          <w:szCs w:val="18"/>
        </w:rPr>
        <w:t xml:space="preserve">원자료: 국토교통부·한국교통안전공단 보도자료(2022.5.19), 참고1 차종별 위험운전행동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위험운전행동 유형</w:t>
            </w:r>
          </w:p>
        </w:tc>
        <w:tc>
          <w:tcPr>
            <w:tcW w:type="dxa" w:w="436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평균 배율(사고집단÷무사고집단)</w:t>
            </w:r>
          </w:p>
        </w:tc>
      </w:tr>
      <w:tr>
        <w:tc>
          <w:tcPr>
            <w:tcW w:type="dxa" w:w="5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급가속</w:t>
            </w:r>
          </w:p>
        </w:tc>
        <w:tc>
          <w:tcPr>
            <w:tcW w:type="dxa" w:w="43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약 1.94배</w:t>
            </w:r>
          </w:p>
        </w:tc>
      </w:tr>
      <w:tr>
        <w:tc>
          <w:tcPr>
            <w:tcW w:type="dxa" w:w="5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급감속</w:t>
            </w:r>
          </w:p>
        </w:tc>
        <w:tc>
          <w:tcPr>
            <w:tcW w:type="dxa" w:w="43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약 1.87배</w:t>
            </w:r>
          </w:p>
        </w:tc>
      </w:tr>
      <w:tr>
        <w:tc>
          <w:tcPr>
            <w:tcW w:type="dxa" w:w="5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급앞지르기</w:t>
            </w:r>
          </w:p>
        </w:tc>
        <w:tc>
          <w:tcPr>
            <w:tcW w:type="dxa" w:w="43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약 1.89배</w:t>
            </w:r>
          </w:p>
        </w:tc>
      </w:tr>
      <w:tr>
        <w:tc>
          <w:tcPr>
            <w:tcW w:type="dxa" w:w="5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급좌회전</w:t>
            </w:r>
          </w:p>
        </w:tc>
        <w:tc>
          <w:tcPr>
            <w:tcW w:type="dxa" w:w="43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약 1.82배</w:t>
            </w:r>
          </w:p>
        </w:tc>
      </w:tr>
      <w:tr>
        <w:tc>
          <w:tcPr>
            <w:tcW w:type="dxa" w:w="5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급진로변경</w:t>
            </w:r>
          </w:p>
        </w:tc>
        <w:tc>
          <w:tcPr>
            <w:tcW w:type="dxa" w:w="43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약 1.64배</w:t>
            </w:r>
          </w:p>
        </w:tc>
      </w:tr>
      <w:tr>
        <w:tc>
          <w:tcPr>
            <w:tcW w:type="dxa" w:w="5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급우회전</w:t>
            </w:r>
          </w:p>
        </w:tc>
        <w:tc>
          <w:tcPr>
            <w:tcW w:type="dxa" w:w="43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약 1.60배</w:t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용도: 집단 간 상관관계일 뿐 이벤트 단위 위험 배율이 아니므로 산식에 곱하지 않음. "급가속·급감속류가 사고와 관련성이 크다"는 상대적 우선순위(방향성) 근거로만 사용.</w:t>
      </w:r>
    </w:p>
    <w:p>
      <w:pPr>
        <w:pStyle w:val="Heading1"/>
        <w:spacing w:after="120" w:before="260"/>
      </w:pPr>
      <w:r>
        <w:t xml:space="preserve">자료 2. 법규위반별 교통사고 현황 (도로교통공단, 「고령자사고」 통계보고서)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전체운전자(표 2-11) vs 고령운전자(표 2-118) 법규위반별 사고건수·치사율 비교.</w:t>
      </w:r>
    </w:p>
    <w:p>
      <w:pPr>
        <w:spacing w:after="60" w:before="120"/>
        <w:jc w:val="center"/>
      </w:pPr>
      <w:r>
        <w:rPr>
          <w:i/>
          <w:iCs/>
          <w:color w:val="666666"/>
          <w:sz w:val="18"/>
          <w:szCs w:val="18"/>
        </w:rPr>
        <w:t xml:space="preserve">&lt;표 2-11&gt; 가해운전자 법규위반별 교통사고 현황 (전체)</w:t>
      </w:r>
    </w:p>
    <w:p>
      <w:pPr>
        <w:spacing w:after="40" w:before="80"/>
        <w:jc w:val="center"/>
      </w:pPr>
      <w:r>
        <w:drawing>
          <wp:inline distT="0" distB="0" distL="0" distR="0">
            <wp:extent cx="4572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rPr>
          <w:i/>
          <w:iCs/>
          <w:color w:val="666666"/>
          <w:sz w:val="18"/>
          <w:szCs w:val="18"/>
        </w:rPr>
        <w:t xml:space="preserve">&lt;표 2-118&gt; 고령운전자사고 법규위반별 현황 (65세 이상)</w:t>
      </w:r>
    </w:p>
    <w:p>
      <w:pPr>
        <w:spacing w:after="40" w:before="80"/>
        <w:jc w:val="center"/>
      </w:pPr>
      <w:r>
        <w:drawing>
          <wp:inline distT="0" distB="0" distL="0" distR="0">
            <wp:extent cx="4000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용도: 발생빈도(구성비)는 전체·고령이 유사하나 치사율은 고령이 일관되게 높음(평균 약 1.4배). 산식 가중치가 아니라 "예방 중심 설계(Preventive Care)"가 필요한 배경 근거로만 사용.</w:t>
      </w:r>
    </w:p>
    <w:p>
      <w:pPr>
        <w:pStyle w:val="Heading1"/>
        <w:spacing w:after="120" w:before="260"/>
      </w:pPr>
      <w:r>
        <w:t xml:space="preserve">자료 3. 도로형태별 교통사고 현황 (도로교통공단, 「고령자사고」 통계보고서)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전체운전자(표 2-16) vs 고령운전자(표 2-123) 도로형태별 사고건수·치사율 비교.</w:t>
      </w:r>
    </w:p>
    <w:p>
      <w:pPr>
        <w:spacing w:after="60" w:before="120"/>
        <w:jc w:val="center"/>
      </w:pPr>
      <w:r>
        <w:rPr>
          <w:i/>
          <w:iCs/>
          <w:color w:val="666666"/>
          <w:sz w:val="18"/>
          <w:szCs w:val="18"/>
        </w:rPr>
        <w:t xml:space="preserve">&lt;표 2-16&gt; 도로형태별 교통사고 현황 (전체)</w:t>
      </w:r>
    </w:p>
    <w:p>
      <w:pPr>
        <w:spacing w:after="40" w:before="80"/>
        <w:jc w:val="center"/>
      </w:pPr>
      <w:r>
        <w:drawing>
          <wp:inline distT="0" distB="0" distL="0" distR="0">
            <wp:extent cx="4572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rPr>
          <w:i/>
          <w:iCs/>
          <w:color w:val="666666"/>
          <w:sz w:val="18"/>
          <w:szCs w:val="18"/>
        </w:rPr>
        <w:t xml:space="preserve">&lt;표 2-123&gt; 고령운전자사고 도로형태별 현황 (65세 이상)</w:t>
      </w:r>
    </w:p>
    <w:p>
      <w:pPr>
        <w:spacing w:after="40" w:before="80"/>
        <w:jc w:val="center"/>
      </w:pPr>
      <w:r>
        <w:drawing>
          <wp:inline distT="0" distB="0" distL="0" distR="0">
            <wp:extent cx="4000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용도: 교차로·단일로 구성비는 전체·고령이 유사(교차로 49.3% vs 48.7%)하나 치사율은 고령이 높음. 도로형태 가중치 근거로는 부적합, 예방 필요성 배경 근거로만 사용.</w:t>
      </w:r>
    </w:p>
    <w:p>
      <w:pPr>
        <w:pStyle w:val="Heading1"/>
        <w:spacing w:after="120" w:before="260"/>
      </w:pPr>
      <w:r>
        <w:t xml:space="preserve">자료 4. 김상옥·이철기·장일준(2009), 「고령운전자 사고취약 도로형태 분석 및 개선방안 연구」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한국ITS학회논문지 8(6). 고령운전자가 비고령자 대비 교차로·고속도로 IC 부근에서 상대적으로 취약하다는 결론.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용도: 정량적 배율 없음. 도로형태별 취약성의 방향성(정성적)만 인용.</w:t>
      </w:r>
    </w:p>
    <w:p>
      <w:pPr>
        <w:pStyle w:val="Heading1"/>
        <w:spacing w:after="120" w:before="260"/>
      </w:pPr>
      <w:r>
        <w:t xml:space="preserve">자료 5. 권건안 외(2019), 「교통 빅데이터를 이용한 전국 도로 안전성능함수 및 안전등급 개발 연구」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한국ITS학회논문지 Vol.18 No.5, pp.34-48. 도로유형별 SPF(안전성능함수)를 개발, 위험운전행동 건수를 독립변수로 포함.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용도: 계수(숫자) 출처가 아니라, "위험운전행동이 사고 발생에 유의미한 영향을 미친다"는 접근 자체가 국내 공식 빅데이터로 통계적으로 검증된 방식이라는 정당성 인용으로만 사용.</w:t>
      </w:r>
    </w:p>
    <w:p>
      <w:pPr>
        <w:pStyle w:val="Heading1"/>
        <w:spacing w:after="120" w:before="260"/>
      </w:pPr>
      <w:r>
        <w:t xml:space="preserve">폐기한 시도들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도로유형별 SPF 위험운전행동 계수(0.00001/0.00002)로 배율 계산 → 반올림으로 정밀도 부족, 폐기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SPF Table 1 상관계수(0.09~0.61)로 대체 → 단순상관이라 다른 변수 통제 안 됨, 근거 약함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도로형태(교차로/단일로) 노출량 보정 → 전국 단위 노출량(통행량) 데이터 자체가 존재하지 않음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도로종류(고속도로/일반국도/지방도) 노출량 보정 → 연장·교통량 통계 연도 불일치, 폐기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치사율을 보험금 손해액 근거로 사용 → 치사율≠손해액이라는 인과 비약, 폐기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DTG 보도자료의 "사고÷무사고 집단 배율"을 eTAS 이벤트 곱셈 가중치로 사용 → 집단 간 상관관계이지 이벤트 단위 위험 배율이 아님, 곱셈 사용 폐기(방향성 근거로만 격하)</w:t>
      </w:r>
    </w:p>
    <w:sectPr>
      <w:pgSz w:w="11906" w:h="16838" w:orient="portrait"/>
      <w:pgMar w:top="900" w:right="1274" w:bottom="900" w:left="127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b941a3be377d95d3de8afdc252bb680aba1c75e.png"/><Relationship Id="rId8" Type="http://schemas.openxmlformats.org/officeDocument/2006/relationships/image" Target="media/bd6d8341a17b61eb76a59e6e1a3f199bdb6d1296.png"/><Relationship Id="rId9" Type="http://schemas.openxmlformats.org/officeDocument/2006/relationships/image" Target="media/43c4d1075cdcf7e91eecb4fdd80e32fd33689b89.png"/><Relationship Id="rId10" Type="http://schemas.openxmlformats.org/officeDocument/2006/relationships/image" Target="media/d29b913a43b79f9785707aa122d82ebd07fe65c9.png"/><Relationship Id="rId11" Type="http://schemas.openxmlformats.org/officeDocument/2006/relationships/image" Target="media/32a7412b18fa9b33b814ce32c9274a6a783312b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2026-07-26T20:28:00.608Z</dcterms:created>
  <dcterms:modified xsi:type="dcterms:W3CDTF">2026-07-26T20:28:00.628Z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