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1F3864"/>
          <w:sz w:val="25"/>
          <w:szCs w:val="25"/>
        </w:rPr>
        <w:t xml:space="preserve">Trader Performance vs. Market Sentiment</w:t>
      </w:r>
    </w:p>
    <w:p>
      <w:pPr>
        <w:pBdr>
          <w:bottom w:val="single" w:color="1F3864" w:sz="8" w:space="4"/>
        </w:pBdr>
        <w:spacing w:after="60"/>
        <w:jc w:val="center"/>
      </w:pPr>
      <w:r>
        <w:rPr>
          <w:i/>
          <w:iCs/>
          <w:color w:val="555555"/>
          <w:sz w:val="14"/>
          <w:szCs w:val="14"/>
        </w:rPr>
        <w:t xml:space="preserve">Data Science / Analytics Intern — Round-0 Assignment  |  Hyperliquid Trader Data Analysis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1. Objective</w:t>
      </w:r>
    </w:p>
    <w:p>
      <w:pPr>
        <w:spacing w:after="30" w:line="230"/>
      </w:pPr>
      <w:r>
        <w:rPr>
          <w:color w:val="222222"/>
          <w:sz w:val="15"/>
          <w:szCs w:val="15"/>
        </w:rPr>
        <w:t xml:space="preserve">Analyze how Bitcoin market sentiment (Fear/Greed) relates to trader behavior and performance on Hyperliquid, and translate the patterns found into actionable, sentiment-conditioned trading rules of thumb.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2. Dataset Description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Bitcoin Fear &amp; Greed Index: 2,644 daily records (2018-02-01 to 2025-05-02) — sentiment value (0–100) and classification (Extreme Fear → Extreme Greed).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Hyperliquid Historical Trader Data: 211,224 trade-level records across 32 accounts and 246 instruments (2023-05-01 to 2025-05-01), incl. execution price, size, side, closed PnL, and fees.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3. Data Preparation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Verified zero missing values and zero duplicate rows in both source files.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Parsed timestamps to datetime (Fear/Greed: YYYY-MM-DD; trades: DD-MM-YYYY HH:MM IST) and derived a common daily Date key.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Left-joined trade records to the daily sentiment classification on Date; 6 of 211,224 trade rows (&lt;0.01%) had no matching sentiment date and were excluded from Part B.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Output: merged_data.csv (211,224 rows × 20 columns), used as the single source for all analysis below.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4. Analysis Methodology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Performance: total/average Closed PnL and win rate (closing trades, PnL ≠ 0) by daily sentiment; daily cumulative-PnL drawdown proxy (cumulative PnL − running peak) benchmarked risk across regimes.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Behavior: trade frequency, average trade size (USD), Long/Short (BUY:SELL) ratio, and a bounded leverage proxy — Size USD / (existing position notional + Size USD) — since the dataset has no native leverage column.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Segmentation: 32 accounts split at the median into High/Low Leverage, Frequent/Infrequent, and Consistent/Inconsistent Winner cohorts, compared on average total PnL and win rate.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5. Key Findings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1900"/>
        <w:gridCol w:w="1900"/>
      </w:tblGrid>
      <w:tr>
        <w:tc>
          <w:tcPr>
            <w:tcW w:type="dxa" w:w="2600"/>
            <w:shd w:fill="1F3864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Sentiment</w:t>
            </w:r>
          </w:p>
        </w:tc>
        <w:tc>
          <w:tcPr>
            <w:tcW w:type="dxa" w:w="1900"/>
            <w:shd w:fill="1F3864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Total PnL ($)</w:t>
            </w:r>
          </w:p>
        </w:tc>
        <w:tc>
          <w:tcPr>
            <w:tcW w:type="dxa" w:w="1900"/>
            <w:shd w:fill="1F3864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Win Rate (%)</w:t>
            </w:r>
          </w:p>
        </w:tc>
        <w:tc>
          <w:tcPr>
            <w:tcW w:type="dxa" w:w="1900"/>
            <w:shd w:fill="1F3864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Avg Trades/Day</w:t>
            </w:r>
          </w:p>
        </w:tc>
        <w:tc>
          <w:tcPr>
            <w:tcW w:type="dxa" w:w="1900"/>
            <w:shd w:fill="1F3864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Avg Leverage Proxy</w:t>
            </w:r>
          </w:p>
        </w:tc>
      </w:tr>
      <w:tr>
        <w:tc>
          <w:tcPr>
            <w:tcW w:type="dxa" w:w="26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Extreme Fear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739,110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76.2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1,529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0.066</w:t>
            </w:r>
          </w:p>
        </w:tc>
      </w:tr>
      <w:tr>
        <w:tc>
          <w:tcPr>
            <w:tcW w:type="dxa" w:w="26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Fear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3,357,155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87.3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680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0.067</w:t>
            </w:r>
          </w:p>
        </w:tc>
      </w:tr>
      <w:tr>
        <w:tc>
          <w:tcPr>
            <w:tcW w:type="dxa" w:w="26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Neutral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1,292,921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82.4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562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0.087</w:t>
            </w:r>
          </w:p>
        </w:tc>
      </w:tr>
      <w:tr>
        <w:tc>
          <w:tcPr>
            <w:tcW w:type="dxa" w:w="26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Greed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2,150,129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76.9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261</w:t>
            </w:r>
          </w:p>
        </w:tc>
        <w:tc>
          <w:tcPr>
            <w:tcW w:type="dxa" w:w="1900"/>
            <w:shd w:fill="F2F2F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0.106</w:t>
            </w:r>
          </w:p>
        </w:tc>
      </w:tr>
      <w:tr>
        <w:tc>
          <w:tcPr>
            <w:tcW w:type="dxa" w:w="26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Extreme Greed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2,715,171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89.2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351</w:t>
            </w:r>
          </w:p>
        </w:tc>
        <w:tc>
          <w:tcPr>
            <w:tcW w:type="dxa" w:w="19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3"/>
                <w:szCs w:val="13"/>
              </w:rPr>
              <w:t xml:space="preserve">0.130</w:t>
            </w:r>
          </w:p>
        </w:tc>
      </w:tr>
    </w:tbl>
    <w:p>
      <w:pPr>
        <w:spacing w:after="20" w:before="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b/>
          <w:bCs/>
          <w:color w:val="1F3864"/>
          <w:sz w:val="15"/>
          <w:szCs w:val="15"/>
        </w:rPr>
        <w:t xml:space="preserve">Fear regimes are profitable but volatile: </w:t>
      </w:r>
      <w:r>
        <w:rPr>
          <w:color w:val="222222"/>
          <w:sz w:val="15"/>
          <w:szCs w:val="15"/>
        </w:rPr>
        <w:t xml:space="preserve">Fear days produced the highest total PnL ($3.36M) yet also the deepest average daily drawdown (–$38.1K), while Extreme Greed showed the shallowest drawdown (–$2.7K) — profitability in Fear comes with a rougher equity curve.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b/>
          <w:bCs/>
          <w:color w:val="1F3864"/>
          <w:sz w:val="15"/>
          <w:szCs w:val="15"/>
        </w:rPr>
        <w:t xml:space="preserve">Leverage rises with Greed, hit-rate does not track it: </w:t>
      </w:r>
      <w:r>
        <w:rPr>
          <w:color w:val="222222"/>
          <w:sz w:val="15"/>
          <w:szCs w:val="15"/>
        </w:rPr>
        <w:t xml:space="preserve">average leverage proxy climbs monotonically from Extreme Fear (0.066) to Extreme Greed (0.130), but win rate dips in Greed (76.9%) versus Fear (87.3%) and Extreme Greed (89.2%), and High-Leverage accounts earned less on average ($267K) than Low-Leverage accounts ($374K).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b/>
          <w:bCs/>
          <w:color w:val="1F3864"/>
          <w:sz w:val="15"/>
          <w:szCs w:val="15"/>
        </w:rPr>
        <w:t xml:space="preserve">Behavior shifts more in style than in size: </w:t>
      </w:r>
      <w:r>
        <w:rPr>
          <w:color w:val="222222"/>
          <w:sz w:val="15"/>
          <w:szCs w:val="15"/>
        </w:rPr>
        <w:t xml:space="preserve">Extreme Fear days show 2–6× higher trade frequency (1,529/day) without larger trade sizes, while Extreme Greed uniquely shows a sell-skewed Long/Short ratio (0.81), consistent with profit-taking into strength rather than momentum-chasing.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6. Strategy Recommendations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b/>
          <w:bCs/>
          <w:color w:val="1F3864"/>
          <w:sz w:val="15"/>
          <w:szCs w:val="15"/>
        </w:rPr>
        <w:t xml:space="preserve">1. Cap exposure for Frequent traders during Extreme Fear: </w:t>
      </w:r>
      <w:r>
        <w:rPr>
          <w:color w:val="222222"/>
          <w:sz w:val="15"/>
          <w:szCs w:val="15"/>
        </w:rPr>
        <w:t xml:space="preserve">Extreme Fear combines the highest trade frequency with the lowest total PnL and among the deepest drawdowns; a soft daily trade-count/exposure cap for the Frequent-trader segment on Extreme Fear days should improve risk-adjusted returns without reducing their (more productive) Greed-day activity.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b/>
          <w:bCs/>
          <w:color w:val="1F3864"/>
          <w:sz w:val="15"/>
          <w:szCs w:val="15"/>
        </w:rPr>
        <w:t xml:space="preserve">2. Tighten leverage limits for High-Leverage traders in Greed/Extreme Greed: </w:t>
      </w:r>
      <w:r>
        <w:rPr>
          <w:color w:val="222222"/>
          <w:sz w:val="15"/>
          <w:szCs w:val="15"/>
        </w:rPr>
        <w:t xml:space="preserve">leverage rises with sentiment while account-level PnL for High-Leverage traders is lower than for Low-Leverage traders; a leverage ceiling that scales down as sentiment moves into Greed should curb variance ahead of a potential sentiment reversal.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7. Limitations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Leverage is a derived proxy (0–1 scale), not true margin/leverage — the dataset has no native leverage column; figures reflect relative position sizing, not actual leverage multiples.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Six merged rows (&lt;0.01%) had no matching sentiment record and were excluded from Part B analysis.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Closed PnL reflects realized profit only; open-position (unrealized) PnL is not captured, so total/average PnL understates true mark-to-market performance.</w:t>
      </w:r>
    </w:p>
    <w:p>
      <w:pPr>
        <w:pStyle w:val="ListParagraph"/>
        <w:numPr>
          <w:ilvl w:val="0"/>
          <w:numId w:val="1"/>
        </w:numPr>
        <w:spacing w:after="10" w:line="220"/>
        <w:ind w:left="187"/>
      </w:pPr>
      <w:r>
        <w:rPr>
          <w:color w:val="222222"/>
          <w:sz w:val="15"/>
          <w:szCs w:val="15"/>
        </w:rPr>
        <w:t xml:space="preserve">Daily sentiment is applied uniformly to all trades that day; intraday sentiment shifts are not captured. Segments use a single whole-period median across only 32 accounts, so results are directional rather than statistically definitive.</w:t>
      </w:r>
    </w:p>
    <w:p>
      <w:pPr>
        <w:pStyle w:val="Heading2"/>
        <w:pBdr>
          <w:bottom w:val="single" w:color="2E74B5" w:sz="4" w:space="1"/>
        </w:pBdr>
        <w:spacing w:after="30" w:before="80"/>
      </w:pPr>
      <w:r>
        <w:rPr>
          <w:b/>
          <w:bCs/>
          <w:color w:val="1F3864"/>
          <w:sz w:val="17"/>
          <w:szCs w:val="17"/>
        </w:rPr>
        <w:t xml:space="preserve">8. Conclusion</w:t>
      </w:r>
    </w:p>
    <w:p>
      <w:pPr>
        <w:spacing w:after="30" w:line="230"/>
      </w:pPr>
      <w:r>
        <w:rPr>
          <w:color w:val="222222"/>
          <w:sz w:val="15"/>
          <w:szCs w:val="15"/>
        </w:rPr>
        <w:t xml:space="preserve">Sentiment regimes are associated with clear, measurable differences in trader performance, drawdown risk, leverage, and directional bias — most notably, Fear regimes pair strong total PnL with higher drawdown risk, while leverage rises with Greed without a matching improvement in win rate. Applying segment-specific exposure and leverage controls for Frequent and High-Leverage traders around these regimes offers a concrete, data-backed path to improving risk-adjusted trading performance on the platform.</w:t>
      </w:r>
    </w:p>
    <w:sectPr>
      <w:pgSz w:w="12240" w:h="15840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2026-08-03T10:00:41.886Z</dcterms:created>
  <dcterms:modified xsi:type="dcterms:W3CDTF">2026-08-03T10:00:41.887Z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