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Header Detection Test</w:t>
      </w:r>
    </w:p>
    <w:p>
      <w:pPr>
        <w:pStyle w:val="Heading2"/>
      </w:pPr>
      <w:r>
        <w:t>Table 1: Bold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</w:tbl>
    <w:p>
      <w:pPr>
        <w:pStyle w:val="Heading2"/>
      </w:pPr>
      <w:r>
        <w:t>Table 2: Uppercase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$999</w:t>
            </w:r>
          </w:p>
        </w:tc>
      </w:tr>
      <w:tr>
        <w:tc>
          <w:tcPr>
            <w:tcW w:type="dxa" w:w="4320"/>
          </w:tcPr>
          <w:p>
            <w:r>
              <w:t>Mouse</w:t>
            </w:r>
          </w:p>
        </w:tc>
        <w:tc>
          <w:tcPr>
            <w:tcW w:type="dxa" w:w="4320"/>
          </w:tcPr>
          <w:p>
            <w:r>
              <w:t>$29</w:t>
            </w:r>
          </w:p>
        </w:tc>
      </w:tr>
    </w:tbl>
    <w:p>
      <w:pPr>
        <w:pStyle w:val="Heading2"/>
      </w:pPr>
      <w:r>
        <w:t>Table 3: No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regular row</w:t>
            </w:r>
          </w:p>
        </w:tc>
        <w:tc>
          <w:tcPr>
            <w:tcW w:type="dxa" w:w="4320"/>
          </w:tcPr>
          <w:p>
            <w:r>
              <w:t>Data value 1</w:t>
            </w:r>
          </w:p>
        </w:tc>
      </w:tr>
      <w:tr>
        <w:tc>
          <w:tcPr>
            <w:tcW w:type="dxa" w:w="4320"/>
          </w:tcPr>
          <w:p>
            <w:r>
              <w:t>Second regular row</w:t>
            </w:r>
          </w:p>
        </w:tc>
        <w:tc>
          <w:tcPr>
            <w:tcW w:type="dxa" w:w="4320"/>
          </w:tcPr>
          <w:p>
            <w:r>
              <w:t>Data 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